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p>
    <w:p>
      <w:pPr>
        <w:jc w:val="center"/>
        <w:outlineLvl w:val="2"/>
        <w:rPr>
          <w:rFonts w:hint="eastAsia" w:ascii="宋体" w:hAnsi="宋体" w:cs="宋体"/>
          <w:b/>
          <w:bCs/>
          <w:color w:val="auto"/>
          <w:sz w:val="48"/>
          <w:szCs w:val="48"/>
          <w:highlight w:val="none"/>
        </w:rPr>
      </w:pPr>
    </w:p>
    <w:p>
      <w:pPr>
        <w:jc w:val="center"/>
        <w:outlineLvl w:val="2"/>
        <w:rPr>
          <w:rFonts w:hint="eastAsia" w:ascii="宋体" w:hAnsi="宋体" w:cs="宋体"/>
          <w:b/>
          <w:bCs/>
          <w:color w:val="auto"/>
          <w:sz w:val="48"/>
          <w:szCs w:val="48"/>
          <w:highlight w:val="none"/>
        </w:rPr>
      </w:pPr>
    </w:p>
    <w:p>
      <w:pPr>
        <w:jc w:val="center"/>
        <w:outlineLvl w:val="2"/>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国家电投集团贵州金元股份有限公司</w:t>
      </w:r>
    </w:p>
    <w:p>
      <w:pPr>
        <w:spacing w:line="800" w:lineRule="exact"/>
        <w:jc w:val="center"/>
        <w:outlineLvl w:val="2"/>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202</w:t>
      </w:r>
      <w:r>
        <w:rPr>
          <w:rFonts w:hint="eastAsia" w:ascii="宋体" w:hAnsi="宋体" w:cs="宋体"/>
          <w:b/>
          <w:bCs/>
          <w:color w:val="auto"/>
          <w:sz w:val="48"/>
          <w:szCs w:val="48"/>
          <w:highlight w:val="none"/>
          <w:lang w:val="en-US" w:eastAsia="zh-CN"/>
        </w:rPr>
        <w:t>4</w:t>
      </w:r>
      <w:r>
        <w:rPr>
          <w:rFonts w:hint="eastAsia" w:ascii="宋体" w:hAnsi="宋体" w:cs="宋体"/>
          <w:b/>
          <w:bCs/>
          <w:color w:val="auto"/>
          <w:sz w:val="48"/>
          <w:szCs w:val="48"/>
          <w:highlight w:val="none"/>
        </w:rPr>
        <w:t>年年度报告</w:t>
      </w: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pStyle w:val="15"/>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p>
    <w:p>
      <w:pPr>
        <w:pStyle w:val="33"/>
        <w:spacing w:line="360" w:lineRule="auto"/>
        <w:jc w:val="center"/>
        <w:rPr>
          <w:rFonts w:hint="eastAsia" w:ascii="宋体" w:hAnsi="宋体" w:eastAsia="宋体" w:cs="宋体"/>
          <w:color w:val="auto"/>
          <w:highlight w:val="none"/>
        </w:rPr>
      </w:pPr>
      <w:bookmarkStart w:id="0" w:name="_Toc15375"/>
      <w:bookmarkStart w:id="1" w:name="_Toc16728"/>
      <w:bookmarkStart w:id="2" w:name="_Toc15619"/>
      <w:bookmarkStart w:id="3" w:name="_Toc24683"/>
      <w:bookmarkStart w:id="4" w:name="_Toc20418"/>
      <w:r>
        <w:rPr>
          <w:rFonts w:hint="eastAsia" w:ascii="宋体" w:hAnsi="宋体" w:eastAsia="宋体" w:cs="宋体"/>
          <w:color w:val="auto"/>
          <w:highlight w:val="none"/>
        </w:rPr>
        <w:t>国家电投集团贵州金元股份有限公司</w:t>
      </w:r>
      <w:bookmarkEnd w:id="0"/>
      <w:bookmarkEnd w:id="1"/>
      <w:bookmarkEnd w:id="2"/>
      <w:bookmarkEnd w:id="3"/>
      <w:bookmarkEnd w:id="4"/>
    </w:p>
    <w:p>
      <w:pPr>
        <w:pStyle w:val="33"/>
        <w:spacing w:line="360" w:lineRule="auto"/>
        <w:jc w:val="center"/>
        <w:rPr>
          <w:rFonts w:hint="eastAsia" w:ascii="宋体" w:hAnsi="宋体" w:eastAsia="宋体" w:cs="宋体"/>
          <w:color w:val="auto"/>
          <w:highlight w:val="none"/>
          <w:lang w:val="zh-CN"/>
        </w:rPr>
      </w:pPr>
      <w:bookmarkStart w:id="5" w:name="_Toc23377"/>
      <w:bookmarkStart w:id="6" w:name="_Toc10027"/>
      <w:bookmarkStart w:id="7" w:name="_Toc15008"/>
      <w:bookmarkStart w:id="8" w:name="_Toc27321"/>
      <w:bookmarkStart w:id="9" w:name="_Toc20365"/>
      <w:r>
        <w:rPr>
          <w:rFonts w:hint="eastAsia" w:ascii="宋体" w:hAnsi="宋体" w:eastAsia="宋体" w:cs="宋体"/>
          <w:color w:val="auto"/>
          <w:highlight w:val="none"/>
          <w:lang w:val="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月</w:t>
      </w:r>
      <w:bookmarkEnd w:id="5"/>
      <w:bookmarkEnd w:id="6"/>
      <w:bookmarkEnd w:id="7"/>
      <w:bookmarkEnd w:id="8"/>
      <w:bookmarkEnd w:id="9"/>
    </w:p>
    <w:p>
      <w:pPr>
        <w:rPr>
          <w:rFonts w:hint="eastAsia" w:ascii="宋体" w:hAnsi="宋体" w:cs="宋体"/>
          <w:color w:val="auto"/>
          <w:sz w:val="24"/>
          <w:szCs w:val="24"/>
          <w:highlight w:val="none"/>
          <w:lang w:val="zh-CN"/>
        </w:rPr>
      </w:pPr>
    </w:p>
    <w:p>
      <w:pPr>
        <w:rPr>
          <w:rFonts w:hint="eastAsia" w:ascii="宋体" w:hAnsi="宋体" w:cs="宋体"/>
          <w:color w:val="auto"/>
          <w:sz w:val="24"/>
          <w:szCs w:val="24"/>
          <w:highlight w:val="none"/>
          <w:lang w:val="zh-CN"/>
        </w:rPr>
      </w:pPr>
    </w:p>
    <w:p>
      <w:pPr>
        <w:rPr>
          <w:rFonts w:hint="eastAsia" w:ascii="宋体" w:hAnsi="宋体" w:cs="宋体"/>
          <w:color w:val="auto"/>
          <w:sz w:val="24"/>
          <w:szCs w:val="24"/>
          <w:highlight w:val="none"/>
          <w:lang w:val="zh-CN"/>
        </w:rPr>
        <w:sectPr>
          <w:footerReference r:id="rId3" w:type="default"/>
          <w:pgSz w:w="11907" w:h="16839"/>
          <w:pgMar w:top="1440" w:right="1797" w:bottom="1440" w:left="1797" w:header="680" w:footer="992" w:gutter="0"/>
          <w:pgNumType w:fmt="decimal"/>
          <w:cols w:space="720" w:num="1"/>
          <w:docGrid w:linePitch="312" w:charSpace="0"/>
        </w:sectPr>
      </w:pPr>
    </w:p>
    <w:p>
      <w:pPr>
        <w:pStyle w:val="15"/>
        <w:rPr>
          <w:rFonts w:hint="eastAsia"/>
          <w:color w:val="auto"/>
          <w:highlight w:val="none"/>
          <w:lang w:val="zh-CN"/>
        </w:rPr>
      </w:pPr>
    </w:p>
    <w:p>
      <w:pPr>
        <w:pStyle w:val="33"/>
        <w:spacing w:line="360" w:lineRule="auto"/>
        <w:jc w:val="center"/>
        <w:rPr>
          <w:rFonts w:hint="eastAsia" w:ascii="宋体" w:hAnsi="宋体" w:eastAsia="宋体" w:cs="宋体"/>
          <w:color w:val="auto"/>
          <w:sz w:val="24"/>
          <w:szCs w:val="24"/>
          <w:highlight w:val="none"/>
          <w:lang w:val="zh-CN"/>
        </w:rPr>
      </w:pPr>
    </w:p>
    <w:p>
      <w:pPr>
        <w:pStyle w:val="33"/>
        <w:spacing w:line="360" w:lineRule="auto"/>
        <w:jc w:val="center"/>
        <w:rPr>
          <w:rFonts w:hint="eastAsia" w:ascii="宋体" w:hAnsi="宋体" w:eastAsia="宋体" w:cs="宋体"/>
          <w:b/>
          <w:bCs/>
          <w:color w:val="auto"/>
          <w:sz w:val="44"/>
          <w:szCs w:val="44"/>
          <w:highlight w:val="none"/>
          <w:lang w:val="zh-CN"/>
        </w:rPr>
      </w:pPr>
      <w:bookmarkStart w:id="10" w:name="_Toc15043"/>
      <w:bookmarkStart w:id="11" w:name="_Toc5541"/>
      <w:bookmarkStart w:id="12" w:name="_Toc4211"/>
      <w:bookmarkStart w:id="13" w:name="_Toc13312"/>
      <w:bookmarkStart w:id="14" w:name="_Toc3056"/>
      <w:r>
        <w:rPr>
          <w:rFonts w:hint="eastAsia" w:ascii="宋体" w:hAnsi="宋体" w:eastAsia="宋体" w:cs="宋体"/>
          <w:b/>
          <w:bCs/>
          <w:color w:val="auto"/>
          <w:sz w:val="44"/>
          <w:szCs w:val="44"/>
          <w:highlight w:val="none"/>
          <w:lang w:val="zh-CN"/>
        </w:rPr>
        <w:t>目</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val="zh-CN"/>
        </w:rPr>
        <w:t>录</w:t>
      </w:r>
      <w:bookmarkEnd w:id="10"/>
      <w:bookmarkEnd w:id="11"/>
      <w:bookmarkEnd w:id="12"/>
      <w:bookmarkEnd w:id="13"/>
      <w:bookmarkEnd w:id="14"/>
    </w:p>
    <w:p>
      <w:pPr>
        <w:rPr>
          <w:rFonts w:hint="eastAsia"/>
          <w:color w:val="auto"/>
          <w:highlight w:val="none"/>
          <w:shd w:val="clear" w:color="FFFFFF" w:fill="D9D9D9"/>
        </w:rPr>
      </w:pPr>
    </w:p>
    <w:p>
      <w:pPr>
        <w:pStyle w:val="14"/>
        <w:tabs>
          <w:tab w:val="right" w:leader="dot" w:pos="8313"/>
        </w:tabs>
        <w:rPr>
          <w:color w:val="auto"/>
          <w:highlight w:val="none"/>
        </w:rPr>
      </w:pPr>
      <w:r>
        <w:rPr>
          <w:rFonts w:hint="eastAsia" w:ascii="宋体" w:hAnsi="宋体" w:cs="宋体"/>
          <w:color w:val="auto"/>
          <w:sz w:val="24"/>
          <w:szCs w:val="24"/>
          <w:highlight w:val="none"/>
          <w:shd w:val="clear" w:color="FFFFFF" w:fill="D9D9D9"/>
        </w:rPr>
        <w:fldChar w:fldCharType="begin"/>
      </w:r>
      <w:r>
        <w:rPr>
          <w:rFonts w:hint="eastAsia" w:ascii="宋体" w:hAnsi="宋体" w:cs="宋体"/>
          <w:color w:val="auto"/>
          <w:sz w:val="24"/>
          <w:szCs w:val="24"/>
          <w:highlight w:val="none"/>
          <w:shd w:val="clear" w:color="FFFFFF" w:fill="D9D9D9"/>
        </w:rPr>
        <w:instrText xml:space="preserve">TOC \o "1-1" \h \u </w:instrText>
      </w:r>
      <w:r>
        <w:rPr>
          <w:rFonts w:hint="eastAsia" w:ascii="宋体" w:hAnsi="宋体" w:cs="宋体"/>
          <w:color w:val="auto"/>
          <w:sz w:val="24"/>
          <w:szCs w:val="24"/>
          <w:highlight w:val="none"/>
          <w:shd w:val="clear" w:color="FFFFFF" w:fill="D9D9D9"/>
        </w:rPr>
        <w:fldChar w:fldCharType="separate"/>
      </w:r>
    </w:p>
    <w:p>
      <w:pPr>
        <w:pStyle w:val="14"/>
        <w:tabs>
          <w:tab w:val="right" w:leader="dot" w:pos="8313"/>
        </w:tabs>
        <w:spacing w:line="360" w:lineRule="auto"/>
        <w:rPr>
          <w:rFonts w:hint="eastAsia" w:ascii="宋体" w:hAnsi="宋体" w:cs="宋体"/>
          <w:color w:val="auto"/>
          <w:sz w:val="24"/>
          <w:szCs w:val="24"/>
          <w:highlight w:val="none"/>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_Toc13928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color w:val="auto"/>
          <w:sz w:val="24"/>
          <w:szCs w:val="24"/>
          <w:highlight w:val="none"/>
        </w:rPr>
        <w:t>第一节 重要提示、目录和释义</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_Toc13928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32"/>
          <w:highlight w:val="none"/>
          <w:shd w:val="clear" w:color="FFFFFF" w:fill="D9D9D9"/>
        </w:rPr>
        <w:fldChar w:fldCharType="end"/>
      </w:r>
    </w:p>
    <w:p>
      <w:pPr>
        <w:pStyle w:val="14"/>
        <w:tabs>
          <w:tab w:val="right" w:leader="dot" w:pos="8313"/>
        </w:tabs>
        <w:spacing w:line="360" w:lineRule="auto"/>
        <w:rPr>
          <w:rFonts w:hint="eastAsia" w:ascii="宋体" w:hAnsi="宋体" w:cs="宋体"/>
          <w:color w:val="auto"/>
          <w:sz w:val="24"/>
          <w:szCs w:val="24"/>
          <w:highlight w:val="none"/>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_Toc2937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color w:val="auto"/>
          <w:sz w:val="24"/>
          <w:szCs w:val="24"/>
          <w:highlight w:val="none"/>
        </w:rPr>
        <w:t>第二节 基本情况简介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32"/>
          <w:highlight w:val="none"/>
          <w:shd w:val="clear" w:color="FFFFFF" w:fill="D9D9D9"/>
        </w:rPr>
        <w:fldChar w:fldCharType="end"/>
      </w:r>
    </w:p>
    <w:p>
      <w:pPr>
        <w:pStyle w:val="14"/>
        <w:tabs>
          <w:tab w:val="right" w:leader="dot" w:pos="8313"/>
        </w:tabs>
        <w:spacing w:line="360" w:lineRule="auto"/>
        <w:rPr>
          <w:rFonts w:hint="eastAsia" w:ascii="宋体" w:hAnsi="宋体" w:cs="宋体"/>
          <w:color w:val="auto"/>
          <w:sz w:val="24"/>
          <w:szCs w:val="24"/>
          <w:highlight w:val="none"/>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_Toc16334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bCs/>
          <w:color w:val="auto"/>
          <w:sz w:val="24"/>
          <w:szCs w:val="32"/>
          <w:highlight w:val="none"/>
        </w:rPr>
        <w:t>第三节 会计数据、经营情况和管理层分析</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cs="宋体"/>
          <w:color w:val="auto"/>
          <w:sz w:val="24"/>
          <w:szCs w:val="32"/>
          <w:highlight w:val="none"/>
          <w:shd w:val="clear" w:color="FFFFFF" w:fill="D9D9D9"/>
        </w:rPr>
        <w:fldChar w:fldCharType="end"/>
      </w:r>
    </w:p>
    <w:p>
      <w:pPr>
        <w:pStyle w:val="14"/>
        <w:tabs>
          <w:tab w:val="right" w:leader="dot" w:pos="8313"/>
        </w:tabs>
        <w:spacing w:line="360" w:lineRule="auto"/>
        <w:rPr>
          <w:rFonts w:hint="eastAsia" w:ascii="宋体" w:hAnsi="宋体" w:cs="宋体"/>
          <w:color w:val="auto"/>
          <w:sz w:val="24"/>
          <w:szCs w:val="24"/>
          <w:highlight w:val="none"/>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_Toc13665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bCs/>
          <w:color w:val="auto"/>
          <w:sz w:val="24"/>
          <w:szCs w:val="32"/>
          <w:highlight w:val="none"/>
        </w:rPr>
        <w:t>第四节 董事、监事、高级管理人员情况</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14</w:t>
      </w:r>
      <w:r>
        <w:rPr>
          <w:rFonts w:hint="eastAsia" w:ascii="宋体" w:hAnsi="宋体" w:cs="宋体"/>
          <w:color w:val="auto"/>
          <w:sz w:val="24"/>
          <w:szCs w:val="32"/>
          <w:highlight w:val="none"/>
          <w:shd w:val="clear" w:color="FFFFFF" w:fill="D9D9D9"/>
        </w:rPr>
        <w:fldChar w:fldCharType="end"/>
      </w:r>
    </w:p>
    <w:p>
      <w:pPr>
        <w:pStyle w:val="14"/>
        <w:tabs>
          <w:tab w:val="right" w:leader="dot" w:pos="8313"/>
        </w:tabs>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_Toc21854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bCs/>
          <w:color w:val="auto"/>
          <w:sz w:val="24"/>
          <w:szCs w:val="24"/>
          <w:highlight w:val="none"/>
        </w:rPr>
        <w:t>第五节 公司治理、内部控制和投资者保护</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32"/>
          <w:highlight w:val="none"/>
          <w:shd w:val="clear" w:color="FFFFFF" w:fill="D9D9D9"/>
        </w:rPr>
        <w:fldChar w:fldCharType="end"/>
      </w:r>
      <w:r>
        <w:rPr>
          <w:rFonts w:hint="eastAsia" w:ascii="宋体" w:hAnsi="宋体" w:cs="宋体"/>
          <w:color w:val="auto"/>
          <w:sz w:val="24"/>
          <w:szCs w:val="32"/>
          <w:highlight w:val="none"/>
          <w:shd w:val="clear" w:color="FFFFFF" w:fill="D9D9D9"/>
          <w:lang w:val="en-US" w:eastAsia="zh-CN"/>
        </w:rPr>
        <w:t>0</w:t>
      </w:r>
    </w:p>
    <w:p>
      <w:pPr>
        <w:pStyle w:val="14"/>
        <w:tabs>
          <w:tab w:val="right" w:leader="dot" w:pos="8313"/>
        </w:tabs>
        <w:spacing w:line="360" w:lineRule="auto"/>
        <w:rPr>
          <w:rFonts w:hint="eastAsia" w:ascii="宋体" w:hAnsi="宋体" w:cs="宋体"/>
          <w:color w:val="auto"/>
          <w:sz w:val="24"/>
          <w:szCs w:val="24"/>
          <w:highlight w:val="none"/>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_Toc2550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bCs/>
          <w:color w:val="auto"/>
          <w:sz w:val="24"/>
          <w:szCs w:val="24"/>
          <w:highlight w:val="none"/>
        </w:rPr>
        <w:t>第六节 重要事项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_Toc2550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fldChar w:fldCharType="end"/>
      </w:r>
      <w:r>
        <w:rPr>
          <w:rFonts w:hint="eastAsia" w:ascii="宋体" w:hAnsi="宋体" w:cs="宋体"/>
          <w:color w:val="auto"/>
          <w:sz w:val="24"/>
          <w:szCs w:val="32"/>
          <w:highlight w:val="none"/>
          <w:shd w:val="clear" w:color="FFFFFF" w:fill="D9D9D9"/>
        </w:rPr>
        <w:fldChar w:fldCharType="end"/>
      </w:r>
    </w:p>
    <w:p>
      <w:pPr>
        <w:pStyle w:val="14"/>
        <w:tabs>
          <w:tab w:val="right" w:leader="dot" w:pos="8313"/>
        </w:tabs>
        <w:spacing w:line="360" w:lineRule="auto"/>
        <w:rPr>
          <w:rFonts w:hint="eastAsia" w:eastAsia="宋体"/>
          <w:color w:val="auto"/>
          <w:highlight w:val="none"/>
          <w:lang w:val="en-US" w:eastAsia="zh-CN"/>
        </w:rPr>
      </w:pPr>
      <w:r>
        <w:rPr>
          <w:rFonts w:hint="eastAsia" w:ascii="宋体" w:hAnsi="宋体" w:cs="宋体"/>
          <w:color w:val="auto"/>
          <w:sz w:val="24"/>
          <w:szCs w:val="32"/>
          <w:highlight w:val="none"/>
          <w:shd w:val="clear" w:color="FFFFFF" w:fill="D9D9D9"/>
        </w:rPr>
        <w:fldChar w:fldCharType="begin"/>
      </w:r>
      <w:r>
        <w:rPr>
          <w:rFonts w:hint="eastAsia" w:ascii="宋体" w:hAnsi="宋体" w:cs="宋体"/>
          <w:color w:val="auto"/>
          <w:sz w:val="24"/>
          <w:szCs w:val="32"/>
          <w:highlight w:val="none"/>
          <w:shd w:val="clear" w:color="FFFFFF" w:fill="D9D9D9"/>
        </w:rPr>
        <w:instrText xml:space="preserve"> HYPERLINK \l _Toc10869 </w:instrText>
      </w:r>
      <w:r>
        <w:rPr>
          <w:rFonts w:hint="eastAsia" w:ascii="宋体" w:hAnsi="宋体" w:cs="宋体"/>
          <w:color w:val="auto"/>
          <w:sz w:val="24"/>
          <w:szCs w:val="32"/>
          <w:highlight w:val="none"/>
          <w:shd w:val="clear" w:color="FFFFFF" w:fill="D9D9D9"/>
        </w:rPr>
        <w:fldChar w:fldCharType="separate"/>
      </w:r>
      <w:r>
        <w:rPr>
          <w:rFonts w:hint="eastAsia" w:ascii="宋体" w:hAnsi="宋体" w:cs="宋体"/>
          <w:bCs/>
          <w:color w:val="auto"/>
          <w:sz w:val="24"/>
          <w:szCs w:val="24"/>
          <w:highlight w:val="none"/>
        </w:rPr>
        <w:t>第七节 会计财务报告</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32"/>
          <w:highlight w:val="none"/>
          <w:shd w:val="clear" w:color="FFFFFF" w:fill="D9D9D9"/>
        </w:rPr>
        <w:fldChar w:fldCharType="end"/>
      </w:r>
      <w:r>
        <w:rPr>
          <w:rFonts w:hint="eastAsia" w:ascii="宋体" w:hAnsi="宋体" w:cs="宋体"/>
          <w:color w:val="auto"/>
          <w:sz w:val="24"/>
          <w:szCs w:val="32"/>
          <w:highlight w:val="none"/>
          <w:shd w:val="clear" w:color="FFFFFF" w:fill="D9D9D9"/>
          <w:lang w:val="en-US" w:eastAsia="zh-CN"/>
        </w:rPr>
        <w:t>7</w:t>
      </w:r>
    </w:p>
    <w:p>
      <w:pPr>
        <w:pStyle w:val="14"/>
        <w:tabs>
          <w:tab w:val="right" w:leader="dot" w:pos="8313"/>
        </w:tabs>
        <w:rPr>
          <w:color w:val="auto"/>
          <w:highlight w:val="none"/>
        </w:rPr>
      </w:pPr>
    </w:p>
    <w:p>
      <w:pPr>
        <w:pStyle w:val="14"/>
        <w:tabs>
          <w:tab w:val="right" w:leader="dot" w:pos="8313"/>
        </w:tabs>
        <w:rPr>
          <w:color w:val="auto"/>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Cs w:val="24"/>
          <w:highlight w:val="none"/>
          <w:shd w:val="clear" w:color="FFFFFF" w:fill="D9D9D9"/>
        </w:rPr>
        <w:fldChar w:fldCharType="end"/>
      </w: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p>
    <w:p>
      <w:pPr>
        <w:spacing w:line="360" w:lineRule="auto"/>
        <w:rPr>
          <w:rFonts w:hint="eastAsia" w:ascii="宋体" w:hAnsi="宋体" w:cs="宋体"/>
          <w:b/>
          <w:bCs/>
          <w:color w:val="auto"/>
          <w:sz w:val="24"/>
          <w:szCs w:val="24"/>
          <w:highlight w:val="none"/>
        </w:rPr>
      </w:pPr>
    </w:p>
    <w:p>
      <w:pPr>
        <w:spacing w:line="360" w:lineRule="auto"/>
        <w:rPr>
          <w:rFonts w:hint="eastAsia" w:ascii="宋体" w:hAnsi="宋体" w:cs="宋体"/>
          <w:b/>
          <w:bCs/>
          <w:color w:val="auto"/>
          <w:sz w:val="24"/>
          <w:szCs w:val="24"/>
          <w:highlight w:val="none"/>
        </w:rPr>
      </w:pPr>
    </w:p>
    <w:p>
      <w:pPr>
        <w:spacing w:line="360" w:lineRule="auto"/>
        <w:rPr>
          <w:rFonts w:hint="eastAsia" w:ascii="宋体" w:hAnsi="宋体" w:cs="宋体"/>
          <w:b/>
          <w:bCs/>
          <w:color w:val="auto"/>
          <w:sz w:val="24"/>
          <w:szCs w:val="24"/>
          <w:highlight w:val="none"/>
        </w:rPr>
      </w:pPr>
    </w:p>
    <w:p>
      <w:pPr>
        <w:spacing w:line="360" w:lineRule="auto"/>
        <w:ind w:firstLine="420"/>
        <w:jc w:val="center"/>
        <w:outlineLvl w:val="0"/>
        <w:rPr>
          <w:rFonts w:hint="eastAsia" w:ascii="宋体" w:hAnsi="宋体" w:cs="宋体"/>
          <w:b/>
          <w:bCs/>
          <w:color w:val="auto"/>
          <w:sz w:val="24"/>
          <w:szCs w:val="24"/>
          <w:highlight w:val="none"/>
        </w:rPr>
        <w:sectPr>
          <w:footerReference r:id="rId4" w:type="default"/>
          <w:pgSz w:w="11907" w:h="16839"/>
          <w:pgMar w:top="1440" w:right="1797" w:bottom="1440" w:left="1797" w:header="680" w:footer="992" w:gutter="0"/>
          <w:pgNumType w:fmt="decimal" w:start="1"/>
          <w:cols w:space="720" w:num="1"/>
          <w:docGrid w:linePitch="312" w:charSpace="0"/>
        </w:sectPr>
      </w:pPr>
      <w:bookmarkStart w:id="15" w:name="_Toc129711701"/>
    </w:p>
    <w:p>
      <w:pPr>
        <w:pStyle w:val="3"/>
        <w:numPr>
          <w:ilvl w:val="0"/>
          <w:numId w:val="0"/>
        </w:numPr>
        <w:spacing w:before="120" w:after="120"/>
        <w:rPr>
          <w:rFonts w:hint="eastAsia" w:ascii="黑体" w:hAnsi="黑体" w:eastAsia="黑体" w:cs="黑体"/>
          <w:color w:val="auto"/>
          <w:spacing w:val="-5"/>
          <w:sz w:val="28"/>
          <w:szCs w:val="28"/>
          <w:highlight w:val="none"/>
        </w:rPr>
      </w:pPr>
      <w:bookmarkStart w:id="16" w:name="_Toc25750"/>
      <w:bookmarkStart w:id="17" w:name="_Toc21591"/>
      <w:bookmarkStart w:id="18" w:name="_Toc24498"/>
      <w:bookmarkStart w:id="19" w:name="_Toc18253"/>
      <w:r>
        <w:rPr>
          <w:rFonts w:hint="eastAsia" w:ascii="黑体" w:hAnsi="黑体" w:eastAsia="黑体" w:cs="黑体"/>
          <w:b/>
          <w:bCs w:val="0"/>
          <w:color w:val="auto"/>
          <w:sz w:val="28"/>
          <w:szCs w:val="28"/>
          <w:highlight w:val="none"/>
        </w:rPr>
        <w:t xml:space="preserve">第一节 </w:t>
      </w:r>
      <w:bookmarkStart w:id="20" w:name="_Toc13928"/>
      <w:r>
        <w:rPr>
          <w:rFonts w:hint="eastAsia" w:ascii="黑体" w:hAnsi="黑体" w:eastAsia="黑体" w:cs="黑体"/>
          <w:b/>
          <w:bCs w:val="0"/>
          <w:color w:val="auto"/>
          <w:sz w:val="28"/>
          <w:szCs w:val="28"/>
          <w:highlight w:val="none"/>
        </w:rPr>
        <w:t>重要提示、目录和释义</w:t>
      </w:r>
      <w:bookmarkEnd w:id="15"/>
      <w:bookmarkEnd w:id="16"/>
      <w:bookmarkEnd w:id="17"/>
      <w:bookmarkEnd w:id="18"/>
      <w:bookmarkEnd w:id="19"/>
      <w:bookmarkEnd w:id="20"/>
    </w:p>
    <w:p>
      <w:pPr>
        <w:pStyle w:val="34"/>
        <w:keepNext w:val="0"/>
        <w:keepLines w:val="0"/>
        <w:pageBreakBefore w:val="0"/>
        <w:widowControl w:val="0"/>
        <w:kinsoku/>
        <w:wordWrap/>
        <w:overflowPunct/>
        <w:topLinePunct w:val="0"/>
        <w:bidi w:val="0"/>
        <w:snapToGrid/>
        <w:spacing w:line="480" w:lineRule="exact"/>
        <w:ind w:left="0" w:leftChars="0" w:firstLine="0" w:firstLineChars="0"/>
        <w:jc w:val="left"/>
        <w:rPr>
          <w:rFonts w:hint="eastAsia" w:ascii="宋体" w:hAnsi="宋体" w:eastAsia="宋体" w:cs="宋体"/>
          <w:b/>
          <w:bCs/>
          <w:color w:val="auto"/>
          <w:spacing w:val="-5"/>
          <w:kern w:val="2"/>
          <w:sz w:val="24"/>
          <w:szCs w:val="24"/>
          <w:highlight w:val="none"/>
          <w:lang w:val="en-US"/>
        </w:rPr>
      </w:pPr>
      <w:r>
        <w:rPr>
          <w:rFonts w:hint="eastAsia" w:ascii="宋体" w:hAnsi="宋体" w:eastAsia="宋体" w:cs="宋体"/>
          <w:b/>
          <w:bCs/>
          <w:color w:val="auto"/>
          <w:spacing w:val="-5"/>
          <w:kern w:val="2"/>
          <w:sz w:val="24"/>
          <w:szCs w:val="24"/>
          <w:highlight w:val="none"/>
          <w:lang w:val="en-US"/>
        </w:rPr>
        <w:t>【声明】</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公</w:t>
      </w:r>
      <w:r>
        <w:rPr>
          <w:rFonts w:hint="eastAsia" w:ascii="宋体" w:hAnsi="宋体" w:cs="宋体"/>
          <w:color w:val="auto"/>
          <w:sz w:val="24"/>
          <w:szCs w:val="24"/>
          <w:highlight w:val="none"/>
        </w:rPr>
        <w:t>司控股股东、实际控制人、董事、监事、高级管理人员保证本报告所载资料不存在任何虚假记载、误导性陈述或者重大遗漏，并对其内容的真实性、准确性和完整性承担个别及连带责任。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公司负责人朱绍纯、主管会计工作负责人</w:t>
      </w:r>
      <w:r>
        <w:rPr>
          <w:rFonts w:hint="eastAsia" w:ascii="宋体" w:hAnsi="宋体" w:cs="宋体"/>
          <w:color w:val="auto"/>
          <w:sz w:val="24"/>
          <w:szCs w:val="24"/>
          <w:highlight w:val="none"/>
          <w:lang w:val="en-US" w:eastAsia="zh-CN"/>
        </w:rPr>
        <w:t>马梦萧</w:t>
      </w:r>
      <w:r>
        <w:rPr>
          <w:rFonts w:hint="eastAsia" w:ascii="宋体" w:hAnsi="宋体" w:cs="宋体"/>
          <w:color w:val="auto"/>
          <w:sz w:val="24"/>
          <w:szCs w:val="24"/>
          <w:highlight w:val="none"/>
        </w:rPr>
        <w:t>及会计机构负责人（会计主管人员）徐学强保证年度报告中财务报告的真实、准确、完整。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立信会计师事务所（特殊普通合伙）</w:t>
      </w:r>
      <w:r>
        <w:rPr>
          <w:rFonts w:hint="eastAsia" w:ascii="宋体" w:hAnsi="宋体" w:cs="宋体"/>
          <w:color w:val="auto"/>
          <w:sz w:val="24"/>
          <w:szCs w:val="24"/>
          <w:highlight w:val="none"/>
        </w:rPr>
        <w:t>对公司出具了标准无保留意见的审计报告。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本年度报告涉及未来计划等前瞻性陈述，不构成公司对投资者的实质承诺，投资者及相关人士均应对此保持足够的风险认识，并且应当理解计划、预测与承诺之间的差异。</w:t>
      </w:r>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724"/>
        <w:gridCol w:w="18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6724" w:type="dxa"/>
            <w:noWrap w:val="0"/>
            <w:vAlign w:val="center"/>
          </w:tcPr>
          <w:p>
            <w:pPr>
              <w:spacing w:line="360" w:lineRule="auto"/>
              <w:jc w:val="center"/>
              <w:rPr>
                <w:rFonts w:hint="eastAsia" w:ascii="宋体" w:hAnsi="宋体" w:cs="宋体"/>
                <w:b/>
                <w:bCs/>
                <w:color w:val="auto"/>
                <w:kern w:val="0"/>
                <w:sz w:val="20"/>
                <w:szCs w:val="22"/>
                <w:highlight w:val="none"/>
              </w:rPr>
            </w:pPr>
            <w:r>
              <w:rPr>
                <w:rFonts w:hint="eastAsia" w:ascii="宋体" w:hAnsi="宋体" w:cs="宋体"/>
                <w:b/>
                <w:bCs/>
                <w:color w:val="auto"/>
                <w:kern w:val="0"/>
                <w:sz w:val="20"/>
                <w:szCs w:val="22"/>
                <w:highlight w:val="none"/>
              </w:rPr>
              <w:t>事项</w:t>
            </w:r>
          </w:p>
        </w:tc>
        <w:tc>
          <w:tcPr>
            <w:tcW w:w="1803" w:type="dxa"/>
            <w:noWrap w:val="0"/>
            <w:vAlign w:val="center"/>
          </w:tcPr>
          <w:p>
            <w:pPr>
              <w:spacing w:line="360" w:lineRule="auto"/>
              <w:jc w:val="center"/>
              <w:rPr>
                <w:rFonts w:hint="eastAsia" w:ascii="宋体" w:hAnsi="宋体" w:cs="宋体"/>
                <w:b/>
                <w:bCs/>
                <w:color w:val="auto"/>
                <w:kern w:val="0"/>
                <w:sz w:val="20"/>
                <w:szCs w:val="22"/>
                <w:highlight w:val="none"/>
              </w:rPr>
            </w:pPr>
            <w:r>
              <w:rPr>
                <w:rFonts w:hint="eastAsia" w:ascii="宋体" w:hAnsi="宋体" w:cs="宋体"/>
                <w:b/>
                <w:bCs/>
                <w:color w:val="auto"/>
                <w:kern w:val="0"/>
                <w:sz w:val="20"/>
                <w:szCs w:val="22"/>
                <w:highlight w:val="none"/>
              </w:rPr>
              <w:t>是或否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spacing w:val="-5"/>
                <w:kern w:val="0"/>
                <w:sz w:val="20"/>
                <w:szCs w:val="22"/>
                <w:highlight w:val="none"/>
              </w:rPr>
              <w:t>是否存在控股股东、实际控制人、董事、监事、高级管理人员对年度报告内容存在异议或无法保证其真实、准确、完整</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是否存在半数以上董事无法完全保证年度报告的真实性、准确性和完整性</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7"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董事会是否审议通过年度报告</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是否存在未出席董事会审议年度报告的董事</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是否存在未按要求披露的事项</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6724" w:type="dxa"/>
            <w:noWrap w:val="0"/>
            <w:vAlign w:val="top"/>
          </w:tcPr>
          <w:p>
            <w:pPr>
              <w:spacing w:line="360" w:lineRule="auto"/>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是否被出具非标准审计意见</w:t>
            </w:r>
          </w:p>
        </w:tc>
        <w:tc>
          <w:tcPr>
            <w:tcW w:w="1803" w:type="dxa"/>
            <w:noWrap w:val="0"/>
            <w:vAlign w:val="top"/>
          </w:tcPr>
          <w:p>
            <w:pPr>
              <w:spacing w:line="360" w:lineRule="auto"/>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□是 </w:instrText>
            </w:r>
            <w:r>
              <w:rPr>
                <w:rFonts w:hint="eastAsia" w:ascii="宋体" w:hAnsi="宋体" w:cs="宋体"/>
                <w:color w:val="auto"/>
                <w:kern w:val="0"/>
                <w:sz w:val="20"/>
                <w:szCs w:val="22"/>
                <w:highlight w:val="none"/>
              </w:rPr>
              <w:fldChar w:fldCharType="end"/>
            </w:r>
            <w:r>
              <w:rPr>
                <w:rFonts w:hint="eastAsia" w:ascii="宋体" w:hAnsi="宋体" w:cs="宋体"/>
                <w:color w:val="auto"/>
                <w:kern w:val="0"/>
                <w:sz w:val="20"/>
                <w:szCs w:val="22"/>
                <w:highlight w:val="none"/>
              </w:rPr>
              <w:fldChar w:fldCharType="begin"/>
            </w:r>
            <w:r>
              <w:rPr>
                <w:rFonts w:hint="eastAsia" w:ascii="宋体" w:hAnsi="宋体" w:cs="宋体"/>
                <w:color w:val="auto"/>
                <w:kern w:val="0"/>
                <w:sz w:val="20"/>
                <w:szCs w:val="22"/>
                <w:highlight w:val="none"/>
              </w:rPr>
              <w:instrText xml:space="preserve"> MACROBUTTON  SnrToggleCheckbox √否 </w:instrText>
            </w:r>
            <w:r>
              <w:rPr>
                <w:rFonts w:hint="eastAsia" w:ascii="宋体" w:hAnsi="宋体" w:cs="宋体"/>
                <w:color w:val="auto"/>
                <w:kern w:val="0"/>
                <w:sz w:val="20"/>
                <w:szCs w:val="22"/>
                <w:highlight w:val="none"/>
              </w:rPr>
              <w:fldChar w:fldCharType="end"/>
            </w:r>
          </w:p>
        </w:tc>
      </w:tr>
    </w:tbl>
    <w:p>
      <w:pPr>
        <w:keepNext w:val="0"/>
        <w:keepLines w:val="0"/>
        <w:pageBreakBefore w:val="0"/>
        <w:widowControl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snapToGrid/>
        <w:spacing w:line="48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【重大风险提示表】</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5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516" w:type="dxa"/>
            <w:noWrap w:val="0"/>
            <w:vAlign w:val="center"/>
          </w:tcPr>
          <w:p>
            <w:pPr>
              <w:spacing w:line="360" w:lineRule="auto"/>
              <w:jc w:val="center"/>
              <w:rPr>
                <w:rFonts w:hint="eastAsia" w:ascii="宋体" w:hAnsi="宋体" w:cs="宋体"/>
                <w:b/>
                <w:bCs/>
                <w:color w:val="auto"/>
                <w:kern w:val="0"/>
                <w:sz w:val="20"/>
                <w:szCs w:val="20"/>
                <w:highlight w:val="none"/>
                <w:shd w:val="clear" w:color="auto" w:fill="auto"/>
              </w:rPr>
            </w:pPr>
            <w:r>
              <w:rPr>
                <w:rFonts w:hint="eastAsia" w:ascii="宋体" w:hAnsi="宋体" w:cs="宋体"/>
                <w:b/>
                <w:bCs/>
                <w:color w:val="auto"/>
                <w:kern w:val="0"/>
                <w:sz w:val="20"/>
                <w:szCs w:val="20"/>
                <w:highlight w:val="none"/>
                <w:shd w:val="clear" w:color="auto" w:fill="auto"/>
              </w:rPr>
              <w:t>重大风险事项名称</w:t>
            </w:r>
          </w:p>
        </w:tc>
        <w:tc>
          <w:tcPr>
            <w:tcW w:w="5011" w:type="dxa"/>
            <w:noWrap w:val="0"/>
            <w:vAlign w:val="center"/>
          </w:tcPr>
          <w:p>
            <w:pPr>
              <w:spacing w:line="360" w:lineRule="auto"/>
              <w:jc w:val="center"/>
              <w:rPr>
                <w:rFonts w:hint="eastAsia" w:ascii="宋体" w:hAnsi="宋体" w:cs="宋体"/>
                <w:b/>
                <w:bCs/>
                <w:color w:val="auto"/>
                <w:kern w:val="0"/>
                <w:sz w:val="20"/>
                <w:szCs w:val="20"/>
                <w:highlight w:val="none"/>
                <w:shd w:val="clear" w:color="auto" w:fill="auto"/>
              </w:rPr>
            </w:pPr>
            <w:r>
              <w:rPr>
                <w:rFonts w:hint="eastAsia" w:ascii="宋体" w:hAnsi="宋体" w:cs="宋体"/>
                <w:b/>
                <w:bCs/>
                <w:color w:val="auto"/>
                <w:kern w:val="0"/>
                <w:sz w:val="20"/>
                <w:szCs w:val="20"/>
                <w:highlight w:val="none"/>
                <w:shd w:val="clear" w:color="auto" w:fill="auto"/>
              </w:rPr>
              <w:t>重大风险事项描述及分析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16" w:type="dxa"/>
            <w:noWrap w:val="0"/>
            <w:vAlign w:val="center"/>
          </w:tcPr>
          <w:p>
            <w:pPr>
              <w:spacing w:line="360" w:lineRule="auto"/>
              <w:jc w:val="both"/>
              <w:rPr>
                <w:rFonts w:hint="eastAsia"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lang w:val="en-US" w:eastAsia="zh-CN"/>
              </w:rPr>
              <w:t>1</w:t>
            </w:r>
            <w:r>
              <w:rPr>
                <w:rFonts w:hint="eastAsia" w:ascii="宋体" w:hAnsi="宋体" w:cs="宋体"/>
                <w:color w:val="auto"/>
                <w:kern w:val="0"/>
                <w:sz w:val="20"/>
                <w:szCs w:val="20"/>
                <w:highlight w:val="none"/>
                <w:lang w:val="en-US" w:eastAsia="zh-CN"/>
              </w:rPr>
              <w:t>.</w:t>
            </w:r>
            <w:r>
              <w:rPr>
                <w:rFonts w:hint="default" w:ascii="宋体" w:hAnsi="宋体" w:cs="宋体"/>
                <w:color w:val="auto"/>
                <w:kern w:val="0"/>
                <w:sz w:val="20"/>
                <w:szCs w:val="20"/>
                <w:highlight w:val="none"/>
                <w:lang w:val="en-US" w:eastAsia="zh-CN"/>
              </w:rPr>
              <w:t>发展转型风险</w:t>
            </w:r>
          </w:p>
        </w:tc>
        <w:tc>
          <w:tcPr>
            <w:tcW w:w="5011" w:type="dxa"/>
            <w:noWrap w:val="0"/>
            <w:vAlign w:val="center"/>
          </w:tcPr>
          <w:p>
            <w:pPr>
              <w:spacing w:line="240" w:lineRule="auto"/>
              <w:jc w:val="both"/>
              <w:rPr>
                <w:rFonts w:hint="eastAsia" w:ascii="宋体" w:hAnsi="宋体" w:cs="宋体"/>
                <w:color w:val="auto"/>
                <w:kern w:val="0"/>
                <w:sz w:val="20"/>
                <w:szCs w:val="20"/>
                <w:highlight w:val="none"/>
                <w:lang w:val="en-US" w:eastAsia="zh-CN"/>
              </w:rPr>
            </w:pPr>
            <w:r>
              <w:rPr>
                <w:rFonts w:hint="eastAsia" w:ascii="宋体" w:hAnsi="宋体" w:eastAsia="宋体" w:cs="宋体"/>
                <w:color w:val="auto"/>
                <w:kern w:val="0"/>
                <w:sz w:val="20"/>
                <w:szCs w:val="22"/>
                <w:highlight w:val="none"/>
                <w:lang w:val="en-US" w:eastAsia="zh-CN"/>
              </w:rPr>
              <w:t>一是贵州金元火电现有30万千瓦亚临界机组20台，占全省30万千瓦等级机组63%，占比较高，且贵州金元平均单机容量仅34.7万千瓦，机组煤耗高，亟需升级换代；二是贵州金元前期转型以光伏为主，目前风光比例仅0.07:1，面对未来新能源全电量入市，抗风险能力弱，风光比例亟需调整。火电结构调整、发展转型风险和减排压力大，可能面临亏损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516" w:type="dxa"/>
            <w:noWrap w:val="0"/>
            <w:vAlign w:val="top"/>
          </w:tcPr>
          <w:p>
            <w:pPr>
              <w:spacing w:line="360" w:lineRule="auto"/>
              <w:rPr>
                <w:rFonts w:hint="eastAsia" w:ascii="宋体" w:hAnsi="宋体" w:eastAsia="宋体" w:cs="宋体"/>
                <w:color w:val="auto"/>
                <w:kern w:val="0"/>
                <w:sz w:val="20"/>
                <w:szCs w:val="20"/>
                <w:highlight w:val="none"/>
                <w:shd w:val="clear" w:color="auto" w:fill="auto"/>
                <w:lang w:eastAsia="zh-CN"/>
              </w:rPr>
            </w:pPr>
            <w:r>
              <w:rPr>
                <w:rFonts w:hint="eastAsia" w:ascii="宋体" w:hAnsi="宋体" w:cs="宋体"/>
                <w:color w:val="auto"/>
                <w:kern w:val="0"/>
                <w:sz w:val="20"/>
                <w:szCs w:val="20"/>
                <w:highlight w:val="none"/>
                <w:shd w:val="clear" w:color="auto" w:fill="auto"/>
                <w:lang w:val="en-US" w:eastAsia="zh-CN"/>
              </w:rPr>
              <w:t>2、</w:t>
            </w:r>
            <w:r>
              <w:rPr>
                <w:rFonts w:hint="eastAsia" w:ascii="宋体" w:hAnsi="宋体" w:cs="宋体"/>
                <w:color w:val="auto"/>
                <w:kern w:val="0"/>
                <w:sz w:val="20"/>
                <w:szCs w:val="20"/>
                <w:highlight w:val="none"/>
                <w:shd w:val="clear" w:color="auto" w:fill="auto"/>
                <w:lang w:eastAsia="zh-CN"/>
              </w:rPr>
              <w:t>其他风险</w:t>
            </w:r>
          </w:p>
        </w:tc>
        <w:tc>
          <w:tcPr>
            <w:tcW w:w="5011" w:type="dxa"/>
            <w:noWrap w:val="0"/>
            <w:vAlign w:val="top"/>
          </w:tcPr>
          <w:p>
            <w:pPr>
              <w:spacing w:line="360" w:lineRule="auto"/>
              <w:jc w:val="both"/>
              <w:rPr>
                <w:rFonts w:hint="eastAsia" w:ascii="宋体" w:hAnsi="宋体" w:cs="宋体"/>
                <w:color w:val="auto"/>
                <w:kern w:val="0"/>
                <w:sz w:val="20"/>
                <w:szCs w:val="20"/>
                <w:highlight w:val="none"/>
                <w:lang w:val="en-US" w:eastAsia="zh-CN"/>
              </w:rPr>
            </w:pPr>
            <w:r>
              <w:rPr>
                <w:rFonts w:hint="default" w:ascii="宋体" w:hAnsi="宋体" w:cs="宋体"/>
                <w:color w:val="auto"/>
                <w:kern w:val="0"/>
                <w:sz w:val="20"/>
                <w:szCs w:val="20"/>
                <w:highlight w:val="none"/>
                <w:lang w:val="en-US" w:eastAsia="zh-CN"/>
              </w:rPr>
              <w:t>投资效益</w:t>
            </w:r>
            <w:r>
              <w:rPr>
                <w:rFonts w:hint="eastAsia" w:ascii="宋体" w:hAnsi="宋体" w:cs="宋体"/>
                <w:color w:val="auto"/>
                <w:kern w:val="0"/>
                <w:sz w:val="20"/>
                <w:szCs w:val="20"/>
                <w:highlight w:val="none"/>
                <w:lang w:val="en-US" w:eastAsia="zh-CN"/>
              </w:rPr>
              <w:t>；新能源补贴回收；</w:t>
            </w:r>
            <w:r>
              <w:rPr>
                <w:rFonts w:hint="default" w:ascii="宋体" w:hAnsi="宋体" w:cs="宋体"/>
                <w:color w:val="auto"/>
                <w:kern w:val="0"/>
                <w:sz w:val="20"/>
                <w:szCs w:val="20"/>
                <w:highlight w:val="none"/>
                <w:lang w:val="en-US" w:eastAsia="zh-CN"/>
              </w:rPr>
              <w:t>债务及现金流</w:t>
            </w:r>
            <w:r>
              <w:rPr>
                <w:rFonts w:hint="eastAsia" w:ascii="宋体" w:hAnsi="宋体" w:cs="宋体"/>
                <w:color w:val="auto"/>
                <w:kern w:val="0"/>
                <w:sz w:val="20"/>
                <w:szCs w:val="20"/>
                <w:highlight w:val="none"/>
                <w:lang w:val="en-US" w:eastAsia="zh-CN"/>
              </w:rPr>
              <w:t>；安全、质量、环保；依法合规等</w:t>
            </w:r>
            <w:r>
              <w:rPr>
                <w:rFonts w:hint="default" w:ascii="宋体" w:hAnsi="宋体" w:cs="宋体"/>
                <w:color w:val="auto"/>
                <w:kern w:val="0"/>
                <w:sz w:val="20"/>
                <w:szCs w:val="20"/>
                <w:highlight w:val="none"/>
                <w:lang w:val="en-US" w:eastAsia="zh-CN"/>
              </w:rPr>
              <w:t>风险</w:t>
            </w:r>
            <w:r>
              <w:rPr>
                <w:rFonts w:hint="eastAsia" w:ascii="宋体" w:hAnsi="宋体" w:cs="宋体"/>
                <w:color w:val="auto"/>
                <w:kern w:val="0"/>
                <w:sz w:val="20"/>
                <w:szCs w:val="20"/>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516" w:type="dxa"/>
            <w:noWrap w:val="0"/>
            <w:vAlign w:val="top"/>
          </w:tcPr>
          <w:p>
            <w:pPr>
              <w:spacing w:line="360" w:lineRule="auto"/>
              <w:rPr>
                <w:rFonts w:hint="eastAsia" w:ascii="宋体" w:hAnsi="宋体" w:cs="宋体"/>
                <w:color w:val="auto"/>
                <w:kern w:val="0"/>
                <w:sz w:val="20"/>
                <w:szCs w:val="20"/>
                <w:highlight w:val="none"/>
                <w:shd w:val="clear" w:color="auto" w:fill="auto"/>
                <w:lang w:val="en-US" w:eastAsia="zh-CN" w:bidi="ar-SA"/>
              </w:rPr>
            </w:pPr>
            <w:r>
              <w:rPr>
                <w:rFonts w:hint="eastAsia" w:ascii="宋体" w:hAnsi="宋体" w:cs="宋体"/>
                <w:color w:val="auto"/>
                <w:kern w:val="0"/>
                <w:sz w:val="20"/>
                <w:szCs w:val="20"/>
                <w:highlight w:val="none"/>
                <w:shd w:val="clear" w:color="auto" w:fill="auto"/>
                <w:lang w:val="en-US" w:eastAsia="zh-CN"/>
              </w:rPr>
              <w:t>3、</w:t>
            </w:r>
            <w:r>
              <w:rPr>
                <w:rFonts w:hint="eastAsia" w:ascii="宋体" w:hAnsi="宋体" w:cs="宋体"/>
                <w:color w:val="auto"/>
                <w:kern w:val="0"/>
                <w:sz w:val="20"/>
                <w:szCs w:val="20"/>
                <w:highlight w:val="none"/>
                <w:shd w:val="clear" w:color="auto" w:fill="auto"/>
              </w:rPr>
              <w:t>本期重大风险是否发生重大变化</w:t>
            </w:r>
          </w:p>
        </w:tc>
        <w:tc>
          <w:tcPr>
            <w:tcW w:w="5011" w:type="dxa"/>
            <w:noWrap w:val="0"/>
            <w:vAlign w:val="top"/>
          </w:tcPr>
          <w:p>
            <w:pPr>
              <w:spacing w:line="360" w:lineRule="auto"/>
              <w:jc w:val="both"/>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本期重大风险未发生重大变化。</w:t>
            </w:r>
          </w:p>
        </w:tc>
      </w:tr>
    </w:tbl>
    <w:p>
      <w:pPr>
        <w:spacing w:line="360" w:lineRule="auto"/>
        <w:rPr>
          <w:rFonts w:hint="eastAsia" w:ascii="宋体" w:hAnsi="宋体" w:cs="宋体"/>
          <w:color w:val="auto"/>
          <w:sz w:val="24"/>
          <w:szCs w:val="24"/>
          <w:highlight w:val="none"/>
        </w:rPr>
      </w:pP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释义</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628"/>
        <w:gridCol w:w="4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385" w:type="dxa"/>
            <w:noWrap w:val="0"/>
            <w:vAlign w:val="top"/>
          </w:tcPr>
          <w:p>
            <w:pPr>
              <w:jc w:val="center"/>
              <w:rPr>
                <w:rFonts w:hint="eastAsia" w:ascii="宋体" w:hAnsi="宋体" w:cs="宋体"/>
                <w:b/>
                <w:bCs/>
                <w:color w:val="auto"/>
                <w:kern w:val="0"/>
                <w:sz w:val="20"/>
                <w:szCs w:val="22"/>
                <w:highlight w:val="none"/>
              </w:rPr>
            </w:pPr>
            <w:r>
              <w:rPr>
                <w:rFonts w:hint="eastAsia" w:ascii="宋体" w:hAnsi="宋体" w:cs="宋体"/>
                <w:b/>
                <w:bCs/>
                <w:color w:val="auto"/>
                <w:kern w:val="0"/>
                <w:sz w:val="20"/>
                <w:szCs w:val="22"/>
                <w:highlight w:val="none"/>
              </w:rPr>
              <w:t>释义项目</w:t>
            </w:r>
          </w:p>
        </w:tc>
        <w:tc>
          <w:tcPr>
            <w:tcW w:w="628" w:type="dxa"/>
            <w:noWrap w:val="0"/>
            <w:vAlign w:val="top"/>
          </w:tcPr>
          <w:p>
            <w:pPr>
              <w:jc w:val="center"/>
              <w:rPr>
                <w:rFonts w:hint="eastAsia" w:ascii="宋体" w:hAnsi="宋体" w:cs="宋体"/>
                <w:b/>
                <w:bCs/>
                <w:color w:val="auto"/>
                <w:kern w:val="0"/>
                <w:sz w:val="20"/>
                <w:szCs w:val="22"/>
                <w:highlight w:val="none"/>
              </w:rPr>
            </w:pPr>
          </w:p>
        </w:tc>
        <w:tc>
          <w:tcPr>
            <w:tcW w:w="4514" w:type="dxa"/>
            <w:noWrap w:val="0"/>
            <w:vAlign w:val="top"/>
          </w:tcPr>
          <w:p>
            <w:pPr>
              <w:jc w:val="center"/>
              <w:rPr>
                <w:rFonts w:hint="eastAsia" w:ascii="宋体" w:hAnsi="宋体" w:cs="宋体"/>
                <w:b/>
                <w:bCs/>
                <w:color w:val="auto"/>
                <w:kern w:val="0"/>
                <w:sz w:val="20"/>
                <w:szCs w:val="22"/>
                <w:highlight w:val="none"/>
              </w:rPr>
            </w:pPr>
            <w:r>
              <w:rPr>
                <w:rFonts w:hint="eastAsia" w:ascii="宋体" w:hAnsi="宋体" w:cs="宋体"/>
                <w:b/>
                <w:bCs/>
                <w:color w:val="auto"/>
                <w:kern w:val="0"/>
                <w:sz w:val="20"/>
                <w:szCs w:val="22"/>
                <w:highlight w:val="none"/>
              </w:rPr>
              <w:t>释义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关联关系</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公司控股股东、实际控制人、董事、监事、高级管理人员及其直接或间接控制的企业，以及可能导致公司利益转移的其他关系。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“三会”议事规则</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《股东会议事规则》</w:t>
            </w:r>
            <w:r>
              <w:rPr>
                <w:rFonts w:hint="eastAsia" w:ascii="宋体" w:hAnsi="宋体" w:cs="宋体"/>
                <w:color w:val="auto"/>
                <w:kern w:val="0"/>
                <w:sz w:val="20"/>
                <w:szCs w:val="22"/>
                <w:highlight w:val="none"/>
                <w:lang w:eastAsia="zh-CN"/>
              </w:rPr>
              <w:t>、</w:t>
            </w:r>
            <w:r>
              <w:rPr>
                <w:rFonts w:hint="eastAsia" w:ascii="宋体" w:hAnsi="宋体" w:cs="宋体"/>
                <w:color w:val="auto"/>
                <w:kern w:val="0"/>
                <w:sz w:val="20"/>
                <w:szCs w:val="22"/>
                <w:highlight w:val="none"/>
              </w:rPr>
              <w:t>《董事会议事规则》、《监事会议事规则》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三会</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股东会、董事会、监事会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高级管理人员</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公司总经理、副总经理、董事会秘书、总会计师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元、万元</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人民币元、人民币万元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证监会</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eastAsia="宋体" w:cs="宋体"/>
                <w:color w:val="auto"/>
                <w:kern w:val="0"/>
                <w:sz w:val="20"/>
                <w:szCs w:val="22"/>
                <w:highlight w:val="none"/>
              </w:rPr>
            </w:pPr>
            <w:r>
              <w:rPr>
                <w:rFonts w:hint="eastAsia" w:ascii="宋体" w:hAnsi="宋体" w:eastAsia="宋体" w:cs="宋体"/>
                <w:color w:val="auto"/>
                <w:kern w:val="0"/>
                <w:sz w:val="20"/>
                <w:szCs w:val="22"/>
                <w:highlight w:val="none"/>
              </w:rPr>
              <w:t>中国证券监督管理委员会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审计报告</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eastAsia="宋体" w:cs="宋体"/>
                <w:color w:val="auto"/>
                <w:kern w:val="0"/>
                <w:sz w:val="20"/>
                <w:szCs w:val="22"/>
                <w:highlight w:val="none"/>
                <w:lang w:eastAsia="zh-CN"/>
              </w:rPr>
            </w:pPr>
            <w:r>
              <w:rPr>
                <w:rFonts w:hint="eastAsia" w:ascii="宋体" w:hAnsi="宋体" w:eastAsia="宋体" w:cs="宋体"/>
                <w:color w:val="auto"/>
                <w:kern w:val="0"/>
                <w:sz w:val="20"/>
                <w:szCs w:val="22"/>
                <w:highlight w:val="none"/>
                <w:lang w:val="en-US" w:eastAsia="zh-CN"/>
              </w:rPr>
              <w:t>立信会计师事务所（特殊普通合伙）信会师报字[2025]第ZG25875号</w:t>
            </w:r>
            <w:r>
              <w:rPr>
                <w:rFonts w:hint="eastAsia" w:ascii="宋体" w:hAnsi="宋体" w:eastAsia="宋体" w:cs="宋体"/>
                <w:color w:val="auto"/>
                <w:kern w:val="0"/>
                <w:sz w:val="20"/>
                <w:szCs w:val="22"/>
                <w:highlight w:val="none"/>
              </w:rPr>
              <w:t>标准无保留意见的审计报告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报告期内</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202</w:t>
            </w:r>
            <w:r>
              <w:rPr>
                <w:rFonts w:hint="eastAsia" w:ascii="宋体" w:hAnsi="宋体" w:cs="宋体"/>
                <w:color w:val="auto"/>
                <w:kern w:val="0"/>
                <w:sz w:val="20"/>
                <w:szCs w:val="22"/>
                <w:highlight w:val="none"/>
                <w:lang w:val="en-US" w:eastAsia="zh-CN"/>
              </w:rPr>
              <w:t>4</w:t>
            </w:r>
            <w:r>
              <w:rPr>
                <w:rFonts w:hint="eastAsia" w:ascii="宋体" w:hAnsi="宋体" w:cs="宋体"/>
                <w:color w:val="auto"/>
                <w:kern w:val="0"/>
                <w:sz w:val="20"/>
                <w:szCs w:val="22"/>
                <w:highlight w:val="none"/>
              </w:rPr>
              <w:t>年1月1日至202</w:t>
            </w:r>
            <w:r>
              <w:rPr>
                <w:rFonts w:hint="eastAsia" w:ascii="宋体" w:hAnsi="宋体" w:cs="宋体"/>
                <w:color w:val="auto"/>
                <w:kern w:val="0"/>
                <w:sz w:val="20"/>
                <w:szCs w:val="22"/>
                <w:highlight w:val="none"/>
                <w:lang w:val="en-US" w:eastAsia="zh-CN"/>
              </w:rPr>
              <w:t>4</w:t>
            </w:r>
            <w:r>
              <w:rPr>
                <w:rFonts w:hint="eastAsia" w:ascii="宋体" w:hAnsi="宋体" w:cs="宋体"/>
                <w:color w:val="auto"/>
                <w:kern w:val="0"/>
                <w:sz w:val="20"/>
                <w:szCs w:val="22"/>
                <w:highlight w:val="none"/>
              </w:rPr>
              <w:t>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公司章程</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《国家电投集团贵州金元股份有限公司章程》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《证券法》</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《中华人民共和国证券法》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《公司法》</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《中华人民共和国公司法》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85" w:type="dxa"/>
            <w:noWrap w:val="0"/>
            <w:vAlign w:val="top"/>
          </w:tcPr>
          <w:p>
            <w:pPr>
              <w:jc w:val="left"/>
              <w:rPr>
                <w:rFonts w:hint="eastAsia" w:ascii="宋体" w:hAnsi="宋体" w:cs="宋体"/>
                <w:color w:val="auto"/>
                <w:kern w:val="0"/>
                <w:sz w:val="20"/>
                <w:szCs w:val="22"/>
                <w:highlight w:val="none"/>
              </w:rPr>
            </w:pPr>
            <w:r>
              <w:rPr>
                <w:rFonts w:hint="eastAsia" w:ascii="宋体" w:hAnsi="宋体" w:cs="宋体"/>
                <w:color w:val="auto"/>
                <w:sz w:val="20"/>
                <w:szCs w:val="22"/>
                <w:highlight w:val="none"/>
              </w:rPr>
              <w:t>公司、本公司</w:t>
            </w:r>
          </w:p>
        </w:tc>
        <w:tc>
          <w:tcPr>
            <w:tcW w:w="628" w:type="dxa"/>
            <w:noWrap w:val="0"/>
            <w:vAlign w:val="top"/>
          </w:tcPr>
          <w:p>
            <w:pPr>
              <w:jc w:val="cente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指</w:t>
            </w:r>
          </w:p>
        </w:tc>
        <w:tc>
          <w:tcPr>
            <w:tcW w:w="4514" w:type="dxa"/>
            <w:noWrap w:val="0"/>
            <w:vAlign w:val="top"/>
          </w:tcPr>
          <w:p>
            <w:pPr>
              <w:rPr>
                <w:rFonts w:hint="eastAsia" w:ascii="宋体" w:hAnsi="宋体" w:cs="宋体"/>
                <w:color w:val="auto"/>
                <w:kern w:val="0"/>
                <w:sz w:val="20"/>
                <w:szCs w:val="22"/>
                <w:highlight w:val="none"/>
              </w:rPr>
            </w:pPr>
            <w:r>
              <w:rPr>
                <w:rFonts w:hint="eastAsia" w:ascii="宋体" w:hAnsi="宋体" w:cs="宋体"/>
                <w:color w:val="auto"/>
                <w:kern w:val="0"/>
                <w:sz w:val="20"/>
                <w:szCs w:val="22"/>
                <w:highlight w:val="none"/>
              </w:rPr>
              <w:t>国家电投集团贵州金元股份有限公司</w:t>
            </w:r>
          </w:p>
        </w:tc>
      </w:tr>
    </w:tbl>
    <w:p>
      <w:pPr>
        <w:spacing w:line="360" w:lineRule="auto"/>
        <w:jc w:val="center"/>
        <w:rPr>
          <w:rFonts w:hint="eastAsia" w:ascii="宋体" w:hAnsi="宋体" w:cs="宋体"/>
          <w:b/>
          <w:bCs/>
          <w:color w:val="auto"/>
          <w:sz w:val="24"/>
          <w:szCs w:val="24"/>
          <w:highlight w:val="none"/>
        </w:rPr>
      </w:pPr>
    </w:p>
    <w:p>
      <w:pPr>
        <w:spacing w:line="360" w:lineRule="auto"/>
        <w:jc w:val="both"/>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备查文件目录</w:t>
      </w:r>
    </w:p>
    <w:p>
      <w:pPr>
        <w:widowControl/>
        <w:jc w:val="left"/>
        <w:rPr>
          <w:rFonts w:hint="eastAsia" w:ascii="宋体" w:hAnsi="宋体" w:cs="宋体"/>
          <w:b/>
          <w:bCs/>
          <w:color w:val="auto"/>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一、载有法定代表人、主管会计工作负责人、会计机构负责人签名并盖章的财务报表。</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二、有会计师事务所盖章、注册会计师签名并盖章的审计报告原件。</w:t>
      </w:r>
    </w:p>
    <w:p>
      <w:pPr>
        <w:widowControl/>
        <w:jc w:val="left"/>
        <w:rPr>
          <w:rFonts w:hint="eastAsia" w:ascii="宋体" w:hAnsi="宋体" w:cs="宋体"/>
          <w:color w:val="auto"/>
          <w:spacing w:val="-5"/>
          <w:highlight w:val="none"/>
        </w:rPr>
      </w:pPr>
    </w:p>
    <w:p>
      <w:pPr>
        <w:widowControl/>
        <w:jc w:val="left"/>
        <w:rPr>
          <w:rFonts w:hint="eastAsia"/>
          <w:color w:val="auto"/>
          <w:highlight w:val="none"/>
        </w:rPr>
      </w:pPr>
    </w:p>
    <w:p>
      <w:pPr>
        <w:widowControl/>
        <w:jc w:val="left"/>
        <w:rPr>
          <w:rFonts w:hint="eastAsia"/>
          <w:color w:val="auto"/>
          <w:highlight w:val="none"/>
        </w:rPr>
      </w:pPr>
    </w:p>
    <w:p>
      <w:pPr>
        <w:pStyle w:val="3"/>
        <w:numPr>
          <w:ilvl w:val="0"/>
          <w:numId w:val="0"/>
        </w:numPr>
        <w:spacing w:before="120" w:after="120"/>
        <w:rPr>
          <w:rFonts w:hint="eastAsia" w:ascii="黑体" w:hAnsi="黑体" w:eastAsia="黑体" w:cs="黑体"/>
          <w:b/>
          <w:bCs w:val="0"/>
          <w:color w:val="auto"/>
          <w:sz w:val="28"/>
          <w:szCs w:val="28"/>
          <w:highlight w:val="none"/>
        </w:rPr>
      </w:pPr>
      <w:bookmarkStart w:id="21" w:name="_Toc26875"/>
      <w:bookmarkStart w:id="22" w:name="_Toc18186"/>
      <w:bookmarkStart w:id="23" w:name="_Toc129711702"/>
      <w:bookmarkStart w:id="24" w:name="_Toc17152"/>
      <w:bookmarkStart w:id="25" w:name="_Toc11105"/>
      <w:r>
        <w:rPr>
          <w:rFonts w:hint="eastAsia" w:ascii="黑体" w:hAnsi="黑体" w:eastAsia="黑体" w:cs="黑体"/>
          <w:b/>
          <w:bCs w:val="0"/>
          <w:color w:val="auto"/>
          <w:sz w:val="28"/>
          <w:szCs w:val="28"/>
          <w:highlight w:val="none"/>
        </w:rPr>
        <w:t>第二节</w:t>
      </w:r>
      <w:r>
        <w:rPr>
          <w:rFonts w:hint="eastAsia" w:ascii="黑体" w:hAnsi="黑体" w:eastAsia="黑体" w:cs="黑体"/>
          <w:b/>
          <w:bCs w:val="0"/>
          <w:color w:val="auto"/>
          <w:sz w:val="28"/>
          <w:szCs w:val="28"/>
          <w:highlight w:val="none"/>
        </w:rPr>
        <w:tab/>
      </w:r>
      <w:bookmarkStart w:id="26" w:name="_Toc2937"/>
      <w:r>
        <w:rPr>
          <w:rFonts w:hint="eastAsia" w:ascii="黑体" w:hAnsi="黑体" w:eastAsia="黑体" w:cs="黑体"/>
          <w:b/>
          <w:bCs w:val="0"/>
          <w:color w:val="auto"/>
          <w:sz w:val="28"/>
          <w:szCs w:val="28"/>
          <w:highlight w:val="none"/>
        </w:rPr>
        <w:t>基本情况简介</w:t>
      </w:r>
      <w:bookmarkEnd w:id="21"/>
      <w:bookmarkEnd w:id="22"/>
      <w:bookmarkEnd w:id="23"/>
      <w:bookmarkEnd w:id="24"/>
      <w:bookmarkEnd w:id="25"/>
      <w:bookmarkEnd w:id="26"/>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一、基本信息</w:t>
      </w:r>
    </w:p>
    <w:tbl>
      <w:tblPr>
        <w:tblStyle w:val="22"/>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exact"/>
        </w:trPr>
        <w:tc>
          <w:tcPr>
            <w:tcW w:w="2155"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法定中文名称</w:t>
            </w:r>
          </w:p>
        </w:tc>
        <w:tc>
          <w:tcPr>
            <w:tcW w:w="6367" w:type="dxa"/>
            <w:noWrap w:val="0"/>
            <w:vAlign w:val="center"/>
          </w:tcPr>
          <w:p>
            <w:pPr>
              <w:autoSpaceDE w:val="0"/>
              <w:autoSpaceDN w:val="0"/>
              <w:spacing w:line="360" w:lineRule="auto"/>
              <w:jc w:val="both"/>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国家电投集团贵州金元股份有限公司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exact"/>
        </w:trPr>
        <w:tc>
          <w:tcPr>
            <w:tcW w:w="2155"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中文简称</w:t>
            </w:r>
          </w:p>
        </w:tc>
        <w:tc>
          <w:tcPr>
            <w:tcW w:w="6367"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rPr>
              <w:t>贵州金元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2155" w:type="dxa"/>
            <w:vMerge w:val="restart"/>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英文名称及缩写</w:t>
            </w:r>
          </w:p>
        </w:tc>
        <w:tc>
          <w:tcPr>
            <w:tcW w:w="6367" w:type="dxa"/>
            <w:noWrap w:val="0"/>
            <w:vAlign w:val="center"/>
          </w:tcPr>
          <w:p>
            <w:pPr>
              <w:autoSpaceDE w:val="0"/>
              <w:autoSpaceDN w:val="0"/>
              <w:spacing w:line="360" w:lineRule="auto"/>
              <w:jc w:val="both"/>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SPIC GUIZHOU JINYUAN CO.LTD.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155" w:type="dxa"/>
            <w:vMerge w:val="continue"/>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p>
        </w:tc>
        <w:tc>
          <w:tcPr>
            <w:tcW w:w="6367"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Style w:val="26"/>
                <w:rFonts w:hint="eastAsia" w:ascii="宋体" w:hAnsi="宋体" w:cs="宋体"/>
                <w:color w:val="auto"/>
                <w:sz w:val="20"/>
                <w:szCs w:val="20"/>
                <w:highlight w:val="none"/>
              </w:rPr>
              <w:t>GZJY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exact"/>
        </w:trPr>
        <w:tc>
          <w:tcPr>
            <w:tcW w:w="2155"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法定代表人</w:t>
            </w:r>
          </w:p>
        </w:tc>
        <w:tc>
          <w:tcPr>
            <w:tcW w:w="6367" w:type="dxa"/>
            <w:noWrap w:val="0"/>
            <w:vAlign w:val="center"/>
          </w:tcPr>
          <w:p>
            <w:pPr>
              <w:autoSpaceDE w:val="0"/>
              <w:autoSpaceDN w:val="0"/>
              <w:spacing w:line="360" w:lineRule="auto"/>
              <w:jc w:val="both"/>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朱绍纯</w:t>
            </w:r>
          </w:p>
        </w:tc>
      </w:tr>
    </w:tbl>
    <w:p>
      <w:pPr>
        <w:spacing w:line="360" w:lineRule="auto"/>
        <w:rPr>
          <w:rFonts w:hint="eastAsia" w:ascii="宋体" w:hAnsi="宋体" w:cs="宋体"/>
          <w:color w:val="auto"/>
          <w:sz w:val="24"/>
          <w:szCs w:val="24"/>
          <w:highlight w:val="none"/>
        </w:rPr>
      </w:pP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二、联系方式</w:t>
      </w:r>
    </w:p>
    <w:tbl>
      <w:tblPr>
        <w:tblStyle w:val="22"/>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2155" w:type="dxa"/>
            <w:noWrap w:val="0"/>
            <w:vAlign w:val="center"/>
          </w:tcPr>
          <w:p>
            <w:pPr>
              <w:autoSpaceDE w:val="0"/>
              <w:autoSpaceDN w:val="0"/>
              <w:spacing w:line="360" w:lineRule="auto"/>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董事会秘书</w:t>
            </w:r>
          </w:p>
        </w:tc>
        <w:tc>
          <w:tcPr>
            <w:tcW w:w="6367" w:type="dxa"/>
            <w:noWrap w:val="0"/>
            <w:vAlign w:val="center"/>
          </w:tcPr>
          <w:p>
            <w:pPr>
              <w:autoSpaceDE w:val="0"/>
              <w:autoSpaceDN w:val="0"/>
              <w:spacing w:line="360" w:lineRule="auto"/>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陈兴鹏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2155" w:type="dxa"/>
            <w:noWrap w:val="0"/>
            <w:vAlign w:val="center"/>
          </w:tcPr>
          <w:p>
            <w:pPr>
              <w:autoSpaceDE w:val="0"/>
              <w:autoSpaceDN w:val="0"/>
              <w:spacing w:line="360" w:lineRule="auto"/>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联系地址</w:t>
            </w:r>
          </w:p>
        </w:tc>
        <w:tc>
          <w:tcPr>
            <w:tcW w:w="6367" w:type="dxa"/>
            <w:noWrap w:val="0"/>
            <w:vAlign w:val="center"/>
          </w:tcPr>
          <w:p>
            <w:pPr>
              <w:autoSpaceDE w:val="0"/>
              <w:autoSpaceDN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贵州省贵阳市观山湖区金阳北路 296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155" w:type="dxa"/>
            <w:noWrap w:val="0"/>
            <w:vAlign w:val="center"/>
          </w:tcPr>
          <w:p>
            <w:pPr>
              <w:autoSpaceDE w:val="0"/>
              <w:autoSpaceDN w:val="0"/>
              <w:spacing w:line="360" w:lineRule="auto"/>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lang w:eastAsia="en-US"/>
              </w:rPr>
              <w:t>本公司网站</w:t>
            </w:r>
          </w:p>
        </w:tc>
        <w:tc>
          <w:tcPr>
            <w:tcW w:w="6367" w:type="dxa"/>
            <w:noWrap w:val="0"/>
            <w:vAlign w:val="center"/>
          </w:tcPr>
          <w:p>
            <w:pPr>
              <w:autoSpaceDE w:val="0"/>
              <w:autoSpaceDN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http://www.gzjyjt.cn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2155" w:type="dxa"/>
            <w:noWrap w:val="0"/>
            <w:vAlign w:val="center"/>
          </w:tcPr>
          <w:p>
            <w:pPr>
              <w:autoSpaceDE w:val="0"/>
              <w:autoSpaceDN w:val="0"/>
              <w:spacing w:line="360" w:lineRule="auto"/>
              <w:rPr>
                <w:rFonts w:hint="eastAsia" w:ascii="宋体" w:hAnsi="宋体" w:cs="宋体"/>
                <w:color w:val="auto"/>
                <w:kern w:val="0"/>
                <w:sz w:val="20"/>
                <w:szCs w:val="20"/>
                <w:highlight w:val="none"/>
                <w:lang w:eastAsia="en-US"/>
              </w:rPr>
            </w:pPr>
            <w:r>
              <w:rPr>
                <w:rFonts w:hint="eastAsia" w:ascii="宋体" w:hAnsi="宋体" w:cs="宋体"/>
                <w:color w:val="auto"/>
                <w:kern w:val="0"/>
                <w:sz w:val="20"/>
                <w:szCs w:val="20"/>
                <w:highlight w:val="none"/>
              </w:rPr>
              <w:t>联系</w:t>
            </w:r>
            <w:r>
              <w:rPr>
                <w:rFonts w:hint="eastAsia" w:ascii="宋体" w:hAnsi="宋体" w:cs="宋体"/>
                <w:color w:val="auto"/>
                <w:kern w:val="0"/>
                <w:sz w:val="20"/>
                <w:szCs w:val="20"/>
                <w:highlight w:val="none"/>
                <w:lang w:eastAsia="en-US"/>
              </w:rPr>
              <w:t>电话</w:t>
            </w:r>
          </w:p>
        </w:tc>
        <w:tc>
          <w:tcPr>
            <w:tcW w:w="6367" w:type="dxa"/>
            <w:noWrap w:val="0"/>
            <w:vAlign w:val="center"/>
          </w:tcPr>
          <w:p>
            <w:pPr>
              <w:autoSpaceDE w:val="0"/>
              <w:autoSpaceDN w:val="0"/>
              <w:spacing w:line="360" w:lineRule="auto"/>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eastAsia="en-US"/>
              </w:rPr>
              <w:t>0851-86992</w:t>
            </w:r>
            <w:r>
              <w:rPr>
                <w:rFonts w:hint="eastAsia" w:ascii="宋体" w:hAnsi="宋体" w:cs="宋体"/>
                <w:color w:val="auto"/>
                <w:kern w:val="0"/>
                <w:sz w:val="20"/>
                <w:szCs w:val="20"/>
                <w:highlight w:val="none"/>
                <w:lang w:val="en-US" w:eastAsia="zh-CN"/>
              </w:rPr>
              <w:t>588</w:t>
            </w:r>
          </w:p>
        </w:tc>
      </w:tr>
    </w:tbl>
    <w:p>
      <w:pPr>
        <w:spacing w:line="360" w:lineRule="auto"/>
        <w:rPr>
          <w:rFonts w:hint="eastAsia" w:ascii="宋体" w:hAnsi="宋体" w:cs="宋体"/>
          <w:color w:val="auto"/>
          <w:sz w:val="24"/>
          <w:szCs w:val="24"/>
          <w:highlight w:val="none"/>
        </w:rPr>
      </w:pP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三、企业信息</w:t>
      </w:r>
    </w:p>
    <w:tbl>
      <w:tblPr>
        <w:tblStyle w:val="22"/>
        <w:tblW w:w="8522"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7"/>
        <w:gridCol w:w="6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167"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有限公司成立时间</w:t>
            </w:r>
          </w:p>
        </w:tc>
        <w:tc>
          <w:tcPr>
            <w:tcW w:w="6355"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2000 年 11 月 6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2167"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股份公司成立时间</w:t>
            </w:r>
          </w:p>
        </w:tc>
        <w:tc>
          <w:tcPr>
            <w:tcW w:w="6355"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2002 年 7 月 29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167"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注册登记地点</w:t>
            </w:r>
          </w:p>
        </w:tc>
        <w:tc>
          <w:tcPr>
            <w:tcW w:w="6355" w:type="dxa"/>
            <w:noWrap w:val="0"/>
            <w:vAlign w:val="center"/>
          </w:tcPr>
          <w:p>
            <w:pPr>
              <w:autoSpaceDE w:val="0"/>
              <w:autoSpaceDN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贵州省贵阳市观山湖区金阳北路296号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2167"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统一社会信用代码</w:t>
            </w:r>
          </w:p>
        </w:tc>
        <w:tc>
          <w:tcPr>
            <w:tcW w:w="6355"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91520000722102789A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2167" w:type="dxa"/>
            <w:noWrap w:val="0"/>
            <w:vAlign w:val="center"/>
          </w:tcPr>
          <w:p>
            <w:pPr>
              <w:autoSpaceDE w:val="0"/>
              <w:autoSpaceDN w:val="0"/>
              <w:spacing w:line="360" w:lineRule="auto"/>
              <w:jc w:val="both"/>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控股股东</w:t>
            </w:r>
          </w:p>
        </w:tc>
        <w:tc>
          <w:tcPr>
            <w:tcW w:w="6355" w:type="dxa"/>
            <w:noWrap w:val="0"/>
            <w:vAlign w:val="center"/>
          </w:tcPr>
          <w:p>
            <w:pPr>
              <w:autoSpaceDE w:val="0"/>
              <w:autoSpaceDN w:val="0"/>
              <w:spacing w:line="360" w:lineRule="auto"/>
              <w:jc w:val="both"/>
              <w:rPr>
                <w:rFonts w:hint="eastAsia" w:ascii="宋体" w:hAnsi="宋体" w:cs="宋体"/>
                <w:color w:val="auto"/>
                <w:kern w:val="0"/>
                <w:highlight w:val="none"/>
              </w:rPr>
            </w:pPr>
            <w:r>
              <w:rPr>
                <w:rFonts w:hint="eastAsia" w:ascii="宋体" w:hAnsi="宋体" w:cs="宋体"/>
                <w:color w:val="auto"/>
                <w:kern w:val="0"/>
                <w:highlight w:val="none"/>
              </w:rPr>
              <w:t>国家电力投资集团有限公司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exact"/>
        </w:trPr>
        <w:tc>
          <w:tcPr>
            <w:tcW w:w="2167" w:type="dxa"/>
            <w:noWrap w:val="0"/>
            <w:vAlign w:val="center"/>
          </w:tcPr>
          <w:p>
            <w:pPr>
              <w:autoSpaceDE w:val="0"/>
              <w:autoSpaceDN w:val="0"/>
              <w:spacing w:line="360" w:lineRule="auto"/>
              <w:rPr>
                <w:rFonts w:hint="eastAsia" w:ascii="宋体" w:hAnsi="宋体" w:cs="宋体"/>
                <w:color w:val="auto"/>
                <w:kern w:val="0"/>
                <w:highlight w:val="none"/>
              </w:rPr>
            </w:pPr>
            <w:r>
              <w:rPr>
                <w:rFonts w:hint="eastAsia" w:ascii="宋体" w:hAnsi="宋体" w:cs="宋体"/>
                <w:color w:val="auto"/>
                <w:kern w:val="0"/>
                <w:highlight w:val="none"/>
                <w:lang w:eastAsia="en-US"/>
              </w:rPr>
              <w:t>实际控制人及其一致行动人</w:t>
            </w:r>
          </w:p>
        </w:tc>
        <w:tc>
          <w:tcPr>
            <w:tcW w:w="6355" w:type="dxa"/>
            <w:noWrap w:val="0"/>
            <w:vAlign w:val="center"/>
          </w:tcPr>
          <w:p>
            <w:pPr>
              <w:autoSpaceDE w:val="0"/>
              <w:autoSpaceDN w:val="0"/>
              <w:spacing w:line="360" w:lineRule="auto"/>
              <w:rPr>
                <w:rFonts w:hint="eastAsia" w:ascii="宋体" w:hAnsi="宋体" w:cs="宋体"/>
                <w:color w:val="auto"/>
                <w:kern w:val="0"/>
                <w:highlight w:val="none"/>
              </w:rPr>
            </w:pPr>
            <w:r>
              <w:rPr>
                <w:rFonts w:hint="eastAsia"/>
                <w:color w:val="auto"/>
                <w:highlight w:val="none"/>
              </w:rPr>
              <w:t>国务院国有资产监督管理委员会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exact"/>
        </w:trPr>
        <w:tc>
          <w:tcPr>
            <w:tcW w:w="2167" w:type="dxa"/>
            <w:noWrap w:val="0"/>
            <w:vAlign w:val="center"/>
          </w:tcPr>
          <w:p>
            <w:pPr>
              <w:autoSpaceDE w:val="0"/>
              <w:autoSpaceDN w:val="0"/>
              <w:spacing w:line="360" w:lineRule="auto"/>
              <w:rPr>
                <w:rFonts w:hint="eastAsia" w:ascii="宋体" w:hAnsi="宋体" w:cs="宋体"/>
                <w:color w:val="auto"/>
                <w:kern w:val="0"/>
                <w:highlight w:val="none"/>
                <w:lang w:eastAsia="en-US"/>
              </w:rPr>
            </w:pPr>
            <w:r>
              <w:rPr>
                <w:rFonts w:hint="eastAsia" w:ascii="宋体" w:hAnsi="宋体" w:cs="宋体"/>
                <w:color w:val="auto"/>
                <w:kern w:val="0"/>
                <w:highlight w:val="none"/>
                <w:lang w:eastAsia="en-US"/>
              </w:rPr>
              <w:t>主要业务</w:t>
            </w:r>
          </w:p>
        </w:tc>
        <w:tc>
          <w:tcPr>
            <w:tcW w:w="6355" w:type="dxa"/>
            <w:noWrap w:val="0"/>
            <w:vAlign w:val="center"/>
          </w:tcPr>
          <w:p>
            <w:pPr>
              <w:autoSpaceDE w:val="0"/>
              <w:autoSpaceDN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公司主要业务为火电、水电、新能源发电、煤炭开采及销售，同时涉及综合智慧能源、绿色交通服务、电站服务业和物业管理等产业。</w:t>
            </w:r>
          </w:p>
        </w:tc>
      </w:tr>
    </w:tbl>
    <w:p>
      <w:pPr>
        <w:rPr>
          <w:rFonts w:hint="eastAsia" w:ascii="宋体" w:hAnsi="宋体" w:cs="宋体"/>
          <w:color w:val="auto"/>
          <w:sz w:val="24"/>
          <w:szCs w:val="24"/>
          <w:highlight w:val="none"/>
        </w:rPr>
      </w:pPr>
    </w:p>
    <w:p>
      <w:pPr>
        <w:widowControl/>
        <w:jc w:val="left"/>
        <w:rPr>
          <w:rFonts w:hint="eastAsia" w:ascii="宋体" w:hAnsi="宋体" w:cs="宋体"/>
          <w:b/>
          <w:bCs/>
          <w:color w:val="auto"/>
          <w:sz w:val="24"/>
          <w:szCs w:val="24"/>
          <w:highlight w:val="none"/>
        </w:rPr>
      </w:pPr>
      <w:bookmarkStart w:id="27" w:name="_Toc129711703"/>
    </w:p>
    <w:p>
      <w:pPr>
        <w:widowControl/>
        <w:jc w:val="left"/>
        <w:rPr>
          <w:rFonts w:hint="eastAsia" w:ascii="黑体" w:hAnsi="黑体" w:eastAsia="黑体" w:cs="黑体"/>
          <w:b/>
          <w:bCs w:val="0"/>
          <w:color w:val="auto"/>
          <w:kern w:val="0"/>
          <w:sz w:val="28"/>
          <w:szCs w:val="28"/>
          <w:highlight w:val="none"/>
          <w:lang w:bidi="ar-SA"/>
        </w:rPr>
      </w:pPr>
    </w:p>
    <w:p>
      <w:pPr>
        <w:spacing w:line="360" w:lineRule="auto"/>
        <w:jc w:val="center"/>
        <w:outlineLvl w:val="0"/>
        <w:rPr>
          <w:rFonts w:hint="eastAsia" w:ascii="黑体" w:hAnsi="黑体" w:eastAsia="黑体" w:cs="黑体"/>
          <w:b/>
          <w:bCs w:val="0"/>
          <w:color w:val="auto"/>
          <w:kern w:val="0"/>
          <w:sz w:val="28"/>
          <w:szCs w:val="28"/>
          <w:highlight w:val="none"/>
          <w:lang w:val="en-US" w:eastAsia="zh-CN" w:bidi="ar-SA"/>
        </w:rPr>
      </w:pPr>
      <w:bookmarkStart w:id="28" w:name="_Toc16334"/>
      <w:bookmarkStart w:id="29" w:name="_Toc7613"/>
      <w:bookmarkStart w:id="30" w:name="_Toc9683"/>
      <w:bookmarkStart w:id="31" w:name="_Toc19457"/>
      <w:bookmarkStart w:id="32" w:name="_Toc10014"/>
      <w:r>
        <w:rPr>
          <w:rFonts w:hint="eastAsia" w:ascii="黑体" w:hAnsi="黑体" w:eastAsia="黑体" w:cs="黑体"/>
          <w:b/>
          <w:bCs w:val="0"/>
          <w:color w:val="auto"/>
          <w:kern w:val="0"/>
          <w:sz w:val="28"/>
          <w:szCs w:val="28"/>
          <w:highlight w:val="none"/>
          <w:lang w:bidi="ar-SA"/>
        </w:rPr>
        <w:t>第三节 会计数据、经营情况和管理层分析</w:t>
      </w:r>
      <w:bookmarkEnd w:id="27"/>
      <w:bookmarkEnd w:id="28"/>
      <w:bookmarkEnd w:id="29"/>
      <w:bookmarkEnd w:id="30"/>
      <w:bookmarkEnd w:id="31"/>
      <w:bookmarkEnd w:id="32"/>
    </w:p>
    <w:p>
      <w:pPr>
        <w:spacing w:line="360" w:lineRule="auto"/>
        <w:ind w:firstLine="482" w:firstLineChars="200"/>
        <w:rPr>
          <w:rFonts w:hint="eastAsia" w:ascii="宋体" w:hAnsi="宋体" w:cs="宋体"/>
          <w:b/>
          <w:bCs/>
          <w:color w:val="auto"/>
          <w:sz w:val="24"/>
          <w:szCs w:val="24"/>
          <w:highlight w:val="none"/>
        </w:rPr>
      </w:pPr>
      <w:bookmarkStart w:id="33" w:name="_Toc129711704"/>
      <w:r>
        <w:rPr>
          <w:rFonts w:hint="eastAsia" w:ascii="宋体" w:hAnsi="宋体" w:cs="宋体"/>
          <w:b/>
          <w:bCs/>
          <w:color w:val="auto"/>
          <w:sz w:val="24"/>
          <w:szCs w:val="24"/>
          <w:highlight w:val="none"/>
        </w:rPr>
        <w:t>一、主要会计数据和财务指标</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盈利能力</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73"/>
        <w:gridCol w:w="1918"/>
        <w:gridCol w:w="1928"/>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2" w:type="pct"/>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49"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55"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51"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上年同期</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营业收入</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16,321,005,879.66</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17,221,240,926.74</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-5.23</w:t>
            </w:r>
            <w:r>
              <w:rPr>
                <w:rFonts w:hint="eastAsia" w:ascii="宋体" w:hAnsi="宋体" w:eastAsia="宋体" w:cs="宋体"/>
                <w:i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毛利率</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9.41</w:t>
            </w:r>
            <w:r>
              <w:rPr>
                <w:rFonts w:hint="eastAsia" w:ascii="宋体" w:hAnsi="宋体" w:eastAsia="宋体" w:cs="宋体"/>
                <w:i w:val="0"/>
                <w:color w:val="auto"/>
                <w:kern w:val="0"/>
                <w:sz w:val="20"/>
                <w:szCs w:val="20"/>
                <w:highlight w:val="none"/>
                <w:u w:val="none"/>
                <w:lang w:val="en-US" w:eastAsia="zh-CN" w:bidi="ar"/>
              </w:rPr>
              <w:t>%</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15.72%</w:t>
            </w:r>
          </w:p>
        </w:tc>
        <w:tc>
          <w:tcPr>
            <w:tcW w:w="11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r>
              <w:rPr>
                <w:rFonts w:hint="eastAsia" w:ascii="宋体" w:hAnsi="宋体" w:cs="宋体"/>
                <w:i w:val="0"/>
                <w:color w:val="auto"/>
                <w:kern w:val="0"/>
                <w:sz w:val="20"/>
                <w:szCs w:val="20"/>
                <w:highlight w:val="none"/>
                <w:u w:val="none"/>
                <w:lang w:val="en-US" w:eastAsia="zh-CN" w:bidi="ar"/>
              </w:rPr>
              <w:t>31</w:t>
            </w:r>
            <w:r>
              <w:rPr>
                <w:rFonts w:hint="eastAsia" w:ascii="宋体" w:hAnsi="宋体" w:eastAsia="宋体" w:cs="宋体"/>
                <w:i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归属于母公司股东的净利润</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-543,673,983.84</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-2,591,168,934.88 </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79.02</w:t>
            </w: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归属于母公司股东的扣除非经常性损益后的净利润</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-1,776,537,039.04</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-4,957,722,856.41</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加权平均净资产收益率（依据归属于母公司股东的净利润计算）</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-3.89%</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Fonts w:hint="eastAsia" w:ascii="宋体" w:hAnsi="宋体" w:cs="宋体"/>
                <w:i w:val="0"/>
                <w:color w:val="auto"/>
                <w:kern w:val="0"/>
                <w:sz w:val="20"/>
                <w:szCs w:val="20"/>
                <w:highlight w:val="none"/>
                <w:u w:val="none"/>
                <w:lang w:val="en-US" w:eastAsia="zh-CN" w:bidi="ar"/>
              </w:rPr>
              <w:t>9.81</w:t>
            </w:r>
            <w:r>
              <w:rPr>
                <w:rFonts w:hint="eastAsia" w:ascii="宋体" w:hAnsi="宋体" w:eastAsia="宋体" w:cs="宋体"/>
                <w:i w:val="0"/>
                <w:color w:val="auto"/>
                <w:kern w:val="0"/>
                <w:sz w:val="20"/>
                <w:szCs w:val="20"/>
                <w:highlight w:val="none"/>
                <w:u w:val="none"/>
                <w:lang w:val="en-US" w:eastAsia="zh-CN" w:bidi="ar"/>
              </w:rPr>
              <w:t>%</w:t>
            </w:r>
          </w:p>
        </w:tc>
        <w:tc>
          <w:tcPr>
            <w:tcW w:w="11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加权平均净资产收益率（依据归属于母公司股东的扣除非经常性损益后的净利润计算）</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-12.72%</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-37.9%</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i w:val="0"/>
                <w:color w:val="auto"/>
                <w:kern w:val="0"/>
                <w:sz w:val="20"/>
                <w:szCs w:val="20"/>
                <w:highlight w:val="none"/>
                <w:u w:val="none"/>
                <w:lang w:val="en-US" w:eastAsia="zh-CN" w:bidi="ar"/>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基本每股收益</w:t>
            </w:r>
          </w:p>
        </w:tc>
        <w:tc>
          <w:tcPr>
            <w:tcW w:w="1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auto"/>
                <w:sz w:val="20"/>
                <w:szCs w:val="20"/>
                <w:highlight w:val="none"/>
                <w:u w:val="none"/>
                <w:lang w:val="en-US" w:eastAsia="zh-CN"/>
              </w:rPr>
            </w:pPr>
            <w:r>
              <w:rPr>
                <w:rFonts w:hint="eastAsia" w:ascii="宋体" w:hAnsi="宋体" w:cs="宋体"/>
                <w:i w:val="0"/>
                <w:iCs w:val="0"/>
                <w:color w:val="auto"/>
                <w:kern w:val="0"/>
                <w:sz w:val="20"/>
                <w:szCs w:val="20"/>
                <w:highlight w:val="none"/>
                <w:u w:val="none"/>
                <w:lang w:val="en-US" w:eastAsia="zh-CN" w:bidi="ar"/>
              </w:rPr>
              <w:t>0.0149</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-0.4038</w:t>
            </w:r>
          </w:p>
        </w:tc>
        <w:tc>
          <w:tcPr>
            <w:tcW w:w="11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103.69%</w:t>
            </w:r>
          </w:p>
        </w:tc>
      </w:tr>
    </w:tbl>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项目重大变动原因：</w:t>
      </w:r>
    </w:p>
    <w:p>
      <w:pPr>
        <w:keepNext w:val="0"/>
        <w:keepLines w:val="0"/>
        <w:pageBreakBefore w:val="0"/>
        <w:kinsoku/>
        <w:wordWrap/>
        <w:overflowPunct/>
        <w:topLinePunct w:val="0"/>
        <w:autoSpaceDE w:val="0"/>
        <w:autoSpaceDN w:val="0"/>
        <w:bidi w:val="0"/>
        <w:adjustRightInd w:val="0"/>
        <w:spacing w:line="400" w:lineRule="exact"/>
        <w:ind w:firstLine="480" w:firstLineChars="20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归属于母公司</w:t>
      </w:r>
      <w:r>
        <w:rPr>
          <w:rFonts w:hint="eastAsia" w:ascii="宋体" w:hAnsi="宋体" w:eastAsia="宋体" w:cs="宋体"/>
          <w:color w:val="auto"/>
          <w:kern w:val="0"/>
          <w:sz w:val="24"/>
          <w:szCs w:val="24"/>
          <w:highlight w:val="none"/>
          <w:lang w:eastAsia="zh-CN"/>
        </w:rPr>
        <w:t>股东</w:t>
      </w:r>
      <w:r>
        <w:rPr>
          <w:rFonts w:hint="eastAsia" w:ascii="宋体" w:hAnsi="宋体" w:eastAsia="宋体" w:cs="宋体"/>
          <w:color w:val="auto"/>
          <w:kern w:val="0"/>
          <w:sz w:val="24"/>
          <w:szCs w:val="24"/>
          <w:highlight w:val="none"/>
        </w:rPr>
        <w:t>的净利润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年归属于母公司</w:t>
      </w:r>
      <w:r>
        <w:rPr>
          <w:rFonts w:hint="eastAsia" w:ascii="宋体" w:hAnsi="宋体" w:eastAsia="宋体" w:cs="宋体"/>
          <w:color w:val="auto"/>
          <w:kern w:val="0"/>
          <w:sz w:val="24"/>
          <w:szCs w:val="24"/>
          <w:highlight w:val="none"/>
          <w:lang w:eastAsia="zh-CN"/>
        </w:rPr>
        <w:t>股东</w:t>
      </w:r>
      <w:r>
        <w:rPr>
          <w:rFonts w:hint="eastAsia" w:ascii="宋体" w:hAnsi="宋体" w:eastAsia="宋体" w:cs="宋体"/>
          <w:color w:val="auto"/>
          <w:kern w:val="0"/>
          <w:sz w:val="24"/>
          <w:szCs w:val="24"/>
          <w:highlight w:val="none"/>
        </w:rPr>
        <w:t>的净利润</w:t>
      </w:r>
      <w:r>
        <w:rPr>
          <w:rFonts w:hint="eastAsia" w:ascii="宋体" w:hAnsi="宋体" w:eastAsia="宋体" w:cs="宋体"/>
          <w:i w:val="0"/>
          <w:color w:val="auto"/>
          <w:kern w:val="0"/>
          <w:sz w:val="24"/>
          <w:szCs w:val="24"/>
          <w:highlight w:val="none"/>
          <w:u w:val="none"/>
          <w:lang w:val="en-US" w:eastAsia="zh-CN" w:bidi="ar"/>
        </w:rPr>
        <w:t>-543,673,983.84</w:t>
      </w:r>
      <w:r>
        <w:rPr>
          <w:rFonts w:hint="eastAsia" w:ascii="宋体" w:hAnsi="宋体" w:eastAsia="宋体" w:cs="宋体"/>
          <w:color w:val="auto"/>
          <w:kern w:val="0"/>
          <w:sz w:val="24"/>
          <w:szCs w:val="24"/>
          <w:highlight w:val="none"/>
        </w:rPr>
        <w:t>元，同比</w:t>
      </w:r>
      <w:r>
        <w:rPr>
          <w:rFonts w:hint="eastAsia" w:ascii="宋体" w:hAnsi="宋体" w:cs="宋体"/>
          <w:color w:val="auto"/>
          <w:kern w:val="0"/>
          <w:sz w:val="24"/>
          <w:szCs w:val="24"/>
          <w:highlight w:val="none"/>
          <w:lang w:val="en-US" w:eastAsia="zh-CN"/>
        </w:rPr>
        <w:t>减亏</w:t>
      </w:r>
      <w:r>
        <w:rPr>
          <w:rFonts w:hint="eastAsia" w:ascii="宋体" w:hAnsi="宋体" w:eastAsia="宋体" w:cs="宋体"/>
          <w:color w:val="auto"/>
          <w:kern w:val="0"/>
          <w:sz w:val="24"/>
          <w:szCs w:val="24"/>
          <w:highlight w:val="none"/>
        </w:rPr>
        <w:t xml:space="preserve">    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047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494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951.04元，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eastAsia="zh-CN"/>
        </w:rPr>
        <w:t>幅</w:t>
      </w:r>
      <w:r>
        <w:rPr>
          <w:rFonts w:hint="eastAsia" w:ascii="宋体" w:hAnsi="宋体" w:cs="宋体"/>
          <w:color w:val="auto"/>
          <w:kern w:val="0"/>
          <w:sz w:val="24"/>
          <w:szCs w:val="24"/>
          <w:highlight w:val="none"/>
          <w:lang w:val="en-US" w:eastAsia="zh-CN"/>
        </w:rPr>
        <w:t>79.02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同期剔除一次性事项（</w:t>
      </w:r>
      <w:r>
        <w:rPr>
          <w:rFonts w:hint="eastAsia" w:ascii="宋体" w:hAnsi="宋体" w:cs="宋体"/>
          <w:b w:val="0"/>
          <w:bCs w:val="0"/>
          <w:color w:val="auto"/>
          <w:kern w:val="0"/>
          <w:sz w:val="24"/>
          <w:szCs w:val="24"/>
          <w:highlight w:val="none"/>
          <w:lang w:val="en-US" w:eastAsia="zh-CN"/>
        </w:rPr>
        <w:t>2023年</w:t>
      </w:r>
      <w:r>
        <w:rPr>
          <w:rFonts w:hint="eastAsia" w:ascii="宋体" w:hAnsi="宋体" w:eastAsia="宋体" w:cs="宋体"/>
          <w:b w:val="0"/>
          <w:bCs w:val="0"/>
          <w:color w:val="auto"/>
          <w:kern w:val="0"/>
          <w:sz w:val="24"/>
          <w:szCs w:val="24"/>
          <w:highlight w:val="none"/>
          <w:lang w:val="en-US" w:eastAsia="zh-CN"/>
        </w:rPr>
        <w:t>收购绥阳公司股权损失8.13亿元及计提泰元公司减值13.5亿元）后</w:t>
      </w:r>
      <w:r>
        <w:rPr>
          <w:rFonts w:hint="eastAsia" w:ascii="宋体" w:hAnsi="宋体" w:cs="宋体"/>
          <w:b w:val="0"/>
          <w:bCs w:val="0"/>
          <w:color w:val="auto"/>
          <w:kern w:val="0"/>
          <w:sz w:val="24"/>
          <w:szCs w:val="24"/>
          <w:highlight w:val="none"/>
          <w:lang w:val="en-US" w:eastAsia="zh-CN"/>
        </w:rPr>
        <w:t>归母利</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cs="宋体"/>
          <w:b w:val="0"/>
          <w:bCs w:val="0"/>
          <w:color w:val="auto"/>
          <w:kern w:val="0"/>
          <w:sz w:val="24"/>
          <w:szCs w:val="24"/>
          <w:highlight w:val="none"/>
          <w:lang w:val="en-US" w:eastAsia="zh-CN"/>
        </w:rPr>
        <w:t>-4.28</w:t>
      </w:r>
      <w:r>
        <w:rPr>
          <w:rFonts w:hint="eastAsia" w:ascii="宋体" w:hAnsi="宋体" w:eastAsia="宋体" w:cs="宋体"/>
          <w:b w:val="0"/>
          <w:bCs w:val="0"/>
          <w:color w:val="auto"/>
          <w:kern w:val="0"/>
          <w:sz w:val="24"/>
          <w:szCs w:val="24"/>
          <w:highlight w:val="none"/>
          <w:lang w:val="en-US" w:eastAsia="zh-CN"/>
        </w:rPr>
        <w:t>亿元，同比</w:t>
      </w:r>
      <w:r>
        <w:rPr>
          <w:rFonts w:hint="eastAsia" w:ascii="宋体" w:hAnsi="宋体" w:cs="宋体"/>
          <w:b w:val="0"/>
          <w:bCs w:val="0"/>
          <w:color w:val="auto"/>
          <w:kern w:val="0"/>
          <w:sz w:val="24"/>
          <w:szCs w:val="24"/>
          <w:highlight w:val="none"/>
          <w:lang w:val="en-US" w:eastAsia="zh-CN"/>
        </w:rPr>
        <w:t>增亏1.16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归母利</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增亏1.16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eastAsia="宋体" w:cs="宋体"/>
          <w:color w:val="auto"/>
          <w:kern w:val="0"/>
          <w:sz w:val="24"/>
          <w:szCs w:val="24"/>
          <w:highlight w:val="none"/>
        </w:rPr>
        <w:t>的主要原因：</w:t>
      </w:r>
      <w:r>
        <w:rPr>
          <w:rFonts w:hint="eastAsia" w:ascii="宋体" w:hAnsi="宋体" w:cs="宋体"/>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绥阳公司</w:t>
      </w:r>
      <w:r>
        <w:rPr>
          <w:rFonts w:hint="eastAsia" w:ascii="宋体" w:hAnsi="宋体" w:cs="宋体"/>
          <w:b w:val="0"/>
          <w:bCs w:val="0"/>
          <w:color w:val="auto"/>
          <w:kern w:val="0"/>
          <w:sz w:val="24"/>
          <w:szCs w:val="24"/>
          <w:highlight w:val="none"/>
          <w:lang w:val="en-US" w:eastAsia="zh-CN"/>
        </w:rPr>
        <w:t>因铁合金市场低迷，售价降低779.77元/吨，</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增亏2.39</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；二是由于</w:t>
      </w:r>
      <w:r>
        <w:rPr>
          <w:rFonts w:hint="eastAsia" w:ascii="宋体" w:hAnsi="宋体" w:eastAsia="宋体" w:cs="宋体"/>
          <w:b w:val="0"/>
          <w:bCs w:val="0"/>
          <w:color w:val="auto"/>
          <w:kern w:val="0"/>
          <w:sz w:val="24"/>
          <w:szCs w:val="24"/>
          <w:highlight w:val="none"/>
          <w:lang w:val="en-US" w:eastAsia="zh-CN"/>
        </w:rPr>
        <w:t>能发公司</w:t>
      </w:r>
      <w:r>
        <w:rPr>
          <w:rFonts w:hint="eastAsia" w:ascii="宋体" w:hAnsi="宋体" w:cs="宋体"/>
          <w:b w:val="0"/>
          <w:bCs w:val="0"/>
          <w:color w:val="auto"/>
          <w:kern w:val="0"/>
          <w:sz w:val="24"/>
          <w:szCs w:val="24"/>
          <w:highlight w:val="none"/>
          <w:lang w:val="en-US" w:eastAsia="zh-CN"/>
        </w:rPr>
        <w:t>股权转让，贵州金元对债权进行重估，造成暂时性损失2.99</w:t>
      </w:r>
      <w:r>
        <w:rPr>
          <w:rFonts w:hint="eastAsia" w:ascii="宋体" w:hAnsi="宋体" w:eastAsia="宋体" w:cs="宋体"/>
          <w:color w:val="auto"/>
          <w:kern w:val="0"/>
          <w:sz w:val="24"/>
          <w:szCs w:val="24"/>
          <w:highlight w:val="none"/>
          <w:lang w:val="en-US" w:eastAsia="zh-CN" w:bidi="ar-SA"/>
        </w:rPr>
        <w:t>亿元</w:t>
      </w:r>
      <w:r>
        <w:rPr>
          <w:rFonts w:hint="eastAsia" w:ascii="宋体" w:hAnsi="宋体" w:cs="宋体"/>
          <w:color w:val="auto"/>
          <w:kern w:val="0"/>
          <w:sz w:val="24"/>
          <w:szCs w:val="24"/>
          <w:highlight w:val="none"/>
          <w:lang w:val="en-US" w:eastAsia="zh-CN" w:bidi="ar-SA"/>
        </w:rPr>
        <w:t>，待债权收回后逐年转回损失。</w:t>
      </w:r>
      <w:r>
        <w:rPr>
          <w:rFonts w:hint="eastAsia" w:ascii="宋体" w:hAnsi="宋体" w:eastAsia="宋体" w:cs="宋体"/>
          <w:color w:val="auto"/>
          <w:kern w:val="0"/>
          <w:sz w:val="24"/>
          <w:szCs w:val="24"/>
          <w:highlight w:val="none"/>
          <w:lang w:val="en-US" w:eastAsia="zh-CN" w:bidi="ar-SA"/>
        </w:rPr>
        <w:t>基于以上</w:t>
      </w:r>
      <w:r>
        <w:rPr>
          <w:rFonts w:hint="eastAsia" w:ascii="宋体" w:hAnsi="宋体" w:cs="宋体"/>
          <w:color w:val="auto"/>
          <w:kern w:val="0"/>
          <w:sz w:val="24"/>
          <w:szCs w:val="24"/>
          <w:highlight w:val="none"/>
          <w:lang w:val="en-US" w:eastAsia="zh-CN" w:bidi="ar-SA"/>
        </w:rPr>
        <w:t>因素合计</w:t>
      </w:r>
      <w:r>
        <w:rPr>
          <w:rFonts w:hint="eastAsia" w:ascii="宋体" w:hAnsi="宋体" w:eastAsia="宋体" w:cs="宋体"/>
          <w:color w:val="auto"/>
          <w:kern w:val="0"/>
          <w:sz w:val="24"/>
          <w:szCs w:val="24"/>
          <w:highlight w:val="none"/>
          <w:lang w:val="en-US" w:eastAsia="zh-CN" w:bidi="ar-SA"/>
        </w:rPr>
        <w:t>增亏</w:t>
      </w:r>
      <w:r>
        <w:rPr>
          <w:rFonts w:hint="eastAsia" w:ascii="宋体" w:hAnsi="宋体" w:cs="宋体"/>
          <w:color w:val="auto"/>
          <w:kern w:val="0"/>
          <w:sz w:val="24"/>
          <w:szCs w:val="24"/>
          <w:highlight w:val="none"/>
          <w:lang w:val="en-US" w:eastAsia="zh-CN" w:bidi="ar-SA"/>
        </w:rPr>
        <w:t>5.38亿元，</w:t>
      </w:r>
      <w:r>
        <w:rPr>
          <w:rFonts w:hint="eastAsia" w:ascii="宋体" w:hAnsi="宋体" w:eastAsia="宋体" w:cs="宋体"/>
          <w:color w:val="auto"/>
          <w:kern w:val="0"/>
          <w:sz w:val="24"/>
          <w:szCs w:val="24"/>
          <w:highlight w:val="none"/>
          <w:lang w:val="en-US" w:eastAsia="zh-CN" w:bidi="ar-SA"/>
        </w:rPr>
        <w:t>贵州金元2024年千方百计抢抓发电量</w:t>
      </w:r>
      <w:r>
        <w:rPr>
          <w:rFonts w:hint="eastAsia" w:ascii="宋体" w:hAnsi="宋体" w:cs="宋体"/>
          <w:color w:val="auto"/>
          <w:kern w:val="0"/>
          <w:sz w:val="24"/>
          <w:szCs w:val="24"/>
          <w:highlight w:val="none"/>
          <w:lang w:val="en-US" w:eastAsia="zh-CN" w:bidi="ar-SA"/>
        </w:rPr>
        <w:t>、通过压降成本、处置低效无效资产等措施，共计增加归母利3.74亿元，其中：一是</w:t>
      </w:r>
      <w:r>
        <w:rPr>
          <w:rFonts w:hint="eastAsia" w:ascii="宋体" w:hAnsi="宋体" w:eastAsia="宋体" w:cs="宋体"/>
          <w:i w:val="0"/>
          <w:iCs w:val="0"/>
          <w:caps w:val="0"/>
          <w:color w:val="auto"/>
          <w:spacing w:val="0"/>
          <w:kern w:val="0"/>
          <w:sz w:val="24"/>
          <w:szCs w:val="24"/>
          <w:highlight w:val="none"/>
          <w:shd w:val="clear"/>
          <w:lang w:val="en-US" w:eastAsia="zh-CN"/>
        </w:rPr>
        <w:t>水电板块</w:t>
      </w:r>
      <w:r>
        <w:rPr>
          <w:rFonts w:hint="eastAsia" w:ascii="宋体" w:hAnsi="宋体" w:cs="宋体"/>
          <w:i w:val="0"/>
          <w:iCs w:val="0"/>
          <w:caps w:val="0"/>
          <w:color w:val="auto"/>
          <w:spacing w:val="0"/>
          <w:kern w:val="0"/>
          <w:sz w:val="24"/>
          <w:szCs w:val="24"/>
          <w:highlight w:val="none"/>
          <w:shd w:val="clear"/>
          <w:lang w:val="en-US" w:eastAsia="zh-CN"/>
        </w:rPr>
        <w:t>通过</w:t>
      </w:r>
      <w:r>
        <w:rPr>
          <w:rFonts w:hint="eastAsia" w:ascii="宋体" w:hAnsi="宋体" w:eastAsia="宋体" w:cs="宋体"/>
          <w:i w:val="0"/>
          <w:iCs w:val="0"/>
          <w:caps w:val="0"/>
          <w:color w:val="auto"/>
          <w:spacing w:val="0"/>
          <w:kern w:val="0"/>
          <w:sz w:val="24"/>
          <w:szCs w:val="24"/>
          <w:highlight w:val="none"/>
          <w:shd w:val="clear"/>
          <w:lang w:val="en-US" w:eastAsia="zh-CN"/>
        </w:rPr>
        <w:t>增发电量</w:t>
      </w:r>
      <w:r>
        <w:rPr>
          <w:rFonts w:hint="eastAsia" w:ascii="宋体" w:hAnsi="宋体" w:cs="宋体"/>
          <w:i w:val="0"/>
          <w:iCs w:val="0"/>
          <w:caps w:val="0"/>
          <w:color w:val="auto"/>
          <w:spacing w:val="0"/>
          <w:kern w:val="0"/>
          <w:sz w:val="24"/>
          <w:szCs w:val="24"/>
          <w:highlight w:val="none"/>
          <w:shd w:val="clear"/>
          <w:lang w:val="en-US" w:eastAsia="zh-CN"/>
        </w:rPr>
        <w:t>、</w:t>
      </w:r>
      <w:r>
        <w:rPr>
          <w:rFonts w:hint="eastAsia" w:ascii="宋体" w:hAnsi="宋体" w:eastAsia="宋体" w:cs="宋体"/>
          <w:i w:val="0"/>
          <w:iCs w:val="0"/>
          <w:caps w:val="0"/>
          <w:color w:val="auto"/>
          <w:spacing w:val="0"/>
          <w:kern w:val="0"/>
          <w:sz w:val="24"/>
          <w:szCs w:val="24"/>
          <w:highlight w:val="none"/>
          <w:shd w:val="clear"/>
          <w:lang w:val="en-US" w:eastAsia="zh-CN"/>
        </w:rPr>
        <w:t>控降成本费用，</w:t>
      </w:r>
      <w:r>
        <w:rPr>
          <w:rFonts w:hint="eastAsia" w:ascii="宋体" w:hAnsi="宋体" w:eastAsia="宋体" w:cs="宋体"/>
          <w:b w:val="0"/>
          <w:snapToGrid/>
          <w:color w:val="auto"/>
          <w:kern w:val="0"/>
          <w:sz w:val="24"/>
          <w:szCs w:val="24"/>
          <w:highlight w:val="none"/>
          <w:lang w:val="en-US" w:eastAsia="zh-CN"/>
        </w:rPr>
        <w:t>新能源板块克服市场化交易带来的电价下行，通过控降三项费用、财务费用等措施</w:t>
      </w:r>
      <w:r>
        <w:rPr>
          <w:rFonts w:hint="eastAsia" w:ascii="宋体" w:hAnsi="宋体" w:cs="宋体"/>
          <w:b w:val="0"/>
          <w:snapToGrid/>
          <w:color w:val="auto"/>
          <w:kern w:val="0"/>
          <w:sz w:val="24"/>
          <w:szCs w:val="24"/>
          <w:highlight w:val="none"/>
          <w:lang w:val="en-US" w:eastAsia="zh-CN"/>
        </w:rPr>
        <w:t>，共计提升</w:t>
      </w:r>
      <w:r>
        <w:rPr>
          <w:rFonts w:hint="eastAsia" w:ascii="宋体" w:hAnsi="宋体" w:cs="宋体"/>
          <w:i w:val="0"/>
          <w:iCs w:val="0"/>
          <w:caps w:val="0"/>
          <w:color w:val="auto"/>
          <w:spacing w:val="0"/>
          <w:kern w:val="0"/>
          <w:sz w:val="24"/>
          <w:szCs w:val="24"/>
          <w:highlight w:val="none"/>
          <w:shd w:val="clear"/>
          <w:lang w:val="en-US" w:eastAsia="zh-CN"/>
        </w:rPr>
        <w:t>售电单位利润21.12</w:t>
      </w:r>
      <w:r>
        <w:rPr>
          <w:rFonts w:hint="eastAsia" w:ascii="宋体" w:hAnsi="宋体" w:eastAsia="宋体" w:cs="宋体"/>
          <w:i w:val="0"/>
          <w:iCs w:val="0"/>
          <w:caps w:val="0"/>
          <w:color w:val="auto"/>
          <w:spacing w:val="0"/>
          <w:kern w:val="0"/>
          <w:sz w:val="24"/>
          <w:szCs w:val="24"/>
          <w:highlight w:val="none"/>
          <w:shd w:val="clear"/>
          <w:lang w:val="en-US" w:eastAsia="zh-CN"/>
        </w:rPr>
        <w:t>元/千千瓦时，</w:t>
      </w:r>
      <w:r>
        <w:rPr>
          <w:rFonts w:hint="eastAsia" w:ascii="宋体" w:hAnsi="宋体" w:eastAsia="宋体" w:cs="宋体"/>
          <w:b w:val="0"/>
          <w:bCs w:val="0"/>
          <w:color w:val="auto"/>
          <w:kern w:val="0"/>
          <w:sz w:val="24"/>
          <w:szCs w:val="24"/>
          <w:highlight w:val="none"/>
          <w:lang w:val="en-US" w:eastAsia="zh-CN"/>
        </w:rPr>
        <w:t>增加归母利2.4</w:t>
      </w: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snapToGrid/>
          <w:color w:val="auto"/>
          <w:kern w:val="0"/>
          <w:sz w:val="24"/>
          <w:szCs w:val="24"/>
          <w:highlight w:val="none"/>
          <w:lang w:val="en-US" w:eastAsia="zh-CN"/>
        </w:rPr>
        <w:t>二是通过</w:t>
      </w:r>
      <w:r>
        <w:rPr>
          <w:rFonts w:hint="eastAsia" w:ascii="宋体" w:hAnsi="宋体" w:eastAsia="宋体" w:cs="宋体"/>
          <w:b w:val="0"/>
          <w:snapToGrid/>
          <w:color w:val="auto"/>
          <w:kern w:val="0"/>
          <w:sz w:val="24"/>
          <w:szCs w:val="24"/>
          <w:highlight w:val="none"/>
        </w:rPr>
        <w:t>积极开展</w:t>
      </w:r>
      <w:r>
        <w:rPr>
          <w:rFonts w:hint="eastAsia" w:ascii="宋体" w:hAnsi="宋体" w:eastAsia="宋体" w:cs="宋体"/>
          <w:b w:val="0"/>
          <w:snapToGrid/>
          <w:color w:val="auto"/>
          <w:kern w:val="0"/>
          <w:sz w:val="24"/>
          <w:szCs w:val="24"/>
          <w:highlight w:val="none"/>
          <w:lang w:val="en-US" w:eastAsia="zh-CN"/>
        </w:rPr>
        <w:t>小水电</w:t>
      </w:r>
      <w:r>
        <w:rPr>
          <w:rFonts w:hint="eastAsia" w:ascii="宋体" w:hAnsi="宋体" w:eastAsia="宋体" w:cs="宋体"/>
          <w:b w:val="0"/>
          <w:snapToGrid/>
          <w:color w:val="auto"/>
          <w:kern w:val="0"/>
          <w:sz w:val="24"/>
          <w:szCs w:val="24"/>
          <w:highlight w:val="none"/>
        </w:rPr>
        <w:t>资产处置</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snapToGrid/>
          <w:color w:val="auto"/>
          <w:kern w:val="0"/>
          <w:sz w:val="24"/>
          <w:szCs w:val="24"/>
          <w:highlight w:val="none"/>
          <w:lang w:val="en-US" w:eastAsia="zh-CN"/>
        </w:rPr>
        <w:t>并</w:t>
      </w:r>
      <w:r>
        <w:rPr>
          <w:rFonts w:hint="eastAsia" w:ascii="宋体" w:hAnsi="宋体" w:eastAsia="宋体" w:cs="宋体"/>
          <w:b w:val="0"/>
          <w:snapToGrid/>
          <w:color w:val="auto"/>
          <w:kern w:val="0"/>
          <w:sz w:val="24"/>
          <w:szCs w:val="24"/>
          <w:highlight w:val="none"/>
        </w:rPr>
        <w:t>与政府协商</w:t>
      </w:r>
      <w:r>
        <w:rPr>
          <w:rFonts w:hint="eastAsia" w:ascii="宋体" w:hAnsi="宋体" w:eastAsia="宋体" w:cs="宋体"/>
          <w:b w:val="0"/>
          <w:snapToGrid/>
          <w:color w:val="auto"/>
          <w:kern w:val="0"/>
          <w:sz w:val="24"/>
          <w:szCs w:val="24"/>
          <w:highlight w:val="none"/>
          <w:lang w:val="en-US" w:eastAsia="zh-CN"/>
        </w:rPr>
        <w:t>获取</w:t>
      </w:r>
      <w:r>
        <w:rPr>
          <w:rFonts w:hint="eastAsia" w:ascii="宋体" w:hAnsi="宋体" w:eastAsia="宋体" w:cs="宋体"/>
          <w:b w:val="0"/>
          <w:bCs w:val="0"/>
          <w:color w:val="auto"/>
          <w:kern w:val="0"/>
          <w:sz w:val="24"/>
          <w:szCs w:val="24"/>
          <w:highlight w:val="none"/>
          <w:lang w:val="en-US" w:eastAsia="zh-CN"/>
        </w:rPr>
        <w:t>明英电站赔偿款</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增加归母利1.26亿元</w:t>
      </w:r>
      <w:r>
        <w:rPr>
          <w:rFonts w:hint="eastAsia" w:ascii="宋体" w:hAnsi="宋体" w:cs="宋体"/>
          <w:b w:val="0"/>
          <w:bCs w:val="0"/>
          <w:color w:val="auto"/>
          <w:kern w:val="0"/>
          <w:sz w:val="24"/>
          <w:szCs w:val="24"/>
          <w:highlight w:val="none"/>
          <w:lang w:val="en-US" w:eastAsia="zh-CN"/>
        </w:rPr>
        <w:t>。</w:t>
      </w:r>
    </w:p>
    <w:p>
      <w:pPr>
        <w:pStyle w:val="15"/>
        <w:keepNext w:val="0"/>
        <w:keepLines w:val="0"/>
        <w:pageBreakBefore w:val="0"/>
        <w:kinsoku/>
        <w:wordWrap/>
        <w:overflowPunct/>
        <w:topLinePunct w:val="0"/>
        <w:bidi w:val="0"/>
        <w:spacing w:line="400" w:lineRule="exact"/>
        <w:ind w:firstLine="480" w:firstLineChars="200"/>
        <w:jc w:val="both"/>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2.基本每股收益</w:t>
      </w:r>
      <w:r>
        <w:rPr>
          <w:rFonts w:hint="eastAsia" w:ascii="宋体" w:hAnsi="宋体" w:cs="宋体"/>
          <w:b w:val="0"/>
          <w:bCs/>
          <w:color w:val="auto"/>
          <w:sz w:val="24"/>
          <w:szCs w:val="24"/>
          <w:highlight w:val="none"/>
          <w:lang w:val="en-US" w:eastAsia="zh-CN"/>
        </w:rPr>
        <w:t xml:space="preserve"> </w:t>
      </w:r>
    </w:p>
    <w:p>
      <w:pPr>
        <w:pStyle w:val="15"/>
        <w:keepNext w:val="0"/>
        <w:keepLines w:val="0"/>
        <w:pageBreakBefore w:val="0"/>
        <w:shd w:val="clear"/>
        <w:kinsoku/>
        <w:wordWrap/>
        <w:overflowPunct/>
        <w:topLinePunct w:val="0"/>
        <w:bidi w:val="0"/>
        <w:spacing w:line="400" w:lineRule="exact"/>
        <w:ind w:firstLine="480" w:firstLineChars="200"/>
        <w:jc w:val="both"/>
        <w:rPr>
          <w:rFonts w:hint="eastAsia" w:ascii="宋体" w:hAnsi="宋体" w:eastAsia="宋体" w:cs="宋体"/>
          <w:b w:val="0"/>
          <w:color w:val="auto"/>
          <w:kern w:val="0"/>
          <w:sz w:val="24"/>
          <w:szCs w:val="24"/>
          <w:highlight w:val="none"/>
          <w:shd w:val="clear"/>
          <w:lang w:val="en-US" w:eastAsia="zh-CN" w:bidi="ar-SA"/>
        </w:rPr>
      </w:pPr>
      <w:r>
        <w:rPr>
          <w:rFonts w:hint="eastAsia" w:ascii="宋体" w:hAnsi="宋体" w:eastAsia="宋体" w:cs="宋体"/>
          <w:b w:val="0"/>
          <w:color w:val="auto"/>
          <w:kern w:val="0"/>
          <w:sz w:val="24"/>
          <w:szCs w:val="24"/>
          <w:highlight w:val="none"/>
          <w:lang w:val="en-US" w:eastAsia="zh-CN" w:bidi="ar-SA"/>
        </w:rPr>
        <w:t>公司202</w:t>
      </w:r>
      <w:r>
        <w:rPr>
          <w:rFonts w:hint="eastAsia" w:ascii="宋体" w:hAnsi="宋体" w:cs="宋体"/>
          <w:b w:val="0"/>
          <w:color w:val="auto"/>
          <w:kern w:val="0"/>
          <w:sz w:val="24"/>
          <w:szCs w:val="24"/>
          <w:highlight w:val="none"/>
          <w:lang w:val="en-US" w:eastAsia="zh-CN" w:bidi="ar-SA"/>
        </w:rPr>
        <w:t>4</w:t>
      </w:r>
      <w:r>
        <w:rPr>
          <w:rFonts w:hint="eastAsia" w:ascii="宋体" w:hAnsi="宋体" w:eastAsia="宋体" w:cs="宋体"/>
          <w:b w:val="0"/>
          <w:color w:val="auto"/>
          <w:kern w:val="0"/>
          <w:sz w:val="24"/>
          <w:szCs w:val="24"/>
          <w:highlight w:val="none"/>
          <w:lang w:val="en-US" w:eastAsia="zh-CN" w:bidi="ar-SA"/>
        </w:rPr>
        <w:t>年基本每股收益</w:t>
      </w:r>
      <w:r>
        <w:rPr>
          <w:rFonts w:hint="eastAsia" w:ascii="宋体" w:hAnsi="宋体" w:cs="宋体"/>
          <w:b w:val="0"/>
          <w:color w:val="auto"/>
          <w:kern w:val="0"/>
          <w:sz w:val="24"/>
          <w:szCs w:val="24"/>
          <w:highlight w:val="none"/>
          <w:lang w:val="en-US" w:eastAsia="zh-CN" w:bidi="ar-SA"/>
        </w:rPr>
        <w:t>0.0149</w:t>
      </w:r>
      <w:r>
        <w:rPr>
          <w:rFonts w:hint="eastAsia" w:ascii="宋体" w:hAnsi="宋体" w:eastAsia="宋体" w:cs="宋体"/>
          <w:b w:val="0"/>
          <w:color w:val="auto"/>
          <w:kern w:val="0"/>
          <w:sz w:val="24"/>
          <w:szCs w:val="24"/>
          <w:highlight w:val="none"/>
          <w:lang w:val="en-US" w:eastAsia="zh-CN" w:bidi="ar-SA"/>
        </w:rPr>
        <w:t>元，同比</w:t>
      </w:r>
      <w:r>
        <w:rPr>
          <w:rFonts w:hint="eastAsia" w:ascii="宋体" w:hAnsi="宋体" w:cs="宋体"/>
          <w:b w:val="0"/>
          <w:color w:val="auto"/>
          <w:kern w:val="0"/>
          <w:sz w:val="24"/>
          <w:szCs w:val="24"/>
          <w:highlight w:val="none"/>
          <w:lang w:val="en-US" w:eastAsia="zh-CN" w:bidi="ar-SA"/>
        </w:rPr>
        <w:t>增加0.4187</w:t>
      </w:r>
      <w:r>
        <w:rPr>
          <w:rFonts w:hint="eastAsia" w:ascii="宋体" w:hAnsi="宋体" w:eastAsia="宋体" w:cs="宋体"/>
          <w:b w:val="0"/>
          <w:color w:val="auto"/>
          <w:kern w:val="0"/>
          <w:sz w:val="24"/>
          <w:szCs w:val="24"/>
          <w:highlight w:val="none"/>
          <w:lang w:val="en-US" w:eastAsia="zh-CN" w:bidi="ar-SA"/>
        </w:rPr>
        <w:t>元，</w:t>
      </w:r>
      <w:r>
        <w:rPr>
          <w:rFonts w:hint="eastAsia" w:ascii="宋体" w:hAnsi="宋体" w:cs="宋体"/>
          <w:b w:val="0"/>
          <w:color w:val="auto"/>
          <w:kern w:val="0"/>
          <w:sz w:val="24"/>
          <w:szCs w:val="24"/>
          <w:highlight w:val="none"/>
          <w:lang w:val="en-US" w:eastAsia="zh-CN" w:bidi="ar-SA"/>
        </w:rPr>
        <w:t>增</w:t>
      </w:r>
      <w:r>
        <w:rPr>
          <w:rFonts w:hint="eastAsia" w:ascii="宋体" w:hAnsi="宋体" w:eastAsia="宋体" w:cs="宋体"/>
          <w:b w:val="0"/>
          <w:color w:val="auto"/>
          <w:kern w:val="0"/>
          <w:sz w:val="24"/>
          <w:szCs w:val="24"/>
          <w:highlight w:val="none"/>
          <w:lang w:val="en-US" w:eastAsia="zh-CN" w:bidi="ar-SA"/>
        </w:rPr>
        <w:t>幅</w:t>
      </w:r>
      <w:r>
        <w:rPr>
          <w:rFonts w:hint="eastAsia" w:ascii="宋体" w:hAnsi="宋体" w:cs="宋体"/>
          <w:b w:val="0"/>
          <w:color w:val="auto"/>
          <w:kern w:val="0"/>
          <w:sz w:val="24"/>
          <w:szCs w:val="24"/>
          <w:highlight w:val="none"/>
          <w:lang w:val="en-US" w:eastAsia="zh-CN" w:bidi="ar-SA"/>
        </w:rPr>
        <w:t>103.69%</w:t>
      </w:r>
      <w:r>
        <w:rPr>
          <w:rFonts w:hint="eastAsia" w:ascii="宋体" w:hAnsi="宋体" w:eastAsia="宋体" w:cs="宋体"/>
          <w:b w:val="0"/>
          <w:color w:val="auto"/>
          <w:kern w:val="0"/>
          <w:sz w:val="24"/>
          <w:szCs w:val="24"/>
          <w:highlight w:val="none"/>
          <w:lang w:val="en-US" w:eastAsia="zh-CN" w:bidi="ar-SA"/>
        </w:rPr>
        <w:t>。</w:t>
      </w:r>
      <w:r>
        <w:rPr>
          <w:rFonts w:hint="eastAsia" w:ascii="宋体" w:hAnsi="宋体" w:eastAsia="宋体" w:cs="宋体"/>
          <w:b w:val="0"/>
          <w:color w:val="auto"/>
          <w:kern w:val="0"/>
          <w:sz w:val="24"/>
          <w:szCs w:val="24"/>
          <w:highlight w:val="none"/>
          <w:shd w:val="clear"/>
          <w:lang w:val="en-US" w:eastAsia="zh-CN" w:bidi="ar-SA"/>
        </w:rPr>
        <w:t>变动的主要原因：202</w:t>
      </w:r>
      <w:r>
        <w:rPr>
          <w:rFonts w:hint="eastAsia" w:ascii="宋体" w:hAnsi="宋体" w:cs="宋体"/>
          <w:b w:val="0"/>
          <w:color w:val="auto"/>
          <w:kern w:val="0"/>
          <w:sz w:val="24"/>
          <w:szCs w:val="24"/>
          <w:highlight w:val="none"/>
          <w:shd w:val="clear"/>
          <w:lang w:val="en-US" w:eastAsia="zh-CN" w:bidi="ar-SA"/>
        </w:rPr>
        <w:t>4</w:t>
      </w:r>
      <w:r>
        <w:rPr>
          <w:rFonts w:hint="eastAsia" w:ascii="宋体" w:hAnsi="宋体" w:eastAsia="宋体" w:cs="宋体"/>
          <w:b w:val="0"/>
          <w:color w:val="auto"/>
          <w:kern w:val="0"/>
          <w:sz w:val="24"/>
          <w:szCs w:val="24"/>
          <w:highlight w:val="none"/>
          <w:shd w:val="clear"/>
          <w:lang w:val="en-US" w:eastAsia="zh-CN" w:bidi="ar-SA"/>
        </w:rPr>
        <w:t>年净利润</w:t>
      </w:r>
      <w:r>
        <w:rPr>
          <w:rFonts w:hint="eastAsia" w:ascii="宋体" w:hAnsi="宋体" w:cs="宋体"/>
          <w:b w:val="0"/>
          <w:color w:val="auto"/>
          <w:kern w:val="0"/>
          <w:sz w:val="24"/>
          <w:szCs w:val="24"/>
          <w:highlight w:val="none"/>
          <w:shd w:val="clear"/>
          <w:lang w:val="en-US" w:eastAsia="zh-CN" w:bidi="ar-SA"/>
        </w:rPr>
        <w:t>同比大幅增加</w:t>
      </w:r>
      <w:r>
        <w:rPr>
          <w:rFonts w:hint="eastAsia" w:ascii="宋体" w:hAnsi="宋体" w:eastAsia="宋体" w:cs="宋体"/>
          <w:b w:val="0"/>
          <w:color w:val="auto"/>
          <w:kern w:val="0"/>
          <w:sz w:val="24"/>
          <w:szCs w:val="24"/>
          <w:highlight w:val="none"/>
          <w:shd w:val="clear"/>
          <w:lang w:val="en-US" w:eastAsia="zh-CN" w:bidi="ar-SA"/>
        </w:rPr>
        <w:t>。</w:t>
      </w:r>
    </w:p>
    <w:p>
      <w:pPr>
        <w:keepNext w:val="0"/>
        <w:keepLines w:val="0"/>
        <w:pageBreakBefore w:val="0"/>
        <w:numPr>
          <w:ilvl w:val="0"/>
          <w:numId w:val="5"/>
        </w:numPr>
        <w:kinsoku/>
        <w:wordWrap/>
        <w:overflowPunct/>
        <w:topLinePunct w:val="0"/>
        <w:bidi w:val="0"/>
        <w:spacing w:line="48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偿债能力</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72"/>
        <w:gridCol w:w="1815"/>
        <w:gridCol w:w="203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88"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217"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51"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1088" w:type="pct"/>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本期期末</w:t>
            </w:r>
          </w:p>
        </w:tc>
        <w:tc>
          <w:tcPr>
            <w:tcW w:w="1217" w:type="pct"/>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上年期末</w:t>
            </w:r>
          </w:p>
        </w:tc>
        <w:tc>
          <w:tcPr>
            <w:tcW w:w="1151" w:type="pct"/>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资产总计</w:t>
            </w:r>
          </w:p>
        </w:tc>
        <w:tc>
          <w:tcPr>
            <w:tcW w:w="1088"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73,992,875,461.15</w:t>
            </w:r>
          </w:p>
        </w:tc>
        <w:tc>
          <w:tcPr>
            <w:tcW w:w="1217"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70,704,234,711.23</w:t>
            </w:r>
          </w:p>
        </w:tc>
        <w:tc>
          <w:tcPr>
            <w:tcW w:w="1151"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负债总计</w:t>
            </w:r>
          </w:p>
        </w:tc>
        <w:tc>
          <w:tcPr>
            <w:tcW w:w="1088"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58,854,779,523.36</w:t>
            </w:r>
          </w:p>
        </w:tc>
        <w:tc>
          <w:tcPr>
            <w:tcW w:w="1217"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57,909,640,547.22</w:t>
            </w:r>
          </w:p>
        </w:tc>
        <w:tc>
          <w:tcPr>
            <w:tcW w:w="2085" w:type="dxa"/>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归属于母公司股东的净资产</w:t>
            </w:r>
          </w:p>
        </w:tc>
        <w:tc>
          <w:tcPr>
            <w:tcW w:w="1088"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-736,770,819.87</w:t>
            </w:r>
          </w:p>
        </w:tc>
        <w:tc>
          <w:tcPr>
            <w:tcW w:w="1217" w:type="pct"/>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-388,936,873.19</w:t>
            </w:r>
          </w:p>
        </w:tc>
        <w:tc>
          <w:tcPr>
            <w:tcW w:w="2085" w:type="dxa"/>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归属于母公司股东的每股净资产</w:t>
            </w:r>
          </w:p>
        </w:tc>
        <w:tc>
          <w:tcPr>
            <w:tcW w:w="1088" w:type="pct"/>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
              </w:rPr>
              <w:t xml:space="preserve">-0.16 </w:t>
            </w:r>
          </w:p>
        </w:tc>
        <w:tc>
          <w:tcPr>
            <w:tcW w:w="1217" w:type="pct"/>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-0.34</w:t>
            </w:r>
          </w:p>
        </w:tc>
        <w:tc>
          <w:tcPr>
            <w:tcW w:w="1151"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资产负债率（母公司）</w:t>
            </w:r>
          </w:p>
        </w:tc>
        <w:tc>
          <w:tcPr>
            <w:tcW w:w="1088" w:type="pct"/>
            <w:shd w:val="clear" w:color="auto" w:fill="auto"/>
            <w:noWrap/>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88.50%</w:t>
            </w:r>
          </w:p>
        </w:tc>
        <w:tc>
          <w:tcPr>
            <w:tcW w:w="1217"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r>
              <w:rPr>
                <w:rFonts w:hint="eastAsia" w:ascii="宋体" w:hAnsi="宋体" w:cs="宋体"/>
                <w:i w:val="0"/>
                <w:color w:val="auto"/>
                <w:kern w:val="0"/>
                <w:sz w:val="20"/>
                <w:szCs w:val="20"/>
                <w:highlight w:val="none"/>
                <w:u w:val="none"/>
                <w:lang w:val="en-US" w:eastAsia="zh-CN" w:bidi="ar"/>
              </w:rPr>
              <w:t>6.57</w:t>
            </w:r>
            <w:r>
              <w:rPr>
                <w:rFonts w:hint="eastAsia" w:ascii="宋体" w:hAnsi="宋体" w:eastAsia="宋体" w:cs="宋体"/>
                <w:i w:val="0"/>
                <w:color w:val="auto"/>
                <w:kern w:val="0"/>
                <w:sz w:val="20"/>
                <w:szCs w:val="20"/>
                <w:highlight w:val="none"/>
                <w:u w:val="none"/>
                <w:lang w:val="en-US" w:eastAsia="zh-CN" w:bidi="ar"/>
              </w:rPr>
              <w:t>%</w:t>
            </w:r>
          </w:p>
        </w:tc>
        <w:tc>
          <w:tcPr>
            <w:tcW w:w="2085" w:type="dxa"/>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资产负债率（合并）</w:t>
            </w:r>
          </w:p>
        </w:tc>
        <w:tc>
          <w:tcPr>
            <w:tcW w:w="1088"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79.54%</w:t>
            </w:r>
          </w:p>
        </w:tc>
        <w:tc>
          <w:tcPr>
            <w:tcW w:w="1217"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81.90%</w:t>
            </w:r>
          </w:p>
        </w:tc>
        <w:tc>
          <w:tcPr>
            <w:tcW w:w="2085" w:type="dxa"/>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流动比率</w:t>
            </w:r>
          </w:p>
        </w:tc>
        <w:tc>
          <w:tcPr>
            <w:tcW w:w="1088"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41.77%</w:t>
            </w:r>
          </w:p>
        </w:tc>
        <w:tc>
          <w:tcPr>
            <w:tcW w:w="1217"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39.83%</w:t>
            </w:r>
          </w:p>
        </w:tc>
        <w:tc>
          <w:tcPr>
            <w:tcW w:w="1151"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利息保障倍数</w:t>
            </w:r>
          </w:p>
        </w:tc>
        <w:tc>
          <w:tcPr>
            <w:tcW w:w="1088"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1.13</w:t>
            </w:r>
          </w:p>
        </w:tc>
        <w:tc>
          <w:tcPr>
            <w:tcW w:w="1217"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-0.03</w:t>
            </w:r>
          </w:p>
        </w:tc>
        <w:tc>
          <w:tcPr>
            <w:tcW w:w="1151" w:type="pct"/>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3866.67%</w:t>
            </w:r>
          </w:p>
        </w:tc>
      </w:tr>
    </w:tbl>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bCs/>
          <w:color w:val="auto"/>
          <w:sz w:val="24"/>
          <w:szCs w:val="24"/>
          <w:highlight w:val="none"/>
        </w:rPr>
        <w:t>项目重大变动原因：</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归属于母公司股东的净资产</w:t>
      </w:r>
    </w:p>
    <w:p>
      <w:pPr>
        <w:keepNext w:val="0"/>
        <w:keepLines w:val="0"/>
        <w:pageBreakBefore w:val="0"/>
        <w:shd w:val="clear"/>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b w:val="0"/>
          <w:bCs/>
          <w:color w:val="auto"/>
          <w:kern w:val="2"/>
          <w:sz w:val="24"/>
          <w:szCs w:val="24"/>
          <w:highlight w:val="none"/>
          <w:shd w:val="clear" w:fill="auto"/>
          <w:lang w:val="en-US" w:eastAsia="zh-CN" w:bidi="ar-SA"/>
        </w:rPr>
      </w:pPr>
      <w:r>
        <w:rPr>
          <w:rFonts w:hint="eastAsia" w:ascii="宋体" w:hAnsi="宋体" w:cs="宋体"/>
          <w:color w:val="auto"/>
          <w:kern w:val="0"/>
          <w:sz w:val="24"/>
          <w:szCs w:val="24"/>
          <w:highlight w:val="none"/>
          <w:shd w:val="clear"/>
          <w:lang w:eastAsia="zh-CN"/>
        </w:rPr>
        <w:t>公司</w:t>
      </w:r>
      <w:r>
        <w:rPr>
          <w:rFonts w:hint="eastAsia" w:ascii="宋体" w:hAnsi="宋体" w:cs="宋体"/>
          <w:color w:val="auto"/>
          <w:kern w:val="0"/>
          <w:sz w:val="24"/>
          <w:szCs w:val="24"/>
          <w:highlight w:val="none"/>
          <w:shd w:val="clear"/>
        </w:rPr>
        <w:t>202</w:t>
      </w:r>
      <w:r>
        <w:rPr>
          <w:rFonts w:hint="eastAsia" w:ascii="宋体" w:hAnsi="宋体" w:cs="宋体"/>
          <w:color w:val="auto"/>
          <w:kern w:val="0"/>
          <w:sz w:val="24"/>
          <w:szCs w:val="24"/>
          <w:highlight w:val="none"/>
          <w:shd w:val="clear"/>
          <w:lang w:val="en-US" w:eastAsia="zh-CN"/>
        </w:rPr>
        <w:t>4</w:t>
      </w:r>
      <w:r>
        <w:rPr>
          <w:rFonts w:hint="eastAsia" w:ascii="宋体" w:hAnsi="宋体" w:cs="宋体"/>
          <w:color w:val="auto"/>
          <w:kern w:val="0"/>
          <w:sz w:val="24"/>
          <w:szCs w:val="24"/>
          <w:highlight w:val="none"/>
          <w:shd w:val="clear"/>
        </w:rPr>
        <w:t>年归属于母公司</w:t>
      </w:r>
      <w:r>
        <w:rPr>
          <w:rFonts w:hint="eastAsia" w:ascii="宋体" w:hAnsi="宋体" w:eastAsia="宋体" w:cs="宋体"/>
          <w:color w:val="auto"/>
          <w:kern w:val="0"/>
          <w:sz w:val="24"/>
          <w:szCs w:val="24"/>
          <w:highlight w:val="none"/>
          <w:shd w:val="clear"/>
          <w:lang w:eastAsia="zh-CN"/>
        </w:rPr>
        <w:t>股东</w:t>
      </w:r>
      <w:r>
        <w:rPr>
          <w:rFonts w:hint="eastAsia" w:ascii="宋体" w:hAnsi="宋体" w:cs="宋体"/>
          <w:color w:val="auto"/>
          <w:kern w:val="0"/>
          <w:sz w:val="24"/>
          <w:szCs w:val="24"/>
          <w:highlight w:val="none"/>
          <w:shd w:val="clear"/>
        </w:rPr>
        <w:t>的净资产</w:t>
      </w:r>
      <w:r>
        <w:rPr>
          <w:rFonts w:hint="eastAsia" w:ascii="宋体" w:hAnsi="宋体" w:eastAsia="宋体" w:cs="宋体"/>
          <w:i w:val="0"/>
          <w:color w:val="auto"/>
          <w:kern w:val="0"/>
          <w:sz w:val="24"/>
          <w:szCs w:val="24"/>
          <w:highlight w:val="none"/>
          <w:u w:val="none"/>
          <w:lang w:val="en-US" w:eastAsia="zh-CN" w:bidi="ar"/>
        </w:rPr>
        <w:t>-736,770,819.87</w:t>
      </w:r>
      <w:r>
        <w:rPr>
          <w:rFonts w:hint="eastAsia" w:ascii="宋体" w:hAnsi="宋体" w:cs="宋体"/>
          <w:color w:val="auto"/>
          <w:kern w:val="0"/>
          <w:sz w:val="24"/>
          <w:szCs w:val="24"/>
          <w:highlight w:val="none"/>
          <w:shd w:val="clear"/>
        </w:rPr>
        <w:t>元，同比</w:t>
      </w:r>
      <w:r>
        <w:rPr>
          <w:rFonts w:hint="eastAsia" w:ascii="宋体" w:hAnsi="宋体" w:cs="宋体"/>
          <w:color w:val="auto"/>
          <w:kern w:val="0"/>
          <w:sz w:val="24"/>
          <w:szCs w:val="24"/>
          <w:highlight w:val="none"/>
          <w:shd w:val="clear"/>
          <w:lang w:val="en-US" w:eastAsia="zh-CN"/>
        </w:rPr>
        <w:t>下降347,833,946.68</w:t>
      </w:r>
      <w:r>
        <w:rPr>
          <w:rFonts w:hint="eastAsia" w:ascii="宋体" w:hAnsi="宋体" w:cs="宋体"/>
          <w:color w:val="auto"/>
          <w:kern w:val="0"/>
          <w:sz w:val="24"/>
          <w:szCs w:val="24"/>
          <w:highlight w:val="none"/>
          <w:shd w:val="clear"/>
        </w:rPr>
        <w:t>元，</w:t>
      </w:r>
      <w:r>
        <w:rPr>
          <w:rFonts w:hint="eastAsia" w:ascii="宋体" w:hAnsi="宋体" w:cs="宋体"/>
          <w:color w:val="auto"/>
          <w:kern w:val="0"/>
          <w:sz w:val="24"/>
          <w:szCs w:val="24"/>
          <w:highlight w:val="none"/>
          <w:shd w:val="clear"/>
          <w:lang w:val="en-US" w:eastAsia="zh-CN"/>
        </w:rPr>
        <w:t>降</w:t>
      </w:r>
      <w:r>
        <w:rPr>
          <w:rFonts w:hint="eastAsia" w:ascii="宋体" w:hAnsi="宋体" w:cs="宋体"/>
          <w:color w:val="auto"/>
          <w:kern w:val="0"/>
          <w:sz w:val="24"/>
          <w:szCs w:val="24"/>
          <w:highlight w:val="none"/>
          <w:shd w:val="clear"/>
          <w:lang w:eastAsia="zh-CN"/>
        </w:rPr>
        <w:t>幅</w:t>
      </w:r>
      <w:r>
        <w:rPr>
          <w:rFonts w:hint="eastAsia" w:ascii="宋体" w:hAnsi="宋体" w:cs="宋体"/>
          <w:b w:val="0"/>
          <w:bCs/>
          <w:color w:val="auto"/>
          <w:kern w:val="2"/>
          <w:sz w:val="24"/>
          <w:szCs w:val="24"/>
          <w:highlight w:val="none"/>
          <w:lang w:val="en-US" w:eastAsia="zh-CN" w:bidi="ar-SA"/>
        </w:rPr>
        <w:t>89.43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color w:val="auto"/>
          <w:kern w:val="0"/>
          <w:sz w:val="24"/>
          <w:szCs w:val="24"/>
          <w:highlight w:val="none"/>
          <w:shd w:val="clear"/>
          <w:lang w:eastAsia="zh-CN"/>
        </w:rPr>
        <w:t>。</w:t>
      </w:r>
      <w:r>
        <w:rPr>
          <w:rFonts w:hint="eastAsia" w:ascii="宋体" w:hAnsi="宋体" w:eastAsia="宋体" w:cs="宋体"/>
          <w:b w:val="0"/>
          <w:bCs/>
          <w:color w:val="auto"/>
          <w:kern w:val="2"/>
          <w:sz w:val="24"/>
          <w:szCs w:val="24"/>
          <w:highlight w:val="none"/>
          <w:shd w:val="clear"/>
          <w:lang w:val="en-US" w:eastAsia="zh-CN" w:bidi="ar-SA"/>
        </w:rPr>
        <w:t>变动的主要原</w:t>
      </w:r>
      <w:r>
        <w:rPr>
          <w:rFonts w:hint="eastAsia" w:ascii="宋体" w:hAnsi="宋体" w:eastAsia="宋体" w:cs="宋体"/>
          <w:b w:val="0"/>
          <w:bCs/>
          <w:color w:val="auto"/>
          <w:kern w:val="2"/>
          <w:sz w:val="24"/>
          <w:szCs w:val="24"/>
          <w:highlight w:val="none"/>
          <w:shd w:val="clear" w:fill="FFFFFF" w:themeFill="background1"/>
          <w:lang w:val="en-US" w:eastAsia="zh-CN" w:bidi="ar-SA"/>
        </w:rPr>
        <w:t>因：2</w:t>
      </w:r>
      <w:r>
        <w:rPr>
          <w:rFonts w:hint="eastAsia" w:ascii="宋体" w:hAnsi="宋体" w:eastAsia="宋体" w:cs="宋体"/>
          <w:b w:val="0"/>
          <w:bCs/>
          <w:color w:val="auto"/>
          <w:kern w:val="2"/>
          <w:sz w:val="24"/>
          <w:szCs w:val="24"/>
          <w:highlight w:val="none"/>
          <w:shd w:val="clear" w:fill="auto"/>
          <w:lang w:val="en-US" w:eastAsia="zh-CN" w:bidi="ar-SA"/>
        </w:rPr>
        <w:t>02</w:t>
      </w:r>
      <w:r>
        <w:rPr>
          <w:rFonts w:hint="eastAsia" w:ascii="宋体" w:hAnsi="宋体" w:cs="宋体"/>
          <w:b w:val="0"/>
          <w:bCs/>
          <w:color w:val="auto"/>
          <w:kern w:val="2"/>
          <w:sz w:val="24"/>
          <w:szCs w:val="24"/>
          <w:highlight w:val="none"/>
          <w:shd w:val="clear" w:fill="auto"/>
          <w:lang w:val="en-US" w:eastAsia="zh-CN" w:bidi="ar-SA"/>
        </w:rPr>
        <w:t>4</w:t>
      </w:r>
      <w:r>
        <w:rPr>
          <w:rFonts w:hint="eastAsia" w:ascii="宋体" w:hAnsi="宋体" w:eastAsia="宋体" w:cs="宋体"/>
          <w:b w:val="0"/>
          <w:bCs/>
          <w:color w:val="auto"/>
          <w:kern w:val="2"/>
          <w:sz w:val="24"/>
          <w:szCs w:val="24"/>
          <w:highlight w:val="none"/>
          <w:shd w:val="clear" w:fill="auto"/>
          <w:lang w:val="en-US" w:eastAsia="zh-CN" w:bidi="ar-SA"/>
        </w:rPr>
        <w:t>年</w:t>
      </w:r>
      <w:r>
        <w:rPr>
          <w:rFonts w:hint="eastAsia" w:ascii="宋体" w:hAnsi="宋体" w:eastAsia="宋体" w:cs="宋体"/>
          <w:bCs/>
          <w:i w:val="0"/>
          <w:iCs w:val="0"/>
          <w:caps w:val="0"/>
          <w:color w:val="auto"/>
          <w:spacing w:val="0"/>
          <w:sz w:val="24"/>
          <w:szCs w:val="24"/>
          <w:highlight w:val="none"/>
          <w:shd w:val="clear" w:fill="auto"/>
        </w:rPr>
        <w:t>归属于母公司所有者的净利润</w:t>
      </w:r>
      <w:r>
        <w:rPr>
          <w:rFonts w:hint="eastAsia" w:ascii="宋体" w:hAnsi="宋体" w:cs="宋体"/>
          <w:bCs/>
          <w:i w:val="0"/>
          <w:iCs w:val="0"/>
          <w:caps w:val="0"/>
          <w:color w:val="auto"/>
          <w:spacing w:val="0"/>
          <w:sz w:val="24"/>
          <w:szCs w:val="24"/>
          <w:highlight w:val="none"/>
          <w:shd w:val="clear"/>
          <w:lang w:val="en-US" w:eastAsia="zh-CN"/>
        </w:rPr>
        <w:t>为-5.44亿元</w:t>
      </w:r>
      <w:r>
        <w:rPr>
          <w:rFonts w:hint="eastAsia" w:ascii="宋体" w:hAnsi="宋体" w:cs="宋体"/>
          <w:bCs/>
          <w:color w:val="auto"/>
          <w:kern w:val="2"/>
          <w:sz w:val="24"/>
          <w:szCs w:val="24"/>
          <w:highlight w:val="none"/>
          <w:lang w:val="en-US" w:eastAsia="zh-CN"/>
        </w:rPr>
        <w:t>。</w:t>
      </w:r>
    </w:p>
    <w:p>
      <w:pPr>
        <w:pStyle w:val="15"/>
        <w:keepNext w:val="0"/>
        <w:keepLines w:val="0"/>
        <w:pageBreakBefore w:val="0"/>
        <w:kinsoku/>
        <w:wordWrap/>
        <w:overflowPunct/>
        <w:topLinePunct w:val="0"/>
        <w:bidi w:val="0"/>
        <w:spacing w:line="400" w:lineRule="exact"/>
        <w:ind w:firstLine="481"/>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color w:val="auto"/>
          <w:kern w:val="0"/>
          <w:sz w:val="24"/>
          <w:szCs w:val="24"/>
          <w:highlight w:val="none"/>
        </w:rPr>
        <w:t>利息保障倍数</w:t>
      </w:r>
    </w:p>
    <w:p>
      <w:pPr>
        <w:pStyle w:val="15"/>
        <w:keepNext w:val="0"/>
        <w:keepLines w:val="0"/>
        <w:pageBreakBefore w:val="0"/>
        <w:kinsoku/>
        <w:wordWrap/>
        <w:overflowPunct/>
        <w:topLinePunct w:val="0"/>
        <w:bidi w:val="0"/>
        <w:spacing w:line="400" w:lineRule="exact"/>
        <w:ind w:firstLine="481"/>
        <w:jc w:val="left"/>
        <w:rPr>
          <w:rFonts w:hint="eastAsia"/>
          <w:color w:val="auto"/>
          <w:highlight w:val="none"/>
          <w:shd w:val="clear"/>
          <w:lang w:val="en-US" w:eastAsia="zh-CN"/>
        </w:rPr>
      </w:pPr>
      <w:r>
        <w:rPr>
          <w:rFonts w:hint="eastAsia" w:ascii="宋体" w:hAnsi="宋体" w:eastAsia="宋体" w:cs="宋体"/>
          <w:b w:val="0"/>
          <w:bCs/>
          <w:color w:val="auto"/>
          <w:sz w:val="24"/>
          <w:szCs w:val="24"/>
          <w:highlight w:val="none"/>
          <w:lang w:val="en-US" w:eastAsia="zh-CN"/>
        </w:rPr>
        <w:t>公司202</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年利息保障倍数</w:t>
      </w:r>
      <w:r>
        <w:rPr>
          <w:rFonts w:hint="eastAsia" w:ascii="宋体" w:hAnsi="宋体" w:cs="宋体"/>
          <w:b w:val="0"/>
          <w:bCs/>
          <w:color w:val="auto"/>
          <w:sz w:val="24"/>
          <w:szCs w:val="24"/>
          <w:highlight w:val="none"/>
          <w:lang w:val="en-US" w:eastAsia="zh-CN"/>
        </w:rPr>
        <w:t>1.13</w:t>
      </w:r>
      <w:r>
        <w:rPr>
          <w:rFonts w:hint="eastAsia" w:ascii="宋体" w:hAnsi="宋体" w:eastAsia="宋体" w:cs="宋体"/>
          <w:b w:val="0"/>
          <w:bCs/>
          <w:color w:val="auto"/>
          <w:sz w:val="24"/>
          <w:szCs w:val="24"/>
          <w:highlight w:val="none"/>
          <w:lang w:val="en-US" w:eastAsia="zh-CN"/>
        </w:rPr>
        <w:t>，同比</w:t>
      </w:r>
      <w:r>
        <w:rPr>
          <w:rFonts w:hint="eastAsia" w:ascii="宋体" w:hAnsi="宋体" w:cs="宋体"/>
          <w:b w:val="0"/>
          <w:bCs/>
          <w:color w:val="auto"/>
          <w:kern w:val="0"/>
          <w:sz w:val="24"/>
          <w:szCs w:val="24"/>
          <w:highlight w:val="none"/>
          <w:lang w:val="en-US" w:eastAsia="zh-CN"/>
        </w:rPr>
        <w:t>增加3866.67</w:t>
      </w:r>
      <w:r>
        <w:rPr>
          <w:rFonts w:hint="eastAsia" w:ascii="宋体" w:hAnsi="宋体" w:eastAsia="宋体" w:cs="宋体"/>
          <w:b w:val="0"/>
          <w:bCs/>
          <w:color w:val="auto"/>
          <w:sz w:val="24"/>
          <w:szCs w:val="24"/>
          <w:highlight w:val="none"/>
          <w:lang w:val="en-US" w:eastAsia="zh-CN"/>
        </w:rPr>
        <w:t>%。变动的主要原因：</w:t>
      </w:r>
      <w:r>
        <w:rPr>
          <w:rFonts w:hint="eastAsia" w:ascii="宋体" w:hAnsi="宋体" w:cs="宋体"/>
          <w:b w:val="0"/>
          <w:bCs/>
          <w:color w:val="auto"/>
          <w:sz w:val="24"/>
          <w:szCs w:val="24"/>
          <w:highlight w:val="none"/>
          <w:lang w:val="en-US" w:eastAsia="zh-CN"/>
        </w:rPr>
        <w:t>受2023年计提减值、确认公允价值变动损益等非经常性损益的</w:t>
      </w:r>
      <w:r>
        <w:rPr>
          <w:rFonts w:hint="eastAsia" w:ascii="宋体" w:hAnsi="宋体" w:cs="宋体"/>
          <w:b w:val="0"/>
          <w:bCs/>
          <w:color w:val="auto"/>
          <w:sz w:val="24"/>
          <w:szCs w:val="24"/>
          <w:highlight w:val="none"/>
          <w:shd w:val="clear"/>
          <w:lang w:val="en-US" w:eastAsia="zh-CN"/>
        </w:rPr>
        <w:t>影响，导致2023年</w:t>
      </w:r>
      <w:r>
        <w:rPr>
          <w:rFonts w:hint="eastAsia" w:ascii="宋体" w:hAnsi="宋体" w:eastAsia="宋体" w:cs="宋体"/>
          <w:b w:val="0"/>
          <w:bCs/>
          <w:color w:val="auto"/>
          <w:sz w:val="24"/>
          <w:szCs w:val="24"/>
          <w:highlight w:val="none"/>
          <w:shd w:val="clear"/>
          <w:lang w:val="en-US" w:eastAsia="zh-CN"/>
        </w:rPr>
        <w:t>利息保障倍数</w:t>
      </w:r>
      <w:r>
        <w:rPr>
          <w:rFonts w:hint="eastAsia" w:ascii="宋体" w:hAnsi="宋体" w:cs="宋体"/>
          <w:b w:val="0"/>
          <w:bCs/>
          <w:color w:val="auto"/>
          <w:sz w:val="24"/>
          <w:szCs w:val="24"/>
          <w:highlight w:val="none"/>
          <w:shd w:val="clear"/>
          <w:lang w:val="en-US" w:eastAsia="zh-CN"/>
        </w:rPr>
        <w:t>较低。</w:t>
      </w:r>
    </w:p>
    <w:p>
      <w:pPr>
        <w:numPr>
          <w:ilvl w:val="0"/>
          <w:numId w:val="5"/>
        </w:numPr>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营运情况</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09"/>
        <w:gridCol w:w="1887"/>
        <w:gridCol w:w="2101"/>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84" w:type="pct"/>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31"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259"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92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1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w:t>
            </w:r>
          </w:p>
        </w:tc>
        <w:tc>
          <w:tcPr>
            <w:tcW w:w="12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上年同期</w:t>
            </w:r>
          </w:p>
        </w:tc>
        <w:tc>
          <w:tcPr>
            <w:tcW w:w="9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经营活动产生的现金流量净额</w:t>
            </w:r>
          </w:p>
        </w:tc>
        <w:tc>
          <w:tcPr>
            <w:tcW w:w="1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5,190,784,702.52</w:t>
            </w:r>
          </w:p>
        </w:tc>
        <w:tc>
          <w:tcPr>
            <w:tcW w:w="2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3,523,385,554.48</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应收账款周转率</w:t>
            </w:r>
          </w:p>
        </w:tc>
        <w:tc>
          <w:tcPr>
            <w:tcW w:w="1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3.05</w:t>
            </w:r>
          </w:p>
        </w:tc>
        <w:tc>
          <w:tcPr>
            <w:tcW w:w="2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3.64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存货周转率</w:t>
            </w:r>
          </w:p>
        </w:tc>
        <w:tc>
          <w:tcPr>
            <w:tcW w:w="11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10.36</w:t>
            </w:r>
          </w:p>
        </w:tc>
        <w:tc>
          <w:tcPr>
            <w:tcW w:w="2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12.28</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-15.64%</w:t>
            </w:r>
          </w:p>
        </w:tc>
      </w:tr>
    </w:tbl>
    <w:p>
      <w:pPr>
        <w:pStyle w:val="15"/>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项目重大变动原因：</w:t>
      </w:r>
    </w:p>
    <w:p>
      <w:pPr>
        <w:pStyle w:val="15"/>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color w:val="auto"/>
          <w:kern w:val="0"/>
          <w:sz w:val="24"/>
          <w:szCs w:val="24"/>
          <w:highlight w:val="none"/>
        </w:rPr>
        <w:t>经营活动产生的现金流量净额</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公司202</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年经营活动产生的现金流量净额</w:t>
      </w:r>
      <w:r>
        <w:rPr>
          <w:rFonts w:hint="eastAsia" w:ascii="宋体" w:hAnsi="宋体" w:eastAsia="宋体" w:cs="宋体"/>
          <w:i w:val="0"/>
          <w:color w:val="auto"/>
          <w:kern w:val="0"/>
          <w:sz w:val="20"/>
          <w:szCs w:val="20"/>
          <w:highlight w:val="none"/>
          <w:u w:val="none"/>
          <w:lang w:val="en-US" w:eastAsia="zh-CN" w:bidi="ar"/>
        </w:rPr>
        <w:t>5,190,784,702.52</w:t>
      </w:r>
      <w:r>
        <w:rPr>
          <w:rFonts w:hint="eastAsia" w:ascii="宋体" w:hAnsi="宋体" w:eastAsia="宋体" w:cs="宋体"/>
          <w:b w:val="0"/>
          <w:bCs/>
          <w:color w:val="auto"/>
          <w:sz w:val="24"/>
          <w:szCs w:val="24"/>
          <w:highlight w:val="none"/>
          <w:lang w:val="en-US" w:eastAsia="zh-CN"/>
        </w:rPr>
        <w:t>元，同比增加 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667</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399</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148.04元，增幅4</w:t>
      </w:r>
      <w:r>
        <w:rPr>
          <w:rFonts w:hint="eastAsia" w:ascii="宋体" w:hAnsi="宋体" w:cs="宋体"/>
          <w:b w:val="0"/>
          <w:bCs/>
          <w:color w:val="auto"/>
          <w:sz w:val="24"/>
          <w:szCs w:val="24"/>
          <w:highlight w:val="none"/>
          <w:lang w:val="en-US" w:eastAsia="zh-CN"/>
        </w:rPr>
        <w:t>7.32</w:t>
      </w:r>
      <w:r>
        <w:rPr>
          <w:rFonts w:hint="eastAsia" w:ascii="宋体" w:hAnsi="宋体" w:eastAsia="宋体" w:cs="宋体"/>
          <w:b w:val="0"/>
          <w:bCs/>
          <w:color w:val="auto"/>
          <w:sz w:val="24"/>
          <w:szCs w:val="24"/>
          <w:highlight w:val="none"/>
          <w:lang w:val="en-US" w:eastAsia="zh-CN"/>
        </w:rPr>
        <w:t>%。变动的主要原因：报告期内</w:t>
      </w:r>
      <w:r>
        <w:rPr>
          <w:rFonts w:hint="eastAsia" w:ascii="宋体" w:hAnsi="宋体" w:eastAsia="宋体" w:cs="宋体"/>
          <w:bCs/>
          <w:i w:val="0"/>
          <w:iCs w:val="0"/>
          <w:caps w:val="0"/>
          <w:color w:val="auto"/>
          <w:spacing w:val="0"/>
          <w:sz w:val="24"/>
          <w:szCs w:val="24"/>
          <w:highlight w:val="none"/>
          <w:shd w:val="clear" w:fill="auto"/>
        </w:rPr>
        <w:t>购买商品、接受劳务支付的现金</w:t>
      </w:r>
      <w:r>
        <w:rPr>
          <w:rFonts w:hint="eastAsia" w:ascii="宋体" w:hAnsi="宋体" w:cs="宋体"/>
          <w:b w:val="0"/>
          <w:bCs/>
          <w:color w:val="auto"/>
          <w:sz w:val="24"/>
          <w:szCs w:val="24"/>
          <w:highlight w:val="none"/>
          <w:lang w:val="en-US" w:eastAsia="zh-CN"/>
        </w:rPr>
        <w:t>同比减少</w:t>
      </w:r>
      <w:r>
        <w:rPr>
          <w:rFonts w:hint="eastAsia" w:ascii="宋体" w:hAnsi="宋体" w:eastAsia="宋体" w:cs="宋体"/>
          <w:b w:val="0"/>
          <w:bCs/>
          <w:color w:val="auto"/>
          <w:sz w:val="24"/>
          <w:szCs w:val="24"/>
          <w:highlight w:val="none"/>
          <w:lang w:val="en-US" w:eastAsia="zh-CN"/>
        </w:rPr>
        <w:t>。</w:t>
      </w:r>
    </w:p>
    <w:p>
      <w:pPr>
        <w:pStyle w:val="15"/>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color w:val="auto"/>
          <w:kern w:val="0"/>
          <w:sz w:val="24"/>
          <w:szCs w:val="24"/>
          <w:highlight w:val="none"/>
        </w:rPr>
        <w:t>应收账款周转率</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lang w:val="en-US" w:eastAsia="zh-CN"/>
        </w:rPr>
        <w:t>公司202</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年应收账款周转率</w:t>
      </w:r>
      <w:r>
        <w:rPr>
          <w:rFonts w:hint="eastAsia" w:ascii="宋体" w:hAnsi="宋体" w:cs="宋体"/>
          <w:b w:val="0"/>
          <w:bCs/>
          <w:color w:val="auto"/>
          <w:sz w:val="24"/>
          <w:szCs w:val="24"/>
          <w:highlight w:val="none"/>
          <w:lang w:val="en-US" w:eastAsia="zh-CN"/>
        </w:rPr>
        <w:t>3.05次</w:t>
      </w:r>
      <w:r>
        <w:rPr>
          <w:rFonts w:hint="eastAsia" w:ascii="宋体" w:hAnsi="宋体" w:eastAsia="宋体" w:cs="宋体"/>
          <w:b w:val="0"/>
          <w:bCs/>
          <w:color w:val="auto"/>
          <w:sz w:val="24"/>
          <w:szCs w:val="24"/>
          <w:highlight w:val="none"/>
          <w:lang w:val="en-US" w:eastAsia="zh-CN"/>
        </w:rPr>
        <w:t>，同比降低</w:t>
      </w:r>
      <w:r>
        <w:rPr>
          <w:rFonts w:hint="eastAsia" w:ascii="宋体" w:hAnsi="宋体" w:cs="宋体"/>
          <w:b w:val="0"/>
          <w:bCs/>
          <w:color w:val="auto"/>
          <w:sz w:val="24"/>
          <w:szCs w:val="24"/>
          <w:highlight w:val="none"/>
          <w:lang w:val="en-US" w:eastAsia="zh-CN"/>
        </w:rPr>
        <w:t>16.21%</w:t>
      </w:r>
      <w:r>
        <w:rPr>
          <w:rFonts w:hint="eastAsia" w:ascii="宋体" w:hAnsi="宋体" w:eastAsia="宋体" w:cs="宋体"/>
          <w:b w:val="0"/>
          <w:bCs/>
          <w:color w:val="auto"/>
          <w:sz w:val="24"/>
          <w:szCs w:val="24"/>
          <w:highlight w:val="none"/>
          <w:lang w:val="en-US" w:eastAsia="zh-CN"/>
        </w:rPr>
        <w:t>。变动的主要原因：</w:t>
      </w:r>
      <w:r>
        <w:rPr>
          <w:rFonts w:hint="eastAsia" w:ascii="宋体" w:hAnsi="宋体" w:eastAsia="宋体" w:cs="宋体"/>
          <w:color w:val="auto"/>
          <w:kern w:val="0"/>
          <w:sz w:val="24"/>
          <w:szCs w:val="24"/>
          <w:highlight w:val="none"/>
        </w:rPr>
        <w:t>受可再生能源补贴发放的程序及周期性影响，应收新能源补贴滞后。</w:t>
      </w:r>
    </w:p>
    <w:p>
      <w:pPr>
        <w:pStyle w:val="15"/>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color w:val="auto"/>
          <w:kern w:val="0"/>
          <w:sz w:val="24"/>
          <w:szCs w:val="24"/>
          <w:highlight w:val="none"/>
        </w:rPr>
        <w:t>存货周转率</w:t>
      </w:r>
    </w:p>
    <w:p>
      <w:pPr>
        <w:pStyle w:val="15"/>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color w:val="auto"/>
          <w:sz w:val="24"/>
          <w:szCs w:val="24"/>
          <w:highlight w:val="none"/>
          <w:lang w:val="en-US" w:eastAsia="zh-CN"/>
        </w:rPr>
        <w:t>公司202</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年存货周转率</w:t>
      </w:r>
      <w:r>
        <w:rPr>
          <w:rFonts w:hint="eastAsia" w:ascii="宋体" w:hAnsi="宋体" w:cs="宋体"/>
          <w:b w:val="0"/>
          <w:bCs/>
          <w:color w:val="auto"/>
          <w:sz w:val="24"/>
          <w:szCs w:val="24"/>
          <w:highlight w:val="none"/>
          <w:lang w:val="en-US" w:eastAsia="zh-CN"/>
        </w:rPr>
        <w:t>10.36次</w:t>
      </w:r>
      <w:r>
        <w:rPr>
          <w:rFonts w:hint="eastAsia" w:ascii="宋体" w:hAnsi="宋体" w:eastAsia="宋体" w:cs="宋体"/>
          <w:b w:val="0"/>
          <w:bCs/>
          <w:color w:val="auto"/>
          <w:sz w:val="24"/>
          <w:szCs w:val="24"/>
          <w:highlight w:val="none"/>
          <w:lang w:val="en-US" w:eastAsia="zh-CN"/>
        </w:rPr>
        <w:t>，同比降低</w:t>
      </w:r>
      <w:r>
        <w:rPr>
          <w:rFonts w:hint="eastAsia" w:ascii="宋体" w:hAnsi="宋体" w:cs="宋体"/>
          <w:b w:val="0"/>
          <w:bCs/>
          <w:color w:val="auto"/>
          <w:sz w:val="24"/>
          <w:szCs w:val="24"/>
          <w:highlight w:val="none"/>
          <w:lang w:val="en-US" w:eastAsia="zh-CN"/>
        </w:rPr>
        <w:t>15.64%</w:t>
      </w:r>
      <w:r>
        <w:rPr>
          <w:rFonts w:hint="eastAsia" w:ascii="宋体" w:hAnsi="宋体" w:eastAsia="宋体" w:cs="宋体"/>
          <w:b w:val="0"/>
          <w:bCs/>
          <w:color w:val="auto"/>
          <w:sz w:val="24"/>
          <w:szCs w:val="24"/>
          <w:highlight w:val="none"/>
          <w:lang w:val="en-US" w:eastAsia="zh-CN"/>
        </w:rPr>
        <w:t>。变动的主要原因：</w:t>
      </w:r>
      <w:r>
        <w:rPr>
          <w:rFonts w:hint="eastAsia" w:ascii="宋体" w:hAnsi="宋体" w:cs="宋体"/>
          <w:b w:val="0"/>
          <w:bCs/>
          <w:color w:val="auto"/>
          <w:sz w:val="24"/>
          <w:szCs w:val="24"/>
          <w:highlight w:val="none"/>
          <w:shd w:val="clear"/>
          <w:lang w:val="en-US" w:eastAsia="zh-CN"/>
        </w:rPr>
        <w:t>2024</w:t>
      </w:r>
      <w:r>
        <w:rPr>
          <w:rFonts w:hint="eastAsia" w:ascii="宋体" w:hAnsi="宋体" w:eastAsia="宋体" w:cs="宋体"/>
          <w:b w:val="0"/>
          <w:bCs/>
          <w:color w:val="auto"/>
          <w:sz w:val="24"/>
          <w:szCs w:val="24"/>
          <w:highlight w:val="none"/>
          <w:shd w:val="clear"/>
          <w:lang w:val="en-US" w:eastAsia="zh-CN"/>
        </w:rPr>
        <w:t>年</w:t>
      </w:r>
      <w:r>
        <w:rPr>
          <w:rFonts w:hint="eastAsia" w:ascii="宋体" w:hAnsi="宋体" w:cs="宋体"/>
          <w:b w:val="0"/>
          <w:bCs/>
          <w:color w:val="auto"/>
          <w:sz w:val="24"/>
          <w:szCs w:val="24"/>
          <w:highlight w:val="none"/>
          <w:shd w:val="clear"/>
          <w:lang w:val="en-US" w:eastAsia="zh-CN"/>
        </w:rPr>
        <w:t>火电板块负荷率下降，营业成本同比下降，导致存货</w:t>
      </w:r>
      <w:r>
        <w:rPr>
          <w:rFonts w:hint="eastAsia" w:ascii="宋体" w:hAnsi="宋体" w:eastAsia="宋体" w:cs="宋体"/>
          <w:b w:val="0"/>
          <w:bCs/>
          <w:color w:val="auto"/>
          <w:sz w:val="24"/>
          <w:szCs w:val="24"/>
          <w:highlight w:val="none"/>
          <w:shd w:val="clear"/>
          <w:lang w:val="en-US" w:eastAsia="zh-CN"/>
        </w:rPr>
        <w:t>周转率</w:t>
      </w:r>
      <w:r>
        <w:rPr>
          <w:rFonts w:hint="eastAsia" w:ascii="宋体" w:hAnsi="宋体" w:cs="宋体"/>
          <w:b w:val="0"/>
          <w:bCs/>
          <w:color w:val="auto"/>
          <w:sz w:val="24"/>
          <w:szCs w:val="24"/>
          <w:highlight w:val="none"/>
          <w:shd w:val="clear"/>
          <w:lang w:val="en-US" w:eastAsia="zh-CN"/>
        </w:rPr>
        <w:t>降低</w:t>
      </w:r>
      <w:r>
        <w:rPr>
          <w:rFonts w:hint="eastAsia" w:ascii="宋体" w:hAnsi="宋体" w:eastAsia="宋体" w:cs="宋体"/>
          <w:b w:val="0"/>
          <w:bCs/>
          <w:color w:val="auto"/>
          <w:sz w:val="24"/>
          <w:szCs w:val="24"/>
          <w:highlight w:val="none"/>
          <w:shd w:val="clear"/>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成长情况</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9"/>
        <w:gridCol w:w="1562"/>
        <w:gridCol w:w="1965"/>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9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w:t>
            </w:r>
          </w:p>
        </w:tc>
        <w:tc>
          <w:tcPr>
            <w:tcW w:w="11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上年同期</w:t>
            </w:r>
          </w:p>
        </w:tc>
        <w:tc>
          <w:tcPr>
            <w:tcW w:w="13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总资产增长率</w:t>
            </w:r>
          </w:p>
        </w:tc>
        <w:tc>
          <w:tcPr>
            <w:tcW w:w="9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i w:val="0"/>
                <w:color w:val="auto"/>
                <w:kern w:val="0"/>
                <w:sz w:val="20"/>
                <w:szCs w:val="20"/>
                <w:highlight w:val="none"/>
                <w:u w:val="none"/>
                <w:lang w:val="en-US" w:eastAsia="zh-CN" w:bidi="ar"/>
              </w:rPr>
              <w:t>4.65%</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7.48%</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营业收入增长率</w:t>
            </w:r>
          </w:p>
        </w:tc>
        <w:tc>
          <w:tcPr>
            <w:tcW w:w="9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-5.23%</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13.36%</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营业利润增长率</w:t>
            </w:r>
          </w:p>
        </w:tc>
        <w:tc>
          <w:tcPr>
            <w:tcW w:w="9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-125.30%</w:t>
            </w:r>
          </w:p>
        </w:tc>
        <w:tc>
          <w:tcPr>
            <w:tcW w:w="19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-1377.67%</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top"/>
              <w:rPr>
                <w:rFonts w:hint="eastAsia" w:ascii="宋体" w:hAnsi="宋体" w:eastAsia="宋体" w:cs="宋体"/>
                <w:i w:val="0"/>
                <w:color w:val="auto"/>
                <w:kern w:val="0"/>
                <w:sz w:val="20"/>
                <w:szCs w:val="20"/>
                <w:highlight w:val="none"/>
                <w:u w:val="none"/>
                <w:lang w:val="en-US" w:bidi="ar"/>
              </w:rPr>
            </w:pPr>
            <w:r>
              <w:rPr>
                <w:rFonts w:hint="eastAsia" w:ascii="宋体" w:hAnsi="宋体" w:eastAsia="宋体" w:cs="宋体"/>
                <w:i w:val="0"/>
                <w:iCs w:val="0"/>
                <w:color w:val="auto"/>
                <w:kern w:val="0"/>
                <w:sz w:val="20"/>
                <w:szCs w:val="20"/>
                <w:highlight w:val="none"/>
                <w:u w:val="none"/>
                <w:lang w:val="en-US" w:eastAsia="zh-CN" w:bidi="ar"/>
              </w:rPr>
              <w:t>1252.37%</w:t>
            </w:r>
          </w:p>
        </w:tc>
      </w:tr>
    </w:tbl>
    <w:p>
      <w:pPr>
        <w:pStyle w:val="15"/>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项目重大变动原因：</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color w:val="auto"/>
          <w:kern w:val="0"/>
          <w:sz w:val="24"/>
          <w:szCs w:val="24"/>
          <w:highlight w:val="none"/>
          <w:lang w:val="en-US" w:eastAsia="zh-CN" w:bidi="ar-SA"/>
        </w:rPr>
        <w:t>营业利润增长率</w:t>
      </w:r>
    </w:p>
    <w:p>
      <w:pPr>
        <w:pStyle w:val="15"/>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公司202</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年营业利润增长率-1</w:t>
      </w:r>
      <w:r>
        <w:rPr>
          <w:rFonts w:hint="eastAsia" w:ascii="宋体" w:hAnsi="宋体" w:cs="宋体"/>
          <w:b w:val="0"/>
          <w:bCs/>
          <w:color w:val="auto"/>
          <w:sz w:val="24"/>
          <w:szCs w:val="24"/>
          <w:highlight w:val="none"/>
          <w:lang w:val="en-US" w:eastAsia="zh-CN"/>
        </w:rPr>
        <w:t>25.3</w:t>
      </w:r>
      <w:r>
        <w:rPr>
          <w:rFonts w:hint="eastAsia" w:ascii="宋体" w:hAnsi="宋体" w:eastAsia="宋体" w:cs="宋体"/>
          <w:b w:val="0"/>
          <w:bCs/>
          <w:color w:val="auto"/>
          <w:sz w:val="24"/>
          <w:szCs w:val="24"/>
          <w:highlight w:val="none"/>
          <w:lang w:val="en-US" w:eastAsia="zh-CN"/>
        </w:rPr>
        <w:t>%，同比</w:t>
      </w:r>
      <w:r>
        <w:rPr>
          <w:rFonts w:hint="eastAsia" w:ascii="宋体" w:hAnsi="宋体" w:cs="宋体"/>
          <w:b w:val="0"/>
          <w:bCs/>
          <w:color w:val="auto"/>
          <w:sz w:val="24"/>
          <w:szCs w:val="24"/>
          <w:highlight w:val="none"/>
          <w:lang w:val="en-US" w:eastAsia="zh-CN"/>
        </w:rPr>
        <w:t>增加</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,252.37%</w:t>
      </w:r>
      <w:r>
        <w:rPr>
          <w:rFonts w:hint="eastAsia" w:ascii="宋体" w:hAnsi="宋体" w:eastAsia="宋体" w:cs="宋体"/>
          <w:b w:val="0"/>
          <w:bCs/>
          <w:color w:val="auto"/>
          <w:sz w:val="24"/>
          <w:szCs w:val="24"/>
          <w:highlight w:val="none"/>
          <w:lang w:val="en-US" w:eastAsia="zh-CN"/>
        </w:rPr>
        <w:t>。变动的主要原因：2023年计提减值、确认公允价值变动损益等非经常性损益导致</w:t>
      </w:r>
      <w:r>
        <w:rPr>
          <w:rFonts w:hint="eastAsia" w:ascii="宋体" w:hAnsi="宋体" w:cs="宋体"/>
          <w:b w:val="0"/>
          <w:bCs/>
          <w:color w:val="auto"/>
          <w:sz w:val="24"/>
          <w:szCs w:val="24"/>
          <w:highlight w:val="none"/>
          <w:lang w:val="en-US" w:eastAsia="zh-CN"/>
        </w:rPr>
        <w:t>2023年</w:t>
      </w:r>
      <w:r>
        <w:rPr>
          <w:rFonts w:hint="eastAsia" w:ascii="宋体" w:hAnsi="宋体" w:eastAsia="宋体" w:cs="宋体"/>
          <w:b w:val="0"/>
          <w:bCs/>
          <w:color w:val="auto"/>
          <w:sz w:val="24"/>
          <w:szCs w:val="24"/>
          <w:highlight w:val="none"/>
          <w:lang w:val="en-US" w:eastAsia="zh-CN"/>
        </w:rPr>
        <w:t>营业利润</w:t>
      </w:r>
      <w:r>
        <w:rPr>
          <w:rFonts w:hint="eastAsia" w:ascii="宋体" w:hAnsi="宋体" w:cs="宋体"/>
          <w:b w:val="0"/>
          <w:bCs/>
          <w:color w:val="auto"/>
          <w:sz w:val="24"/>
          <w:szCs w:val="24"/>
          <w:highlight w:val="none"/>
          <w:lang w:val="en-US" w:eastAsia="zh-CN"/>
        </w:rPr>
        <w:t>较低。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股本情况</w:t>
      </w:r>
    </w:p>
    <w:p>
      <w:pPr>
        <w:spacing w:line="360" w:lineRule="auto"/>
        <w:jc w:val="right"/>
        <w:rPr>
          <w:rFonts w:hint="eastAsia" w:ascii="宋体" w:hAnsi="宋体" w:cs="宋体"/>
          <w:color w:val="auto"/>
          <w:sz w:val="24"/>
          <w:szCs w:val="24"/>
          <w:highlight w:val="none"/>
        </w:rPr>
      </w:pPr>
      <w:r>
        <w:rPr>
          <w:rFonts w:hint="eastAsia" w:ascii="宋体" w:hAnsi="宋体" w:cs="宋体"/>
          <w:color w:val="auto"/>
          <w:highlight w:val="none"/>
        </w:rPr>
        <w:t>单位：股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989"/>
        <w:gridCol w:w="196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9" w:type="dxa"/>
            <w:noWrap w:val="0"/>
            <w:vAlign w:val="center"/>
          </w:tcPr>
          <w:p>
            <w:pPr>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项目</w:t>
            </w:r>
          </w:p>
        </w:tc>
        <w:tc>
          <w:tcPr>
            <w:tcW w:w="1989" w:type="dxa"/>
            <w:noWrap w:val="0"/>
            <w:vAlign w:val="center"/>
          </w:tcPr>
          <w:p>
            <w:pPr>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本期期末</w:t>
            </w:r>
          </w:p>
        </w:tc>
        <w:tc>
          <w:tcPr>
            <w:tcW w:w="1964" w:type="dxa"/>
            <w:noWrap w:val="0"/>
            <w:vAlign w:val="center"/>
          </w:tcPr>
          <w:p>
            <w:pPr>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本期期初</w:t>
            </w:r>
          </w:p>
        </w:tc>
        <w:tc>
          <w:tcPr>
            <w:tcW w:w="1365" w:type="dxa"/>
            <w:noWrap w:val="0"/>
            <w:vAlign w:val="center"/>
          </w:tcPr>
          <w:p>
            <w:pPr>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增减</w:t>
            </w:r>
            <w:r>
              <w:rPr>
                <w:rFonts w:hint="eastAsia" w:ascii="宋体" w:hAnsi="宋体" w:cs="宋体"/>
                <w:color w:val="auto"/>
                <w:kern w:val="0"/>
                <w:sz w:val="20"/>
                <w:szCs w:val="20"/>
                <w:highlight w:val="none"/>
                <w:lang w:eastAsia="zh-CN"/>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09" w:type="dxa"/>
            <w:noWrap w:val="0"/>
            <w:vAlign w:val="center"/>
          </w:tcPr>
          <w:p>
            <w:pPr>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普通股总股本</w:t>
            </w:r>
          </w:p>
        </w:tc>
        <w:tc>
          <w:tcPr>
            <w:tcW w:w="1989" w:type="dxa"/>
            <w:noWrap w:val="0"/>
            <w:vAlign w:val="center"/>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4,692,315,400.00</w:t>
            </w:r>
          </w:p>
        </w:tc>
        <w:tc>
          <w:tcPr>
            <w:tcW w:w="1964" w:type="dxa"/>
            <w:noWrap w:val="0"/>
            <w:vAlign w:val="center"/>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4,692,315,400.00</w:t>
            </w:r>
          </w:p>
        </w:tc>
        <w:tc>
          <w:tcPr>
            <w:tcW w:w="1365" w:type="dxa"/>
            <w:noWrap w:val="0"/>
            <w:vAlign w:val="center"/>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09" w:type="dxa"/>
            <w:noWrap w:val="0"/>
            <w:vAlign w:val="center"/>
          </w:tcPr>
          <w:p>
            <w:pPr>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计入权益的优先股数量</w:t>
            </w:r>
          </w:p>
        </w:tc>
        <w:tc>
          <w:tcPr>
            <w:tcW w:w="1989"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964"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365"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09" w:type="dxa"/>
            <w:noWrap w:val="0"/>
            <w:vAlign w:val="center"/>
          </w:tcPr>
          <w:p>
            <w:pPr>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计入负债的优先股数量</w:t>
            </w:r>
          </w:p>
        </w:tc>
        <w:tc>
          <w:tcPr>
            <w:tcW w:w="1989"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964"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365" w:type="dxa"/>
            <w:noWrap w:val="0"/>
            <w:vAlign w:val="top"/>
          </w:tcPr>
          <w:p>
            <w:pPr>
              <w:spacing w:line="360" w:lineRule="auto"/>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r>
    </w:tbl>
    <w:p>
      <w:pPr>
        <w:pStyle w:val="15"/>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color w:val="auto"/>
          <w:highlight w:val="none"/>
          <w:lang w:val="en-US" w:eastAsia="zh-CN"/>
        </w:rPr>
      </w:pPr>
    </w:p>
    <w:p>
      <w:pPr>
        <w:numPr>
          <w:ilvl w:val="0"/>
          <w:numId w:val="5"/>
        </w:numPr>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境内外会计准则下会计数据差异</w:t>
      </w:r>
    </w:p>
    <w:p>
      <w:pPr>
        <w:spacing w:line="360" w:lineRule="auto"/>
        <w:ind w:firstLine="480" w:firstLineChars="200"/>
        <w:rPr>
          <w:rFonts w:hint="eastAsia"/>
          <w:color w:val="auto"/>
          <w:highlight w:val="none"/>
          <w:lang w:val="en-US" w:eastAsia="zh-CN"/>
        </w:rPr>
      </w:pPr>
      <w:r>
        <w:rPr>
          <w:rFonts w:hint="eastAsia" w:ascii="宋体" w:hAnsi="宋体" w:cs="宋体"/>
          <w:color w:val="auto"/>
          <w:sz w:val="24"/>
          <w:szCs w:val="24"/>
          <w:highlight w:val="none"/>
        </w:rPr>
        <w:t>不适用。</w:t>
      </w:r>
    </w:p>
    <w:p>
      <w:pPr>
        <w:numPr>
          <w:ilvl w:val="0"/>
          <w:numId w:val="5"/>
        </w:numPr>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非经常性损益项目及金额</w:t>
      </w:r>
    </w:p>
    <w:tbl>
      <w:tblPr>
        <w:tblStyle w:val="22"/>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4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2310"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非流动性资产处置损益，包括已计提资产减值准备的冲销部分</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130,879,954.49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计入当期损益的政府补助，但与公司正常经营业务密切相关、符合国家政策规定、按照确定的标准享有、对公司损益产生持续影响的政府补助除外</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325,473.00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对外委托贷款取得的损益</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82,684,447.91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采用公允价值模式进行后续计量的投资性房地产公允价值变动产生的损益</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-24,724,161.36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除上述各项之外的其他营业外收入和支出</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-195,990,619.24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其他符合非经常性损益定义的损益项目</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1,650,642,312.20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非经常性损益合计</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1,643,817,407.00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减：所得税影响额</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410,954,351.80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非经常性损益净额</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1,232,863,055.20</w:t>
            </w:r>
          </w:p>
        </w:tc>
      </w:tr>
    </w:tbl>
    <w:p>
      <w:pPr>
        <w:pStyle w:val="15"/>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200"/>
        <w:jc w:val="left"/>
        <w:textAlignment w:val="auto"/>
        <w:rPr>
          <w:rFonts w:hint="eastAsia"/>
          <w:color w:val="auto"/>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补充财务指标</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无。</w:t>
      </w:r>
    </w:p>
    <w:p>
      <w:pPr>
        <w:keepNext w:val="0"/>
        <w:keepLines w:val="0"/>
        <w:pageBreakBefore w:val="0"/>
        <w:numPr>
          <w:ilvl w:val="0"/>
          <w:numId w:val="5"/>
        </w:numPr>
        <w:kinsoku/>
        <w:wordWrap/>
        <w:overflowPunct/>
        <w:topLinePunct w:val="0"/>
        <w:autoSpaceDE/>
        <w:autoSpaceDN/>
        <w:bidi w:val="0"/>
        <w:adjustRightInd/>
        <w:spacing w:line="400" w:lineRule="exact"/>
        <w:ind w:left="0" w:leftChars="0"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会计政策变更、会计估计变更或重大差错更正等情况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会计政策变更及影响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rPr>
        <w:t>无。</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.会计估计变更或重大差错更正的</w:t>
      </w:r>
      <w:r>
        <w:rPr>
          <w:rFonts w:hint="eastAsia" w:ascii="宋体" w:hAnsi="宋体" w:cs="宋体"/>
          <w:b w:val="0"/>
          <w:bCs w:val="0"/>
          <w:color w:val="auto"/>
          <w:sz w:val="24"/>
          <w:szCs w:val="24"/>
          <w:highlight w:val="none"/>
          <w:lang w:eastAsia="zh-CN"/>
        </w:rPr>
        <w:t>情况</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color w:val="auto"/>
          <w:highlight w:val="none"/>
        </w:rPr>
      </w:pPr>
      <w:r>
        <w:rPr>
          <w:rFonts w:hint="eastAsia" w:ascii="宋体" w:hAnsi="宋体" w:cs="宋体"/>
          <w:color w:val="auto"/>
          <w:sz w:val="24"/>
          <w:szCs w:val="24"/>
          <w:highlight w:val="none"/>
        </w:rPr>
        <w:t>无。</w:t>
      </w:r>
    </w:p>
    <w:p>
      <w:pPr>
        <w:keepNext w:val="0"/>
        <w:keepLines w:val="0"/>
        <w:pageBreakBefore w:val="0"/>
        <w:widowControl w:val="0"/>
        <w:numPr>
          <w:ilvl w:val="0"/>
          <w:numId w:val="6"/>
        </w:numPr>
        <w:kinsoku/>
        <w:wordWrap/>
        <w:overflowPunct/>
        <w:topLinePunct w:val="0"/>
        <w:autoSpaceDE/>
        <w:autoSpaceDN/>
        <w:bidi w:val="0"/>
        <w:spacing w:line="400" w:lineRule="exact"/>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合并报表范围的变化情况</w:t>
      </w:r>
    </w:p>
    <w:p>
      <w:pPr>
        <w:pStyle w:val="37"/>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1.本期不再纳入合并范围的</w:t>
      </w:r>
      <w:r>
        <w:rPr>
          <w:rFonts w:hint="eastAsia" w:ascii="宋体" w:hAnsi="宋体" w:cs="宋体"/>
          <w:b w:val="0"/>
          <w:bCs/>
          <w:color w:val="auto"/>
          <w:sz w:val="24"/>
          <w:szCs w:val="24"/>
          <w:highlight w:val="none"/>
          <w:lang w:eastAsia="zh-CN"/>
        </w:rPr>
        <w:t>重要</w:t>
      </w:r>
      <w:r>
        <w:rPr>
          <w:rFonts w:hint="eastAsia" w:ascii="宋体" w:hAnsi="宋体" w:cs="宋体"/>
          <w:b w:val="0"/>
          <w:bCs/>
          <w:color w:val="auto"/>
          <w:sz w:val="24"/>
          <w:szCs w:val="24"/>
          <w:highlight w:val="none"/>
        </w:rPr>
        <w:t>子公司情况</w:t>
      </w:r>
    </w:p>
    <w:tbl>
      <w:tblPr>
        <w:tblStyle w:val="3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627"/>
        <w:gridCol w:w="1729"/>
        <w:gridCol w:w="1178"/>
        <w:gridCol w:w="1178"/>
        <w:gridCol w:w="1321"/>
        <w:gridCol w:w="1321"/>
        <w:gridCol w:w="11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8"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序号</w:t>
            </w:r>
          </w:p>
        </w:tc>
        <w:tc>
          <w:tcPr>
            <w:tcW w:w="1013"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企业名称</w:t>
            </w:r>
          </w:p>
        </w:tc>
        <w:tc>
          <w:tcPr>
            <w:tcW w:w="690"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注册地</w:t>
            </w:r>
          </w:p>
        </w:tc>
        <w:tc>
          <w:tcPr>
            <w:tcW w:w="690"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业务性质</w:t>
            </w:r>
          </w:p>
        </w:tc>
        <w:tc>
          <w:tcPr>
            <w:tcW w:w="774"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持股比例（%）</w:t>
            </w:r>
          </w:p>
        </w:tc>
        <w:tc>
          <w:tcPr>
            <w:tcW w:w="774"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表决权比例（%）</w:t>
            </w:r>
          </w:p>
        </w:tc>
        <w:tc>
          <w:tcPr>
            <w:tcW w:w="687"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本期不再成为子公司的原因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w:t>
            </w:r>
          </w:p>
        </w:tc>
        <w:tc>
          <w:tcPr>
            <w:tcW w:w="1013"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贵州能发电力燃料开发有限公司</w:t>
            </w:r>
          </w:p>
        </w:tc>
        <w:tc>
          <w:tcPr>
            <w:tcW w:w="690"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贵州贵阳</w:t>
            </w:r>
          </w:p>
        </w:tc>
        <w:tc>
          <w:tcPr>
            <w:tcW w:w="690"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煤炭</w:t>
            </w:r>
          </w:p>
        </w:tc>
        <w:tc>
          <w:tcPr>
            <w:tcW w:w="774"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774"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687"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丧失控制权</w:t>
            </w: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b w:val="0"/>
          <w:bCs/>
          <w:color w:val="auto"/>
          <w:sz w:val="24"/>
          <w:szCs w:val="2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highlight w:val="none"/>
        </w:rPr>
      </w:pPr>
      <w:r>
        <w:rPr>
          <w:rFonts w:hint="eastAsia" w:ascii="宋体" w:hAnsi="宋体" w:cs="宋体"/>
          <w:b w:val="0"/>
          <w:bCs/>
          <w:color w:val="auto"/>
          <w:sz w:val="24"/>
          <w:szCs w:val="24"/>
          <w:highlight w:val="none"/>
        </w:rPr>
        <w:t>2.本期新纳入合并范围的</w:t>
      </w:r>
      <w:r>
        <w:rPr>
          <w:rFonts w:hint="eastAsia" w:ascii="宋体" w:hAnsi="宋体" w:cs="宋体"/>
          <w:b w:val="0"/>
          <w:bCs/>
          <w:color w:val="auto"/>
          <w:sz w:val="24"/>
          <w:szCs w:val="24"/>
          <w:highlight w:val="none"/>
          <w:lang w:eastAsia="zh-CN"/>
        </w:rPr>
        <w:t>重要</w:t>
      </w:r>
      <w:r>
        <w:rPr>
          <w:rFonts w:hint="eastAsia" w:ascii="宋体" w:hAnsi="宋体" w:cs="宋体"/>
          <w:b w:val="0"/>
          <w:bCs/>
          <w:color w:val="auto"/>
          <w:sz w:val="24"/>
          <w:szCs w:val="24"/>
          <w:highlight w:val="none"/>
        </w:rPr>
        <w:t>主体</w:t>
      </w:r>
    </w:p>
    <w:p>
      <w:pPr>
        <w:pStyle w:val="38"/>
        <w:spacing w:line="360" w:lineRule="auto"/>
        <w:ind w:left="0" w:leftChars="0" w:firstLine="7140" w:firstLineChars="3400"/>
        <w:jc w:val="right"/>
        <w:rPr>
          <w:rFonts w:hint="eastAsia" w:eastAsia="宋体"/>
          <w:color w:val="auto"/>
          <w:highlight w:val="non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单位：</w:t>
      </w:r>
      <w:r>
        <w:rPr>
          <w:rFonts w:hint="eastAsia" w:ascii="宋体" w:hAnsi="宋体" w:cs="宋体"/>
          <w:color w:val="auto"/>
          <w:highlight w:val="none"/>
          <w:lang w:val="en-US" w:eastAsia="zh-CN"/>
        </w:rPr>
        <w:t>元</w:t>
      </w:r>
    </w:p>
    <w:tbl>
      <w:tblPr>
        <w:tblStyle w:val="2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600"/>
        <w:gridCol w:w="1625"/>
        <w:gridCol w:w="215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502" w:type="dxa"/>
            <w:noWrap w:val="0"/>
            <w:vAlign w:val="center"/>
          </w:tcPr>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序号</w:t>
            </w:r>
          </w:p>
        </w:tc>
        <w:tc>
          <w:tcPr>
            <w:tcW w:w="2600" w:type="dxa"/>
            <w:noWrap w:val="0"/>
            <w:vAlign w:val="center"/>
          </w:tcPr>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名称</w:t>
            </w:r>
          </w:p>
        </w:tc>
        <w:tc>
          <w:tcPr>
            <w:tcW w:w="1625" w:type="dxa"/>
            <w:noWrap w:val="0"/>
            <w:vAlign w:val="center"/>
          </w:tcPr>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形成控制权</w:t>
            </w:r>
          </w:p>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方式</w:t>
            </w:r>
          </w:p>
        </w:tc>
        <w:tc>
          <w:tcPr>
            <w:tcW w:w="2152" w:type="dxa"/>
            <w:noWrap w:val="0"/>
            <w:vAlign w:val="center"/>
          </w:tcPr>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期末净资产</w:t>
            </w:r>
          </w:p>
        </w:tc>
        <w:tc>
          <w:tcPr>
            <w:tcW w:w="2085" w:type="dxa"/>
            <w:noWrap w:val="0"/>
            <w:vAlign w:val="center"/>
          </w:tcPr>
          <w:p>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本期净利润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2" w:type="dxa"/>
            <w:noWrap w:val="0"/>
            <w:vAlign w:val="center"/>
          </w:tcPr>
          <w:p>
            <w:pPr>
              <w:widowControl/>
              <w:snapToGrid w:val="0"/>
              <w:spacing w:line="400" w:lineRule="atLeast"/>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p>
        </w:tc>
        <w:tc>
          <w:tcPr>
            <w:tcW w:w="2600" w:type="dxa"/>
            <w:noWrap w:val="0"/>
            <w:vAlign w:val="center"/>
          </w:tcPr>
          <w:p>
            <w:pPr>
              <w:keepNext w:val="0"/>
              <w:keepLines w:val="0"/>
              <w:widowControl/>
              <w:suppressLineNumbers w:val="0"/>
              <w:jc w:val="left"/>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电投清能（贵阳）水电合伙企业（有限合伙）</w:t>
            </w:r>
          </w:p>
        </w:tc>
        <w:tc>
          <w:tcPr>
            <w:tcW w:w="1625" w:type="dxa"/>
            <w:noWrap w:val="0"/>
            <w:vAlign w:val="center"/>
          </w:tcPr>
          <w:p>
            <w:pPr>
              <w:keepNext w:val="0"/>
              <w:keepLines w:val="0"/>
              <w:widowControl/>
              <w:suppressLineNumbers w:val="0"/>
              <w:jc w:val="center"/>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投资新设</w:t>
            </w:r>
          </w:p>
        </w:tc>
        <w:tc>
          <w:tcPr>
            <w:tcW w:w="2152" w:type="dxa"/>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1,541,542,677.42</w:t>
            </w:r>
          </w:p>
        </w:tc>
        <w:tc>
          <w:tcPr>
            <w:tcW w:w="2085" w:type="dxa"/>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4,840,511.80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2" w:type="dxa"/>
            <w:noWrap w:val="0"/>
            <w:vAlign w:val="center"/>
          </w:tcPr>
          <w:p>
            <w:pPr>
              <w:widowControl/>
              <w:snapToGrid w:val="0"/>
              <w:spacing w:line="400" w:lineRule="atLeast"/>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p>
        </w:tc>
        <w:tc>
          <w:tcPr>
            <w:tcW w:w="2600" w:type="dxa"/>
            <w:noWrap w:val="0"/>
            <w:vAlign w:val="center"/>
          </w:tcPr>
          <w:p>
            <w:pPr>
              <w:keepNext w:val="0"/>
              <w:keepLines w:val="0"/>
              <w:widowControl/>
              <w:suppressLineNumbers w:val="0"/>
              <w:jc w:val="left"/>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威能融合（贵阳）新能源合伙企业（有限合伙）</w:t>
            </w:r>
          </w:p>
        </w:tc>
        <w:tc>
          <w:tcPr>
            <w:tcW w:w="1625" w:type="dxa"/>
            <w:noWrap w:val="0"/>
            <w:vAlign w:val="center"/>
          </w:tcPr>
          <w:p>
            <w:pPr>
              <w:keepNext w:val="0"/>
              <w:keepLines w:val="0"/>
              <w:widowControl/>
              <w:suppressLineNumbers w:val="0"/>
              <w:jc w:val="center"/>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投资新设</w:t>
            </w:r>
          </w:p>
        </w:tc>
        <w:tc>
          <w:tcPr>
            <w:tcW w:w="2152" w:type="dxa"/>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2,472,301,652.07</w:t>
            </w:r>
          </w:p>
        </w:tc>
        <w:tc>
          <w:tcPr>
            <w:tcW w:w="2085" w:type="dxa"/>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27,115,216.73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2" w:type="dxa"/>
            <w:noWrap w:val="0"/>
            <w:vAlign w:val="center"/>
          </w:tcPr>
          <w:p>
            <w:pPr>
              <w:widowControl/>
              <w:snapToGrid w:val="0"/>
              <w:spacing w:line="400" w:lineRule="atLeast"/>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w:t>
            </w:r>
          </w:p>
        </w:tc>
        <w:tc>
          <w:tcPr>
            <w:tcW w:w="2600" w:type="dxa"/>
            <w:noWrap w:val="0"/>
            <w:vAlign w:val="center"/>
          </w:tcPr>
          <w:p>
            <w:pPr>
              <w:keepNext w:val="0"/>
              <w:keepLines w:val="0"/>
              <w:widowControl/>
              <w:suppressLineNumbers w:val="0"/>
              <w:jc w:val="left"/>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电投亿能（贵阳）电力合伙企业（有限合伙）</w:t>
            </w:r>
          </w:p>
        </w:tc>
        <w:tc>
          <w:tcPr>
            <w:tcW w:w="1625" w:type="dxa"/>
            <w:noWrap w:val="0"/>
            <w:vAlign w:val="center"/>
          </w:tcPr>
          <w:p>
            <w:pPr>
              <w:keepNext w:val="0"/>
              <w:keepLines w:val="0"/>
              <w:widowControl/>
              <w:suppressLineNumbers w:val="0"/>
              <w:jc w:val="center"/>
              <w:textAlignment w:val="center"/>
              <w:rPr>
                <w:rFonts w:ascii="Times New Roman" w:hAnsi="Times New Roman" w:eastAsia="宋体" w:cs="Times New Roman"/>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投资新设</w:t>
            </w:r>
          </w:p>
        </w:tc>
        <w:tc>
          <w:tcPr>
            <w:tcW w:w="2152" w:type="dxa"/>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4,988,869,999.99</w:t>
            </w:r>
          </w:p>
        </w:tc>
        <w:tc>
          <w:tcPr>
            <w:tcW w:w="2085" w:type="dxa"/>
            <w:noWrap w:val="0"/>
            <w:vAlign w:val="center"/>
          </w:tcPr>
          <w:p>
            <w:pPr>
              <w:keepNext w:val="0"/>
              <w:keepLines w:val="0"/>
              <w:widowControl/>
              <w:suppressLineNumbers w:val="0"/>
              <w:jc w:val="right"/>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2,774,778.25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rPr>
      </w:pPr>
    </w:p>
    <w:p>
      <w:pPr>
        <w:keepNext w:val="0"/>
        <w:keepLines w:val="0"/>
        <w:pageBreakBefore w:val="0"/>
        <w:widowControl w:val="0"/>
        <w:kinsoku/>
        <w:wordWrap/>
        <w:overflowPunct/>
        <w:topLinePunct w:val="0"/>
        <w:bidi w:val="0"/>
        <w:snapToGrid/>
        <w:spacing w:line="4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二、主要经营情况回顾</w:t>
      </w:r>
    </w:p>
    <w:p>
      <w:pPr>
        <w:keepNext w:val="0"/>
        <w:keepLines w:val="0"/>
        <w:pageBreakBefore w:val="0"/>
        <w:widowControl w:val="0"/>
        <w:kinsoku/>
        <w:wordWrap/>
        <w:overflowPunct/>
        <w:topLinePunct w:val="0"/>
        <w:bidi w:val="0"/>
        <w:snapToGrid/>
        <w:spacing w:line="4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（一）业务概要</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1.公司主营业务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公司主要从事火电、水电、新能源发电等电力业务的</w:t>
      </w:r>
      <w:r>
        <w:rPr>
          <w:rFonts w:hint="eastAsia" w:ascii="宋体" w:hAnsi="宋体" w:cs="宋体"/>
          <w:color w:val="auto"/>
          <w:kern w:val="0"/>
          <w:sz w:val="24"/>
          <w:szCs w:val="24"/>
          <w:highlight w:val="none"/>
          <w:lang w:val="en-US" w:eastAsia="zh-CN"/>
        </w:rPr>
        <w:t>投资、</w:t>
      </w:r>
      <w:r>
        <w:rPr>
          <w:rFonts w:hint="eastAsia" w:ascii="宋体" w:hAnsi="宋体" w:cs="宋体"/>
          <w:color w:val="auto"/>
          <w:kern w:val="0"/>
          <w:sz w:val="24"/>
          <w:szCs w:val="24"/>
          <w:highlight w:val="none"/>
        </w:rPr>
        <w:t>运营及销售，同时涉及煤炭开采及销售、综合智慧能源、绿色交通服务、电站服务业、物业管理等业务。</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2.公司经营范围</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公司的主要经营范围为：法律、法规、国务院决定规定禁止的不得经营；法律、法规、国务院决定规定应当许可（审批）的，经审批机关批准后凭许可（审批）文件经营；法律、法规、国务院决定规定无需许可（审批）的，市场主体自主选择经营。（从事电力生产（限分支机构）、购售（限分支机构）、检修；电力建设、与其他产业的横向联合以及第三产业；电力物资的批零兼营；电力投资，投资业务（除金融和证券投资以外）；综合智慧能源供应与服务；新能源、分布式能源（分散式风电、分布式光伏、分布式燃机）、增量配网、能源输配管网、充换电站、节能降耗项目的投资建设和运维；电、热、冷、汽、水、煤炭、铁合金产品、矿石、沙石、固废的采购与销售；生物质、地热、氢能、储能技术的开发和推广利用；能源管控平台、供应链平台等能源数字化平台的投资、建设、运营与服务；新能源车辆的销售、租赁、维护保养、保险代理、售后服务、以及货物运输。</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3.公司主要产品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报告期内，公司主要产品为电力、煤炭、综合能源服务。</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4.公司经营模式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公司主要通过投资、建设并运营火电厂、水电站、新能源场站等业务</w:t>
      </w:r>
      <w:r>
        <w:rPr>
          <w:rFonts w:hint="eastAsia" w:ascii="宋体" w:hAnsi="宋体" w:cs="宋体"/>
          <w:color w:val="auto"/>
          <w:kern w:val="0"/>
          <w:sz w:val="24"/>
          <w:szCs w:val="24"/>
          <w:highlight w:val="none"/>
          <w:lang w:val="zh-CN"/>
        </w:rPr>
        <w:t>，通过与市场化主体签订售电合同、服务合同，获取持续性的收入、利润和现金流。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报告期内，公司商业模式较上年度未发生变化。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财务分析</w:t>
      </w:r>
    </w:p>
    <w:p>
      <w:pPr>
        <w:pStyle w:val="15"/>
        <w:keepNext w:val="0"/>
        <w:keepLines w:val="0"/>
        <w:pageBreakBefore w:val="0"/>
        <w:numPr>
          <w:ilvl w:val="0"/>
          <w:numId w:val="7"/>
        </w:numPr>
        <w:kinsoku/>
        <w:wordWrap/>
        <w:overflowPunct/>
        <w:topLinePunct w:val="0"/>
        <w:bidi w:val="0"/>
        <w:spacing w:line="400" w:lineRule="exact"/>
        <w:ind w:left="480"/>
        <w:jc w:val="left"/>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资产负债结构分析</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3"/>
        <w:gridCol w:w="1815"/>
        <w:gridCol w:w="1440"/>
        <w:gridCol w:w="1815"/>
        <w:gridCol w:w="924"/>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88"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863"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88"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553"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69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1951"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本期期末</w:t>
            </w:r>
          </w:p>
        </w:tc>
        <w:tc>
          <w:tcPr>
            <w:tcW w:w="164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上年期末</w:t>
            </w:r>
          </w:p>
        </w:tc>
        <w:tc>
          <w:tcPr>
            <w:tcW w:w="69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70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8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占总资产的比重% </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占总资产的比重%</w:t>
            </w:r>
          </w:p>
        </w:tc>
        <w:tc>
          <w:tcPr>
            <w:tcW w:w="69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货币资金</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1,470,659,019.30</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1,068,115,348.52</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1.51%</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应收票据</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109,893,330.14</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0.15%</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21,145,366.38</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0.03%</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应收账款</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5,726,917,640.19</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7.74%</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4,851,082,613.23</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6.86%</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存货</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1,247,630,630.33</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1,513,748,065.72</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2.14%</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投资性房地产</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974,998,444.58</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999,945,225.79</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1.41%</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长期股权投资</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1,741,604,559.28</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1,340,675,272.29</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1.90%</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固定资产</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43,967,409,151.61</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59.42%</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41,582,044,069.31</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58.81%</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在建工程</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4,572,870,572.56</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6.18%</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5,398,525,880.53</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7.64%</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无形资产</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1,047,272,775.79</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1,403,309,875.18</w:t>
            </w:r>
          </w:p>
        </w:tc>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商誉</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0</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0</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短期借款</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8,301,400,836.00</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11,106,638,741.87</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长期借款</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28,488,713,773.26</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26,571,213,197.28</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资产合计</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73,992,875,461.15</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100%</w:t>
            </w:r>
          </w:p>
        </w:tc>
        <w:tc>
          <w:tcPr>
            <w:tcW w:w="10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70,704,234,711.23</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100%</w:t>
            </w:r>
            <w:r>
              <w:rPr>
                <w:rFonts w:hint="eastAsia" w:ascii="宋体" w:hAnsi="宋体" w:eastAsia="宋体" w:cs="宋体"/>
                <w:i w:val="0"/>
                <w:color w:val="auto"/>
                <w:kern w:val="0"/>
                <w:sz w:val="20"/>
                <w:szCs w:val="20"/>
                <w:highlight w:val="none"/>
                <w:u w:val="none"/>
                <w:lang w:val="en-US" w:eastAsia="zh-CN" w:bidi="ar"/>
              </w:rPr>
              <w:t xml:space="preserve"> </w:t>
            </w:r>
          </w:p>
        </w:tc>
        <w:tc>
          <w:tcPr>
            <w:tcW w:w="11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4.65%</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项目重大变动原因：</w:t>
      </w:r>
    </w:p>
    <w:p>
      <w:pPr>
        <w:keepNext w:val="0"/>
        <w:keepLines w:val="0"/>
        <w:pageBreakBefore w:val="0"/>
        <w:numPr>
          <w:ilvl w:val="0"/>
          <w:numId w:val="0"/>
        </w:numPr>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cs="宋体"/>
          <w:b w:val="0"/>
          <w:bCs w:val="0"/>
          <w:color w:val="auto"/>
          <w:sz w:val="24"/>
          <w:szCs w:val="24"/>
          <w:highlight w:val="none"/>
          <w:lang w:val="en-US" w:eastAsia="zh-CN"/>
        </w:rPr>
        <w:t xml:space="preserve">货币资金  </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w:t>
      </w:r>
      <w:r>
        <w:rPr>
          <w:rFonts w:hint="eastAsia" w:ascii="宋体" w:hAnsi="宋体" w:cs="宋体"/>
          <w:b w:val="0"/>
          <w:bCs w:val="0"/>
          <w:color w:val="auto"/>
          <w:sz w:val="24"/>
          <w:szCs w:val="24"/>
          <w:highlight w:val="none"/>
          <w:lang w:val="en-US" w:eastAsia="zh-CN"/>
        </w:rPr>
        <w:t>货币资金</w:t>
      </w:r>
      <w:r>
        <w:rPr>
          <w:rFonts w:hint="eastAsia" w:ascii="宋体" w:hAnsi="宋体" w:eastAsia="宋体" w:cs="宋体"/>
          <w:i w:val="0"/>
          <w:iCs w:val="0"/>
          <w:color w:val="auto"/>
          <w:kern w:val="2"/>
          <w:sz w:val="24"/>
          <w:szCs w:val="24"/>
          <w:highlight w:val="none"/>
          <w:u w:val="none"/>
          <w:lang w:val="en-US" w:eastAsia="zh-CN" w:bidi="ar"/>
        </w:rPr>
        <w:t>1,470,659,019.30</w:t>
      </w:r>
      <w:r>
        <w:rPr>
          <w:rFonts w:hint="eastAsia" w:ascii="宋体" w:hAnsi="宋体" w:eastAsia="宋体" w:cs="宋体"/>
          <w:color w:val="auto"/>
          <w:kern w:val="2"/>
          <w:sz w:val="24"/>
          <w:szCs w:val="24"/>
          <w:highlight w:val="none"/>
          <w:lang w:eastAsia="zh-CN"/>
        </w:rPr>
        <w:t>元</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eastAsia="zh-CN"/>
        </w:rPr>
        <w:t>同比</w:t>
      </w:r>
      <w:r>
        <w:rPr>
          <w:rFonts w:hint="eastAsia" w:ascii="宋体" w:hAnsi="宋体" w:cs="宋体"/>
          <w:color w:val="auto"/>
          <w:kern w:val="0"/>
          <w:sz w:val="24"/>
          <w:szCs w:val="24"/>
          <w:highlight w:val="none"/>
          <w:lang w:val="en-US" w:eastAsia="zh-CN"/>
        </w:rPr>
        <w:t>增加</w:t>
      </w:r>
      <w:r>
        <w:rPr>
          <w:rFonts w:hint="eastAsia" w:ascii="宋体" w:hAnsi="宋体" w:eastAsia="宋体" w:cs="宋体"/>
          <w:color w:val="auto"/>
          <w:kern w:val="0"/>
          <w:sz w:val="24"/>
          <w:szCs w:val="24"/>
          <w:highlight w:val="none"/>
          <w:lang w:eastAsia="zh-CN"/>
        </w:rPr>
        <w:t>402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543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670.78</w:t>
      </w:r>
      <w:r>
        <w:rPr>
          <w:rFonts w:hint="eastAsia" w:ascii="宋体" w:hAnsi="宋体" w:eastAsia="宋体" w:cs="宋体"/>
          <w:color w:val="auto"/>
          <w:kern w:val="0"/>
          <w:sz w:val="24"/>
          <w:szCs w:val="24"/>
          <w:highlight w:val="none"/>
          <w:lang w:val="en-US" w:eastAsia="zh-CN"/>
        </w:rPr>
        <w:t>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val="en-US" w:eastAsia="zh-CN"/>
        </w:rPr>
        <w:t>幅</w:t>
      </w:r>
      <w:r>
        <w:rPr>
          <w:rFonts w:hint="eastAsia" w:ascii="宋体" w:hAnsi="宋体" w:cs="宋体"/>
          <w:color w:val="auto"/>
          <w:kern w:val="0"/>
          <w:sz w:val="24"/>
          <w:szCs w:val="24"/>
          <w:highlight w:val="none"/>
          <w:lang w:val="en-US" w:eastAsia="zh-CN"/>
        </w:rPr>
        <w:t>37.69</w:t>
      </w:r>
      <w:r>
        <w:rPr>
          <w:rFonts w:hint="eastAsia" w:ascii="宋体" w:hAnsi="宋体" w:eastAsia="宋体" w:cs="宋体"/>
          <w:color w:val="auto"/>
          <w:kern w:val="0"/>
          <w:sz w:val="24"/>
          <w:szCs w:val="24"/>
          <w:highlight w:val="none"/>
          <w:lang w:val="en-US" w:eastAsia="zh-CN"/>
        </w:rPr>
        <w:t>%。变动的主要原因：</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末收到百瑞信托永续债放款，货币资金增加</w:t>
      </w:r>
      <w:r>
        <w:rPr>
          <w:rFonts w:hint="eastAsia" w:ascii="宋体" w:hAnsi="宋体" w:eastAsia="宋体" w:cs="宋体"/>
          <w:color w:val="auto"/>
          <w:kern w:val="0"/>
          <w:sz w:val="24"/>
          <w:szCs w:val="24"/>
          <w:highlight w:val="none"/>
          <w:lang w:val="en-US" w:eastAsia="zh-CN"/>
        </w:rPr>
        <w:t>。</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应收票据</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年年末应收票据</w:t>
      </w:r>
      <w:r>
        <w:rPr>
          <w:rFonts w:hint="eastAsia" w:ascii="宋体" w:hAnsi="宋体" w:eastAsia="宋体" w:cs="宋体"/>
          <w:i w:val="0"/>
          <w:iCs w:val="0"/>
          <w:color w:val="auto"/>
          <w:kern w:val="2"/>
          <w:sz w:val="24"/>
          <w:szCs w:val="24"/>
          <w:highlight w:val="none"/>
          <w:u w:val="none"/>
          <w:lang w:val="en-US" w:eastAsia="zh-CN" w:bidi="ar"/>
        </w:rPr>
        <w:t>109,893,330.14</w:t>
      </w:r>
      <w:r>
        <w:rPr>
          <w:rFonts w:hint="eastAsia" w:ascii="宋体" w:hAnsi="宋体" w:eastAsia="宋体" w:cs="宋体"/>
          <w:color w:val="auto"/>
          <w:kern w:val="2"/>
          <w:sz w:val="24"/>
          <w:szCs w:val="24"/>
          <w:highlight w:val="none"/>
          <w:lang w:eastAsia="zh-CN" w:bidi="ar"/>
        </w:rPr>
        <w:t>元</w:t>
      </w:r>
      <w:r>
        <w:rPr>
          <w:rFonts w:hint="eastAsia" w:ascii="宋体" w:hAnsi="宋体" w:eastAsia="宋体" w:cs="宋体"/>
          <w:color w:val="auto"/>
          <w:kern w:val="0"/>
          <w:sz w:val="24"/>
          <w:szCs w:val="24"/>
          <w:highlight w:val="none"/>
          <w:lang w:eastAsia="zh-CN" w:bidi="ar"/>
        </w:rPr>
        <w:t>，同比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val="en-US" w:eastAsia="zh-CN" w:bidi="ar"/>
        </w:rPr>
        <w:t>88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747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963.76元，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419.7</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kern w:val="0"/>
          <w:sz w:val="24"/>
          <w:szCs w:val="24"/>
          <w:highlight w:val="none"/>
          <w:lang w:val="en-US" w:eastAsia="zh-CN" w:bidi="ar"/>
        </w:rPr>
        <w:t>电煤贸易规模同比增加，应收票据增加。</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)存货</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公司202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年末</w:t>
      </w:r>
      <w:r>
        <w:rPr>
          <w:rFonts w:hint="eastAsia" w:ascii="宋体" w:hAnsi="宋体" w:eastAsia="宋体" w:cs="宋体"/>
          <w:color w:val="auto"/>
          <w:kern w:val="0"/>
          <w:sz w:val="24"/>
          <w:szCs w:val="24"/>
          <w:highlight w:val="none"/>
        </w:rPr>
        <w:t>存货</w:t>
      </w:r>
      <w:r>
        <w:rPr>
          <w:rFonts w:hint="eastAsia" w:ascii="宋体" w:hAnsi="宋体" w:eastAsia="宋体" w:cs="宋体"/>
          <w:i w:val="0"/>
          <w:iCs w:val="0"/>
          <w:color w:val="auto"/>
          <w:kern w:val="0"/>
          <w:sz w:val="24"/>
          <w:szCs w:val="24"/>
          <w:highlight w:val="none"/>
          <w:u w:val="none"/>
          <w:lang w:val="en-US" w:eastAsia="zh-CN" w:bidi="ar"/>
        </w:rPr>
        <w:t>1,247,630,630.33</w:t>
      </w:r>
      <w:r>
        <w:rPr>
          <w:rFonts w:hint="eastAsia" w:ascii="宋体" w:hAnsi="宋体" w:eastAsia="宋体" w:cs="宋体"/>
          <w:color w:val="auto"/>
          <w:kern w:val="0"/>
          <w:sz w:val="24"/>
          <w:szCs w:val="24"/>
          <w:highlight w:val="none"/>
        </w:rPr>
        <w:t>元，同比</w:t>
      </w:r>
      <w:r>
        <w:rPr>
          <w:rFonts w:hint="eastAsia" w:ascii="宋体" w:hAnsi="宋体" w:cs="宋体"/>
          <w:color w:val="auto"/>
          <w:kern w:val="0"/>
          <w:sz w:val="24"/>
          <w:szCs w:val="24"/>
          <w:highlight w:val="none"/>
          <w:lang w:val="en-US" w:eastAsia="zh-CN"/>
        </w:rPr>
        <w:t>减少</w:t>
      </w:r>
      <w:r>
        <w:rPr>
          <w:rFonts w:hint="eastAsia" w:ascii="宋体" w:hAnsi="宋体" w:eastAsia="宋体" w:cs="宋体"/>
          <w:color w:val="auto"/>
          <w:kern w:val="0"/>
          <w:sz w:val="24"/>
          <w:szCs w:val="24"/>
          <w:highlight w:val="none"/>
        </w:rPr>
        <w:t>266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117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435.39元，</w:t>
      </w:r>
      <w:r>
        <w:rPr>
          <w:rFonts w:hint="eastAsia" w:ascii="宋体" w:hAnsi="宋体" w:cs="宋体"/>
          <w:color w:val="auto"/>
          <w:kern w:val="0"/>
          <w:sz w:val="24"/>
          <w:szCs w:val="24"/>
          <w:highlight w:val="none"/>
          <w:lang w:val="en-US" w:eastAsia="zh-CN"/>
        </w:rPr>
        <w:t>降</w:t>
      </w:r>
      <w:r>
        <w:rPr>
          <w:rFonts w:hint="eastAsia" w:ascii="宋体" w:hAnsi="宋体" w:eastAsia="宋体" w:cs="宋体"/>
          <w:color w:val="auto"/>
          <w:kern w:val="0"/>
          <w:sz w:val="24"/>
          <w:szCs w:val="24"/>
          <w:highlight w:val="none"/>
          <w:lang w:eastAsia="zh-CN"/>
        </w:rPr>
        <w:t>幅</w:t>
      </w:r>
      <w:r>
        <w:rPr>
          <w:rFonts w:hint="eastAsia" w:ascii="宋体" w:hAnsi="宋体" w:cs="宋体"/>
          <w:color w:val="auto"/>
          <w:kern w:val="0"/>
          <w:sz w:val="24"/>
          <w:szCs w:val="24"/>
          <w:highlight w:val="none"/>
          <w:lang w:val="en-US" w:eastAsia="zh-CN"/>
        </w:rPr>
        <w:t>17.58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。变动的主要原因：</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火电板块负荷下降，存煤量减少</w:t>
      </w:r>
      <w:r>
        <w:rPr>
          <w:rFonts w:hint="eastAsia" w:ascii="宋体" w:hAnsi="宋体" w:cs="宋体"/>
          <w:color w:val="auto"/>
          <w:kern w:val="0"/>
          <w:sz w:val="24"/>
          <w:szCs w:val="24"/>
          <w:highlight w:val="none"/>
          <w:lang w:val="en-US" w:eastAsia="zh-CN"/>
        </w:rPr>
        <w:t>。</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投资性房地产</w:t>
      </w:r>
    </w:p>
    <w:p>
      <w:pPr>
        <w:keepNext w:val="0"/>
        <w:keepLines w:val="0"/>
        <w:pageBreakBefore w:val="0"/>
        <w:numPr>
          <w:ilvl w:val="0"/>
          <w:numId w:val="0"/>
        </w:numPr>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年年末投资性房地产</w:t>
      </w:r>
      <w:r>
        <w:rPr>
          <w:rFonts w:hint="eastAsia" w:ascii="宋体" w:hAnsi="宋体" w:eastAsia="宋体" w:cs="宋体"/>
          <w:i w:val="0"/>
          <w:iCs w:val="0"/>
          <w:color w:val="auto"/>
          <w:kern w:val="0"/>
          <w:sz w:val="24"/>
          <w:szCs w:val="24"/>
          <w:highlight w:val="none"/>
          <w:u w:val="none"/>
          <w:lang w:val="en-US" w:eastAsia="zh-CN" w:bidi="ar"/>
        </w:rPr>
        <w:t>974,998,444.58</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eastAsia="zh-CN" w:bidi="ar"/>
        </w:rPr>
        <w:t>24</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946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781.2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2.49</w:t>
      </w:r>
      <w:r>
        <w:rPr>
          <w:rFonts w:hint="eastAsia" w:ascii="宋体" w:hAnsi="宋体" w:eastAsia="宋体" w:cs="宋体"/>
          <w:color w:val="auto"/>
          <w:kern w:val="0"/>
          <w:sz w:val="24"/>
          <w:szCs w:val="24"/>
          <w:highlight w:val="none"/>
          <w:lang w:val="en-US" w:eastAsia="zh-CN" w:bidi="ar"/>
        </w:rPr>
        <w:t>%。变动</w:t>
      </w:r>
      <w:r>
        <w:rPr>
          <w:rFonts w:hint="eastAsia" w:ascii="宋体" w:hAnsi="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val="en-US" w:eastAsia="zh-CN" w:bidi="ar"/>
        </w:rPr>
        <w:t>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投资性房地产评估值降低</w:t>
      </w:r>
      <w:r>
        <w:rPr>
          <w:rFonts w:hint="eastAsia" w:ascii="宋体" w:hAnsi="宋体" w:eastAsia="宋体" w:cs="宋体"/>
          <w:color w:val="auto"/>
          <w:kern w:val="0"/>
          <w:sz w:val="24"/>
          <w:szCs w:val="24"/>
          <w:highlight w:val="none"/>
          <w:lang w:val="en-US" w:eastAsia="zh-CN" w:bidi="ar"/>
        </w:rPr>
        <w:t>。</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)长期股权投资</w:t>
      </w:r>
    </w:p>
    <w:p>
      <w:pPr>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w:t>
      </w:r>
      <w:r>
        <w:rPr>
          <w:rFonts w:hint="eastAsia" w:ascii="宋体" w:hAnsi="宋体" w:eastAsia="宋体" w:cs="宋体"/>
          <w:color w:val="auto"/>
          <w:kern w:val="0"/>
          <w:sz w:val="24"/>
          <w:szCs w:val="24"/>
          <w:highlight w:val="none"/>
          <w:lang w:eastAsia="zh-CN"/>
        </w:rPr>
        <w:t>长期股权</w:t>
      </w:r>
      <w:r>
        <w:rPr>
          <w:rFonts w:hint="eastAsia" w:ascii="宋体" w:hAnsi="宋体" w:eastAsia="宋体" w:cs="宋体"/>
          <w:color w:val="auto"/>
          <w:kern w:val="0"/>
          <w:sz w:val="24"/>
          <w:szCs w:val="24"/>
          <w:highlight w:val="none"/>
          <w:lang w:val="en-US" w:eastAsia="zh-CN"/>
        </w:rPr>
        <w:t>投资</w:t>
      </w:r>
      <w:r>
        <w:rPr>
          <w:rFonts w:hint="eastAsia" w:ascii="宋体" w:hAnsi="宋体" w:eastAsia="宋体" w:cs="宋体"/>
          <w:i w:val="0"/>
          <w:iCs w:val="0"/>
          <w:color w:val="auto"/>
          <w:kern w:val="0"/>
          <w:sz w:val="24"/>
          <w:szCs w:val="24"/>
          <w:highlight w:val="none"/>
          <w:u w:val="none"/>
          <w:lang w:val="en-US" w:eastAsia="zh-CN" w:bidi="ar"/>
        </w:rPr>
        <w:t>1,741,604,559.28</w:t>
      </w:r>
      <w:r>
        <w:rPr>
          <w:rFonts w:hint="eastAsia" w:ascii="宋体" w:hAnsi="宋体" w:eastAsia="宋体" w:cs="宋体"/>
          <w:color w:val="auto"/>
          <w:kern w:val="0"/>
          <w:sz w:val="24"/>
          <w:szCs w:val="24"/>
          <w:highlight w:val="none"/>
          <w:lang w:eastAsia="zh-CN"/>
        </w:rPr>
        <w:t>元</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同比</w:t>
      </w:r>
      <w:r>
        <w:rPr>
          <w:rFonts w:hint="eastAsia" w:ascii="宋体" w:hAnsi="宋体" w:cs="宋体"/>
          <w:color w:val="auto"/>
          <w:kern w:val="0"/>
          <w:sz w:val="24"/>
          <w:szCs w:val="24"/>
          <w:highlight w:val="none"/>
          <w:lang w:val="en-US" w:eastAsia="zh-CN"/>
        </w:rPr>
        <w:t>增加</w:t>
      </w:r>
      <w:r>
        <w:rPr>
          <w:rFonts w:hint="eastAsia" w:ascii="宋体" w:hAnsi="宋体" w:eastAsia="宋体" w:cs="宋体"/>
          <w:color w:val="auto"/>
          <w:kern w:val="0"/>
          <w:sz w:val="24"/>
          <w:szCs w:val="24"/>
          <w:highlight w:val="none"/>
          <w:lang w:eastAsia="zh-CN"/>
        </w:rPr>
        <w:t>400</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929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286.99元，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eastAsia="zh-CN"/>
        </w:rPr>
        <w:t>幅</w:t>
      </w:r>
      <w:r>
        <w:rPr>
          <w:rFonts w:hint="eastAsia" w:ascii="宋体" w:hAnsi="宋体" w:cs="宋体"/>
          <w:color w:val="auto"/>
          <w:kern w:val="0"/>
          <w:sz w:val="24"/>
          <w:szCs w:val="24"/>
          <w:highlight w:val="none"/>
          <w:lang w:val="en-US" w:eastAsia="zh-CN"/>
        </w:rPr>
        <w:t>29.91</w:t>
      </w:r>
      <w:r>
        <w:rPr>
          <w:rFonts w:hint="eastAsia" w:ascii="宋体" w:hAnsi="宋体" w:eastAsia="宋体" w:cs="宋体"/>
          <w:color w:val="auto"/>
          <w:kern w:val="0"/>
          <w:sz w:val="24"/>
          <w:szCs w:val="24"/>
          <w:highlight w:val="none"/>
          <w:lang w:val="en-US" w:eastAsia="zh-CN"/>
        </w:rPr>
        <w:t>%。变动</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主要原因：202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b w:val="0"/>
          <w:bCs w:val="0"/>
          <w:color w:val="auto"/>
          <w:kern w:val="0"/>
          <w:sz w:val="24"/>
          <w:szCs w:val="24"/>
          <w:highlight w:val="none"/>
          <w:lang w:val="en-US" w:eastAsia="zh-CN"/>
        </w:rPr>
        <w:t>贵州金元对能发燃料公司由成本法转权益法核算，</w:t>
      </w:r>
      <w:r>
        <w:rPr>
          <w:rFonts w:hint="eastAsia" w:ascii="宋体" w:hAnsi="宋体" w:cs="宋体"/>
          <w:b w:val="0"/>
          <w:bCs w:val="0"/>
          <w:color w:val="auto"/>
          <w:kern w:val="0"/>
          <w:sz w:val="24"/>
          <w:szCs w:val="24"/>
          <w:highlight w:val="none"/>
          <w:lang w:val="en-US" w:eastAsia="zh-CN"/>
        </w:rPr>
        <w:t>长期股权投资增加</w:t>
      </w:r>
      <w:r>
        <w:rPr>
          <w:rFonts w:hint="eastAsia" w:ascii="宋体" w:hAnsi="宋体" w:eastAsia="宋体" w:cs="宋体"/>
          <w:color w:val="auto"/>
          <w:kern w:val="0"/>
          <w:sz w:val="24"/>
          <w:szCs w:val="24"/>
          <w:highlight w:val="none"/>
          <w:lang w:val="en-US" w:eastAsia="zh-CN"/>
        </w:rPr>
        <w:t>。</w:t>
      </w:r>
    </w:p>
    <w:p>
      <w:pPr>
        <w:keepNext w:val="0"/>
        <w:keepLines w:val="0"/>
        <w:pageBreakBefore w:val="0"/>
        <w:numPr>
          <w:ilvl w:val="0"/>
          <w:numId w:val="0"/>
        </w:numPr>
        <w:kinsoku/>
        <w:overflowPunct/>
        <w:topLinePunct w:val="0"/>
        <w:bidi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在建工程</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color w:val="auto"/>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在建工程</w:t>
      </w:r>
      <w:r>
        <w:rPr>
          <w:rFonts w:hint="eastAsia" w:ascii="宋体" w:hAnsi="宋体" w:eastAsia="宋体" w:cs="宋体"/>
          <w:i w:val="0"/>
          <w:iCs w:val="0"/>
          <w:color w:val="auto"/>
          <w:kern w:val="0"/>
          <w:sz w:val="24"/>
          <w:szCs w:val="24"/>
          <w:highlight w:val="none"/>
          <w:u w:val="none"/>
          <w:lang w:val="en-US" w:eastAsia="zh-CN" w:bidi="ar"/>
        </w:rPr>
        <w:t>4,572,870,572.56</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825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307.97</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15.29%</w:t>
      </w:r>
      <w:r>
        <w:rPr>
          <w:rFonts w:hint="eastAsia" w:ascii="宋体" w:hAnsi="宋体" w:eastAsia="宋体" w:cs="宋体"/>
          <w:color w:val="auto"/>
          <w:kern w:val="0"/>
          <w:sz w:val="24"/>
          <w:szCs w:val="24"/>
          <w:highlight w:val="none"/>
          <w:lang w:val="en-US" w:eastAsia="zh-CN" w:bidi="ar"/>
        </w:rPr>
        <w:t>。变动</w:t>
      </w:r>
      <w:r>
        <w:rPr>
          <w:rFonts w:hint="eastAsia" w:ascii="宋体" w:hAnsi="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val="en-US" w:eastAsia="zh-CN" w:bidi="ar"/>
        </w:rPr>
        <w:t>主要原因：</w:t>
      </w:r>
      <w:r>
        <w:rPr>
          <w:rFonts w:hint="eastAsia" w:ascii="宋体" w:hAnsi="宋体" w:cs="宋体"/>
          <w:color w:val="auto"/>
          <w:kern w:val="0"/>
          <w:sz w:val="24"/>
          <w:szCs w:val="24"/>
          <w:highlight w:val="none"/>
          <w:lang w:val="en-US" w:eastAsia="zh-CN" w:bidi="ar"/>
        </w:rPr>
        <w:t>新能源在建项目陆续并网</w:t>
      </w:r>
      <w:r>
        <w:rPr>
          <w:rFonts w:hint="eastAsia" w:ascii="宋体" w:hAnsi="宋体" w:eastAsia="宋体" w:cs="宋体"/>
          <w:color w:val="auto"/>
          <w:kern w:val="0"/>
          <w:sz w:val="24"/>
          <w:szCs w:val="24"/>
          <w:highlight w:val="none"/>
          <w:lang w:val="en-US" w:eastAsia="zh-CN" w:bidi="ar"/>
        </w:rPr>
        <w:t>。</w:t>
      </w:r>
    </w:p>
    <w:p>
      <w:pPr>
        <w:pStyle w:val="15"/>
        <w:keepNext w:val="0"/>
        <w:keepLines w:val="0"/>
        <w:pageBreakBefore w:val="0"/>
        <w:widowControl/>
        <w:numPr>
          <w:ilvl w:val="0"/>
          <w:numId w:val="7"/>
        </w:numPr>
        <w:kinsoku/>
        <w:wordWrap/>
        <w:overflowPunct/>
        <w:topLinePunct w:val="0"/>
        <w:autoSpaceDE/>
        <w:autoSpaceDN/>
        <w:bidi w:val="0"/>
        <w:adjustRightInd/>
        <w:snapToGrid w:val="0"/>
        <w:spacing w:line="400" w:lineRule="exact"/>
        <w:ind w:left="482"/>
        <w:jc w:val="left"/>
        <w:textAlignment w:val="auto"/>
        <w:rPr>
          <w:rFonts w:hint="default"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营业情况分析</w:t>
      </w:r>
    </w:p>
    <w:tbl>
      <w:tblPr>
        <w:tblStyle w:val="22"/>
        <w:tblpPr w:leftFromText="180" w:rightFromText="180" w:vertAnchor="text" w:horzAnchor="page" w:tblpX="1782" w:tblpY="47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25"/>
        <w:gridCol w:w="1865"/>
        <w:gridCol w:w="943"/>
        <w:gridCol w:w="1800"/>
        <w:gridCol w:w="92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nil"/>
              <w:left w:val="nil"/>
              <w:bottom w:val="single" w:color="auto"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118"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565"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79"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553" w:type="pct"/>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648"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168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本期</w:t>
            </w:r>
          </w:p>
        </w:tc>
        <w:tc>
          <w:tcPr>
            <w:tcW w:w="163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上年同期</w:t>
            </w:r>
          </w:p>
        </w:tc>
        <w:tc>
          <w:tcPr>
            <w:tcW w:w="64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03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占营业收入的比重%</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占营业收入的比重%</w:t>
            </w:r>
          </w:p>
        </w:tc>
        <w:tc>
          <w:tcPr>
            <w:tcW w:w="6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营业收入</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16,321,005,879.66</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17,221,240,926.74</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营业成本</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14,784,571,562.56</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90.59%</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14,514,214,513.67</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84.28%</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毛利率</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9.41%</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15.72%</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销售费用</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94,656,503.60</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0.58%</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128,454,513.79</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0.75%</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管理费用</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650,624,212.18</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703,880,076.46</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研发费用</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129,579,443.34</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0.79%</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285,646,093.45</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财务费用</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1,535,209,467.94</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1,695,369,528.27</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9.84%</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信用减值损失</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-12,183,109.32</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-0.07%</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1,163,625,490.25</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6.76%</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资产减值损失</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-502,902,323.36</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-3,498,021,961.79</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-20.31%</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其他收益</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86,415,816.01</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0.53%</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246,081,713.17</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投资收益</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1,813,604,233.62</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11.11%</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657,804,783.43</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公允价值变动收益</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-24,724,161.36</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-0.15%</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-16,471,236.91</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资产处置收益</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130,879,954.49</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161,133,607.26</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0.94%</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汇兑收益</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营业利润</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405,339,170.12</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-1,602,410,001.80</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营业外收入</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55,977,443.16</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24,054,067.13</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0.14%</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营业外支出</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251,642,589.40</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140,086,772.31</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0.81%</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净利润</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70,098,978.14</w:t>
            </w:r>
          </w:p>
        </w:tc>
        <w:tc>
          <w:tcPr>
            <w:tcW w:w="5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0.43%</w:t>
            </w:r>
          </w:p>
        </w:tc>
        <w:tc>
          <w:tcPr>
            <w:tcW w:w="10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-1,894,699,948.82</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-11.00%</w:t>
            </w:r>
          </w:p>
        </w:tc>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103.70%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(1)利润构成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项目重大变动原因：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1 \* GB3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kern w:val="0"/>
          <w:sz w:val="24"/>
          <w:szCs w:val="24"/>
          <w:highlight w:val="none"/>
          <w:lang w:eastAsia="zh-CN" w:bidi="ar"/>
        </w:rPr>
        <w:t>营业成本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highlight w:val="none"/>
          <w:u w:val="none"/>
          <w:lang w:val="en-US" w:eastAsia="zh-CN" w:bidi="ar"/>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年营业成本</w:t>
      </w:r>
      <w:r>
        <w:rPr>
          <w:rFonts w:hint="eastAsia" w:ascii="宋体" w:hAnsi="宋体" w:eastAsia="宋体" w:cs="宋体"/>
          <w:i w:val="0"/>
          <w:iCs w:val="0"/>
          <w:color w:val="auto"/>
          <w:kern w:val="0"/>
          <w:sz w:val="24"/>
          <w:szCs w:val="24"/>
          <w:highlight w:val="none"/>
          <w:u w:val="none"/>
          <w:lang w:val="en-US" w:eastAsia="zh-CN" w:bidi="ar"/>
        </w:rPr>
        <w:t>14,784,571,562.56</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val="en-US" w:eastAsia="zh-CN" w:bidi="ar"/>
        </w:rPr>
        <w:t>270</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357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048.89元，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1.86</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eastAsia="宋体" w:cs="宋体"/>
          <w:b w:val="0"/>
          <w:bCs w:val="0"/>
          <w:color w:val="auto"/>
          <w:kern w:val="0"/>
          <w:sz w:val="24"/>
          <w:szCs w:val="24"/>
          <w:highlight w:val="none"/>
          <w:u w:val="none"/>
          <w:lang w:val="en-US" w:eastAsia="zh-CN" w:bidi="ar"/>
        </w:rPr>
        <w:t>贵州能源对能发燃料公司定向增发，在控股权转让过程中，合作双方对涉及会计估计差异及前期煤炭销售热值差异进行调整，</w:t>
      </w:r>
      <w:r>
        <w:rPr>
          <w:rFonts w:hint="eastAsia" w:ascii="宋体" w:hAnsi="宋体" w:eastAsia="宋体" w:cs="宋体"/>
          <w:color w:val="auto"/>
          <w:kern w:val="0"/>
          <w:sz w:val="24"/>
          <w:szCs w:val="24"/>
          <w:highlight w:val="none"/>
          <w:u w:val="none"/>
          <w:lang w:val="en-US" w:eastAsia="zh-CN" w:bidi="ar"/>
        </w:rPr>
        <w:t>营业成本同比增加。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2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val="en-US" w:eastAsia="zh-CN" w:bidi="ar"/>
        </w:rPr>
        <w:t>销售费用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年销售费用</w:t>
      </w:r>
      <w:r>
        <w:rPr>
          <w:rFonts w:hint="eastAsia" w:ascii="宋体" w:hAnsi="宋体" w:eastAsia="宋体" w:cs="宋体"/>
          <w:i w:val="0"/>
          <w:iCs w:val="0"/>
          <w:color w:val="auto"/>
          <w:kern w:val="0"/>
          <w:sz w:val="24"/>
          <w:szCs w:val="24"/>
          <w:highlight w:val="none"/>
          <w:u w:val="none"/>
          <w:lang w:val="en-US" w:eastAsia="zh-CN" w:bidi="ar"/>
        </w:rPr>
        <w:t>94,656,503.60</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减少33,798,010.19</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26.31%</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煤炭板块产量下降导致销售费用减少</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③</w:t>
      </w:r>
      <w:r>
        <w:rPr>
          <w:rFonts w:hint="eastAsia" w:ascii="宋体" w:hAnsi="宋体" w:eastAsia="宋体" w:cs="宋体"/>
          <w:color w:val="auto"/>
          <w:kern w:val="0"/>
          <w:sz w:val="24"/>
          <w:szCs w:val="24"/>
          <w:highlight w:val="none"/>
          <w:lang w:val="en-US" w:eastAsia="zh-CN" w:bidi="ar"/>
        </w:rPr>
        <w:t>研发费用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年研发费用</w:t>
      </w:r>
      <w:r>
        <w:rPr>
          <w:rFonts w:hint="eastAsia" w:ascii="宋体" w:hAnsi="宋体" w:eastAsia="宋体" w:cs="宋体"/>
          <w:i w:val="0"/>
          <w:iCs w:val="0"/>
          <w:color w:val="auto"/>
          <w:kern w:val="0"/>
          <w:sz w:val="24"/>
          <w:szCs w:val="24"/>
          <w:highlight w:val="none"/>
          <w:u w:val="none"/>
          <w:lang w:val="en-US" w:eastAsia="zh-CN" w:bidi="ar"/>
        </w:rPr>
        <w:t>129,579,443.34</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156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066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650.11</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54.64</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年费用</w:t>
      </w:r>
      <w:r>
        <w:rPr>
          <w:rFonts w:hint="eastAsia" w:ascii="宋体" w:hAnsi="宋体" w:cs="宋体"/>
          <w:color w:val="auto"/>
          <w:kern w:val="0"/>
          <w:sz w:val="24"/>
          <w:szCs w:val="24"/>
          <w:highlight w:val="none"/>
          <w:lang w:val="en-US" w:eastAsia="zh-CN" w:bidi="ar"/>
        </w:rPr>
        <w:t>化研发投入减少</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4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bidi="ar"/>
        </w:rPr>
        <w:t>④</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cs="宋体"/>
          <w:color w:val="auto"/>
          <w:kern w:val="0"/>
          <w:sz w:val="24"/>
          <w:szCs w:val="24"/>
          <w:highlight w:val="none"/>
        </w:rPr>
        <w:t>资产减值损失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年资产减值损失</w:t>
      </w:r>
      <w:r>
        <w:rPr>
          <w:rFonts w:hint="eastAsia" w:ascii="宋体" w:hAnsi="宋体" w:eastAsia="宋体" w:cs="宋体"/>
          <w:i w:val="0"/>
          <w:iCs w:val="0"/>
          <w:color w:val="auto"/>
          <w:kern w:val="0"/>
          <w:sz w:val="24"/>
          <w:szCs w:val="24"/>
          <w:highlight w:val="none"/>
          <w:u w:val="none"/>
          <w:lang w:val="en-US" w:eastAsia="zh-CN" w:bidi="ar"/>
        </w:rPr>
        <w:t>-502,902,323.36</w:t>
      </w:r>
      <w:r>
        <w:rPr>
          <w:rFonts w:hint="eastAsia" w:ascii="宋体" w:hAnsi="宋体" w:eastAsia="宋体" w:cs="宋体"/>
          <w:color w:val="auto"/>
          <w:kern w:val="0"/>
          <w:sz w:val="24"/>
          <w:szCs w:val="24"/>
          <w:highlight w:val="none"/>
          <w:lang w:val="en-US"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995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119</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638.43 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85.62</w:t>
      </w:r>
      <w:r>
        <w:rPr>
          <w:rFonts w:hint="eastAsia" w:ascii="宋体" w:hAnsi="宋体" w:eastAsia="宋体" w:cs="宋体"/>
          <w:color w:val="auto"/>
          <w:kern w:val="0"/>
          <w:sz w:val="24"/>
          <w:szCs w:val="24"/>
          <w:highlight w:val="none"/>
          <w:lang w:val="en-US" w:eastAsia="zh-CN" w:bidi="ar"/>
        </w:rPr>
        <w:t>%。变动的主要原因：2023年</w:t>
      </w:r>
      <w:r>
        <w:rPr>
          <w:rFonts w:hint="eastAsia" w:ascii="宋体" w:hAnsi="宋体" w:cs="宋体"/>
          <w:color w:val="auto"/>
          <w:kern w:val="0"/>
          <w:sz w:val="24"/>
          <w:szCs w:val="24"/>
          <w:highlight w:val="none"/>
          <w:lang w:val="en-US" w:eastAsia="zh-CN" w:bidi="ar"/>
        </w:rPr>
        <w:t>贵州金元收购绥阳产业，</w:t>
      </w:r>
      <w:r>
        <w:rPr>
          <w:rFonts w:hint="eastAsia" w:ascii="宋体" w:hAnsi="宋体" w:eastAsia="宋体" w:cs="宋体"/>
          <w:color w:val="auto"/>
          <w:kern w:val="0"/>
          <w:sz w:val="24"/>
          <w:szCs w:val="24"/>
          <w:highlight w:val="none"/>
          <w:lang w:val="en-US" w:eastAsia="zh-CN" w:bidi="ar"/>
        </w:rPr>
        <w:t>计提</w:t>
      </w:r>
      <w:r>
        <w:rPr>
          <w:rFonts w:hint="eastAsia" w:ascii="宋体" w:hAnsi="宋体" w:cs="宋体"/>
          <w:color w:val="auto"/>
          <w:kern w:val="0"/>
          <w:sz w:val="24"/>
          <w:szCs w:val="24"/>
          <w:highlight w:val="none"/>
          <w:lang w:val="en-US" w:eastAsia="zh-CN" w:bidi="ar"/>
        </w:rPr>
        <w:t>大额商誉</w:t>
      </w:r>
      <w:r>
        <w:rPr>
          <w:rFonts w:hint="eastAsia" w:ascii="宋体" w:hAnsi="宋体" w:eastAsia="宋体" w:cs="宋体"/>
          <w:color w:val="auto"/>
          <w:kern w:val="0"/>
          <w:sz w:val="24"/>
          <w:szCs w:val="24"/>
          <w:highlight w:val="none"/>
          <w:lang w:val="en-US" w:eastAsia="zh-CN" w:bidi="ar"/>
        </w:rPr>
        <w:t>减值</w:t>
      </w:r>
      <w:r>
        <w:rPr>
          <w:rFonts w:hint="eastAsia" w:ascii="宋体" w:hAnsi="宋体" w:cs="宋体"/>
          <w:color w:val="auto"/>
          <w:kern w:val="0"/>
          <w:sz w:val="24"/>
          <w:szCs w:val="24"/>
          <w:highlight w:val="none"/>
          <w:lang w:val="en-US" w:eastAsia="zh-CN" w:bidi="ar"/>
        </w:rPr>
        <w:t>，2024年贵州能源对能发公司定向增发，在控股权转让过程中对存在减值迹象的</w:t>
      </w:r>
      <w:r>
        <w:rPr>
          <w:rFonts w:hint="eastAsia" w:ascii="宋体" w:hAnsi="宋体" w:eastAsia="宋体" w:cs="宋体"/>
          <w:b w:val="0"/>
          <w:bCs w:val="0"/>
          <w:color w:val="auto"/>
          <w:kern w:val="0"/>
          <w:sz w:val="24"/>
          <w:szCs w:val="24"/>
          <w:highlight w:val="none"/>
          <w:lang w:val="en-US" w:eastAsia="zh-CN" w:bidi="ar"/>
        </w:rPr>
        <w:t>资产进行</w:t>
      </w:r>
      <w:r>
        <w:rPr>
          <w:rFonts w:hint="eastAsia" w:ascii="宋体" w:hAnsi="宋体" w:cs="宋体"/>
          <w:color w:val="auto"/>
          <w:kern w:val="0"/>
          <w:sz w:val="24"/>
          <w:szCs w:val="24"/>
          <w:highlight w:val="none"/>
          <w:lang w:val="en-US" w:eastAsia="zh-CN" w:bidi="ar"/>
        </w:rPr>
        <w:t>减值测试</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根据减值测试报告，</w:t>
      </w:r>
      <w:r>
        <w:rPr>
          <w:rFonts w:hint="eastAsia" w:ascii="宋体" w:hAnsi="宋体" w:eastAsia="宋体" w:cs="宋体"/>
          <w:color w:val="auto"/>
          <w:kern w:val="0"/>
          <w:sz w:val="24"/>
          <w:szCs w:val="24"/>
          <w:highlight w:val="none"/>
          <w:lang w:val="en-US" w:eastAsia="zh-CN" w:bidi="ar"/>
        </w:rPr>
        <w:t>确认减值损失</w:t>
      </w:r>
      <w:r>
        <w:rPr>
          <w:rFonts w:hint="eastAsia" w:ascii="宋体" w:hAnsi="宋体" w:cs="宋体"/>
          <w:color w:val="auto"/>
          <w:kern w:val="0"/>
          <w:sz w:val="24"/>
          <w:szCs w:val="24"/>
          <w:highlight w:val="none"/>
          <w:lang w:val="en-US" w:eastAsia="zh-CN" w:bidi="ar"/>
        </w:rPr>
        <w:t>5.09亿元。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5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资产处置收益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年资产处置收益</w:t>
      </w:r>
      <w:r>
        <w:rPr>
          <w:rFonts w:hint="eastAsia" w:ascii="宋体" w:hAnsi="宋体" w:eastAsia="宋体" w:cs="宋体"/>
          <w:i w:val="0"/>
          <w:iCs w:val="0"/>
          <w:color w:val="auto"/>
          <w:kern w:val="0"/>
          <w:sz w:val="24"/>
          <w:szCs w:val="24"/>
          <w:highlight w:val="none"/>
          <w:u w:val="none"/>
          <w:lang w:val="en-US" w:eastAsia="zh-CN" w:bidi="ar"/>
        </w:rPr>
        <w:t>130,879,954.49</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eastAsia="zh-CN" w:bidi="ar"/>
        </w:rPr>
        <w:t>减少</w:t>
      </w:r>
      <w:r>
        <w:rPr>
          <w:rFonts w:hint="eastAsia" w:ascii="宋体" w:hAnsi="宋体" w:eastAsia="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253</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652.77</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18.78</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处置小水电资产，确认资产处置收益1.31亿元</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⑥公允价值变动收益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年公允价值变动收益</w:t>
      </w:r>
      <w:r>
        <w:rPr>
          <w:rFonts w:hint="eastAsia" w:ascii="宋体" w:hAnsi="宋体" w:eastAsia="宋体" w:cs="宋体"/>
          <w:i w:val="0"/>
          <w:iCs w:val="0"/>
          <w:color w:val="auto"/>
          <w:kern w:val="0"/>
          <w:sz w:val="24"/>
          <w:szCs w:val="24"/>
          <w:highlight w:val="none"/>
          <w:u w:val="none"/>
          <w:lang w:val="en-US" w:eastAsia="zh-CN" w:bidi="ar"/>
        </w:rPr>
        <w:t>-24,724,161.36</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 xml:space="preserve">924.45 </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50.11</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投资性房地产评估价值降低</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⑦营业外支出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年营业外支出</w:t>
      </w:r>
      <w:r>
        <w:rPr>
          <w:rFonts w:hint="eastAsia" w:ascii="宋体" w:hAnsi="宋体" w:eastAsia="宋体" w:cs="宋体"/>
          <w:i w:val="0"/>
          <w:iCs w:val="0"/>
          <w:color w:val="auto"/>
          <w:kern w:val="0"/>
          <w:sz w:val="24"/>
          <w:szCs w:val="24"/>
          <w:highlight w:val="none"/>
          <w:u w:val="none"/>
          <w:lang w:val="en-US" w:eastAsia="zh-CN" w:bidi="ar"/>
        </w:rPr>
        <w:t>251,642,589.40</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111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555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817.09</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79.63</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kern w:val="0"/>
          <w:sz w:val="24"/>
          <w:szCs w:val="24"/>
          <w:highlight w:val="none"/>
          <w:lang w:val="en-US" w:eastAsia="zh-CN" w:bidi="ar"/>
        </w:rPr>
        <w:t>火电碳排放履约费用增加。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⑧营业利润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年营业利润405,339,170.12元，同比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007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749</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171.92元，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25.3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val="en-US" w:eastAsia="zh-CN"/>
        </w:rPr>
        <w:t>同期剔除一次性事项（</w:t>
      </w:r>
      <w:r>
        <w:rPr>
          <w:rFonts w:hint="eastAsia" w:ascii="宋体" w:hAnsi="宋体" w:cs="宋体"/>
          <w:b w:val="0"/>
          <w:bCs w:val="0"/>
          <w:color w:val="auto"/>
          <w:kern w:val="0"/>
          <w:sz w:val="24"/>
          <w:szCs w:val="24"/>
          <w:highlight w:val="none"/>
          <w:lang w:val="en-US" w:eastAsia="zh-CN"/>
        </w:rPr>
        <w:t>2023年</w:t>
      </w:r>
      <w:r>
        <w:rPr>
          <w:rFonts w:hint="eastAsia" w:ascii="宋体" w:hAnsi="宋体" w:eastAsia="宋体" w:cs="宋体"/>
          <w:b w:val="0"/>
          <w:bCs w:val="0"/>
          <w:color w:val="auto"/>
          <w:kern w:val="0"/>
          <w:sz w:val="24"/>
          <w:szCs w:val="24"/>
          <w:highlight w:val="none"/>
          <w:lang w:val="en-US" w:eastAsia="zh-CN"/>
        </w:rPr>
        <w:t>收购绥阳公司股权损失8.13亿元及计提泰元公司减值13.5亿元）后</w:t>
      </w:r>
      <w:r>
        <w:rPr>
          <w:rFonts w:hint="eastAsia" w:ascii="宋体" w:hAnsi="宋体" w:eastAsia="宋体" w:cs="宋体"/>
          <w:color w:val="auto"/>
          <w:kern w:val="0"/>
          <w:sz w:val="24"/>
          <w:szCs w:val="24"/>
          <w:highlight w:val="none"/>
          <w:lang w:bidi="ar"/>
        </w:rPr>
        <w:t>营业利润</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cs="宋体"/>
          <w:b w:val="0"/>
          <w:bCs w:val="0"/>
          <w:color w:val="auto"/>
          <w:kern w:val="0"/>
          <w:sz w:val="24"/>
          <w:szCs w:val="24"/>
          <w:highlight w:val="none"/>
          <w:lang w:val="en-US" w:eastAsia="zh-CN"/>
        </w:rPr>
        <w:t>5.61</w:t>
      </w:r>
      <w:r>
        <w:rPr>
          <w:rFonts w:hint="eastAsia" w:ascii="宋体" w:hAnsi="宋体" w:eastAsia="宋体" w:cs="宋体"/>
          <w:b w:val="0"/>
          <w:bCs w:val="0"/>
          <w:color w:val="auto"/>
          <w:kern w:val="0"/>
          <w:sz w:val="24"/>
          <w:szCs w:val="24"/>
          <w:highlight w:val="none"/>
          <w:lang w:val="en-US" w:eastAsia="zh-CN"/>
        </w:rPr>
        <w:t>亿元，同比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营业利润</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eastAsia="宋体" w:cs="宋体"/>
          <w:color w:val="auto"/>
          <w:kern w:val="0"/>
          <w:sz w:val="24"/>
          <w:szCs w:val="24"/>
          <w:highlight w:val="none"/>
        </w:rPr>
        <w:t>的主要原因：</w:t>
      </w:r>
      <w:r>
        <w:rPr>
          <w:rFonts w:hint="eastAsia" w:ascii="宋体" w:hAnsi="宋体" w:cs="宋体"/>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绥阳公司</w:t>
      </w:r>
      <w:r>
        <w:rPr>
          <w:rFonts w:hint="eastAsia" w:ascii="宋体" w:hAnsi="宋体" w:cs="宋体"/>
          <w:b w:val="0"/>
          <w:bCs w:val="0"/>
          <w:color w:val="auto"/>
          <w:kern w:val="0"/>
          <w:sz w:val="24"/>
          <w:szCs w:val="24"/>
          <w:highlight w:val="none"/>
          <w:lang w:val="en-US" w:eastAsia="zh-CN"/>
        </w:rPr>
        <w:t>因铁合金市场低迷，售价降低779.77元/吨，</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增亏2.07</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；二是由于</w:t>
      </w:r>
      <w:r>
        <w:rPr>
          <w:rFonts w:hint="eastAsia" w:ascii="宋体" w:hAnsi="宋体" w:eastAsia="宋体" w:cs="宋体"/>
          <w:b w:val="0"/>
          <w:bCs w:val="0"/>
          <w:color w:val="auto"/>
          <w:kern w:val="0"/>
          <w:sz w:val="24"/>
          <w:szCs w:val="24"/>
          <w:highlight w:val="none"/>
          <w:lang w:val="en-US" w:eastAsia="zh-CN"/>
        </w:rPr>
        <w:t>能发公司</w:t>
      </w:r>
      <w:r>
        <w:rPr>
          <w:rFonts w:hint="eastAsia" w:ascii="宋体" w:hAnsi="宋体" w:cs="宋体"/>
          <w:b w:val="0"/>
          <w:bCs w:val="0"/>
          <w:color w:val="auto"/>
          <w:kern w:val="0"/>
          <w:sz w:val="24"/>
          <w:szCs w:val="24"/>
          <w:highlight w:val="none"/>
          <w:lang w:val="en-US" w:eastAsia="zh-CN"/>
        </w:rPr>
        <w:t>股权转让，贵州金元对债权进行重估，造成暂时性损失2.99</w:t>
      </w:r>
      <w:r>
        <w:rPr>
          <w:rFonts w:hint="eastAsia" w:ascii="宋体" w:hAnsi="宋体" w:eastAsia="宋体" w:cs="宋体"/>
          <w:color w:val="auto"/>
          <w:kern w:val="0"/>
          <w:sz w:val="24"/>
          <w:szCs w:val="24"/>
          <w:highlight w:val="none"/>
          <w:lang w:val="en-US" w:eastAsia="zh-CN" w:bidi="ar-SA"/>
        </w:rPr>
        <w:t>亿元</w:t>
      </w:r>
      <w:r>
        <w:rPr>
          <w:rFonts w:hint="eastAsia" w:ascii="宋体" w:hAnsi="宋体" w:cs="宋体"/>
          <w:color w:val="auto"/>
          <w:kern w:val="0"/>
          <w:sz w:val="24"/>
          <w:szCs w:val="24"/>
          <w:highlight w:val="none"/>
          <w:lang w:val="en-US" w:eastAsia="zh-CN" w:bidi="ar-SA"/>
        </w:rPr>
        <w:t>，待债权收回后逐年转回损失。</w:t>
      </w:r>
      <w:r>
        <w:rPr>
          <w:rFonts w:hint="eastAsia" w:ascii="宋体" w:hAnsi="宋体" w:eastAsia="宋体" w:cs="宋体"/>
          <w:color w:val="auto"/>
          <w:kern w:val="0"/>
          <w:sz w:val="24"/>
          <w:szCs w:val="24"/>
          <w:highlight w:val="none"/>
          <w:lang w:val="en-US" w:eastAsia="zh-CN" w:bidi="ar-SA"/>
        </w:rPr>
        <w:t>基于以上</w:t>
      </w:r>
      <w:r>
        <w:rPr>
          <w:rFonts w:hint="eastAsia" w:ascii="宋体" w:hAnsi="宋体" w:cs="宋体"/>
          <w:color w:val="auto"/>
          <w:kern w:val="0"/>
          <w:sz w:val="24"/>
          <w:szCs w:val="24"/>
          <w:highlight w:val="none"/>
          <w:lang w:val="en-US" w:eastAsia="zh-CN" w:bidi="ar-SA"/>
        </w:rPr>
        <w:t>因素合计减利5.06亿元，</w:t>
      </w:r>
      <w:r>
        <w:rPr>
          <w:rFonts w:hint="eastAsia" w:ascii="宋体" w:hAnsi="宋体" w:eastAsia="宋体" w:cs="宋体"/>
          <w:color w:val="auto"/>
          <w:kern w:val="0"/>
          <w:sz w:val="24"/>
          <w:szCs w:val="24"/>
          <w:highlight w:val="none"/>
          <w:lang w:val="en-US" w:eastAsia="zh-CN" w:bidi="ar-SA"/>
        </w:rPr>
        <w:t>贵州金元2024年千方百计抢抓发电量</w:t>
      </w:r>
      <w:r>
        <w:rPr>
          <w:rFonts w:hint="eastAsia" w:ascii="宋体" w:hAnsi="宋体" w:cs="宋体"/>
          <w:color w:val="auto"/>
          <w:kern w:val="0"/>
          <w:sz w:val="24"/>
          <w:szCs w:val="24"/>
          <w:highlight w:val="none"/>
          <w:lang w:val="en-US" w:eastAsia="zh-CN" w:bidi="ar-SA"/>
        </w:rPr>
        <w:t>、通过压降成本、处置低效无效资产等措施，共计增加营业利润4.35亿元，其中：一是</w:t>
      </w:r>
      <w:r>
        <w:rPr>
          <w:rFonts w:hint="eastAsia" w:ascii="宋体" w:hAnsi="宋体" w:eastAsia="宋体" w:cs="宋体"/>
          <w:i w:val="0"/>
          <w:iCs w:val="0"/>
          <w:caps w:val="0"/>
          <w:color w:val="auto"/>
          <w:spacing w:val="0"/>
          <w:kern w:val="0"/>
          <w:sz w:val="24"/>
          <w:szCs w:val="24"/>
          <w:highlight w:val="none"/>
          <w:shd w:val="clear"/>
          <w:lang w:val="en-US" w:eastAsia="zh-CN"/>
        </w:rPr>
        <w:t>水电板块</w:t>
      </w:r>
      <w:r>
        <w:rPr>
          <w:rFonts w:hint="eastAsia" w:ascii="宋体" w:hAnsi="宋体" w:cs="宋体"/>
          <w:i w:val="0"/>
          <w:iCs w:val="0"/>
          <w:caps w:val="0"/>
          <w:color w:val="auto"/>
          <w:spacing w:val="0"/>
          <w:kern w:val="0"/>
          <w:sz w:val="24"/>
          <w:szCs w:val="24"/>
          <w:highlight w:val="none"/>
          <w:shd w:val="clear"/>
          <w:lang w:val="en-US" w:eastAsia="zh-CN"/>
        </w:rPr>
        <w:t>通过</w:t>
      </w:r>
      <w:r>
        <w:rPr>
          <w:rFonts w:hint="eastAsia" w:ascii="宋体" w:hAnsi="宋体" w:eastAsia="宋体" w:cs="宋体"/>
          <w:i w:val="0"/>
          <w:iCs w:val="0"/>
          <w:caps w:val="0"/>
          <w:color w:val="auto"/>
          <w:spacing w:val="0"/>
          <w:kern w:val="0"/>
          <w:sz w:val="24"/>
          <w:szCs w:val="24"/>
          <w:highlight w:val="none"/>
          <w:shd w:val="clear"/>
          <w:lang w:val="en-US" w:eastAsia="zh-CN"/>
        </w:rPr>
        <w:t>增发电量</w:t>
      </w:r>
      <w:r>
        <w:rPr>
          <w:rFonts w:hint="eastAsia" w:ascii="宋体" w:hAnsi="宋体" w:cs="宋体"/>
          <w:i w:val="0"/>
          <w:iCs w:val="0"/>
          <w:caps w:val="0"/>
          <w:color w:val="auto"/>
          <w:spacing w:val="0"/>
          <w:kern w:val="0"/>
          <w:sz w:val="24"/>
          <w:szCs w:val="24"/>
          <w:highlight w:val="none"/>
          <w:shd w:val="clear"/>
          <w:lang w:val="en-US" w:eastAsia="zh-CN"/>
        </w:rPr>
        <w:t>、</w:t>
      </w:r>
      <w:r>
        <w:rPr>
          <w:rFonts w:hint="eastAsia" w:ascii="宋体" w:hAnsi="宋体" w:eastAsia="宋体" w:cs="宋体"/>
          <w:i w:val="0"/>
          <w:iCs w:val="0"/>
          <w:caps w:val="0"/>
          <w:color w:val="auto"/>
          <w:spacing w:val="0"/>
          <w:kern w:val="0"/>
          <w:sz w:val="24"/>
          <w:szCs w:val="24"/>
          <w:highlight w:val="none"/>
          <w:shd w:val="clear"/>
          <w:lang w:val="en-US" w:eastAsia="zh-CN"/>
        </w:rPr>
        <w:t>控降成本费用，</w:t>
      </w:r>
      <w:r>
        <w:rPr>
          <w:rFonts w:hint="eastAsia" w:ascii="宋体" w:hAnsi="宋体" w:eastAsia="宋体" w:cs="宋体"/>
          <w:b w:val="0"/>
          <w:snapToGrid/>
          <w:color w:val="auto"/>
          <w:kern w:val="0"/>
          <w:sz w:val="24"/>
          <w:szCs w:val="24"/>
          <w:highlight w:val="none"/>
          <w:lang w:val="en-US" w:eastAsia="zh-CN"/>
        </w:rPr>
        <w:t>新能源板块克服市场化交易带来的电价下行，通过控降三项费用、财务费用等措施</w:t>
      </w:r>
      <w:r>
        <w:rPr>
          <w:rFonts w:hint="eastAsia" w:ascii="宋体" w:hAnsi="宋体" w:cs="宋体"/>
          <w:b w:val="0"/>
          <w:snapToGrid/>
          <w:color w:val="auto"/>
          <w:kern w:val="0"/>
          <w:sz w:val="24"/>
          <w:szCs w:val="24"/>
          <w:highlight w:val="none"/>
          <w:lang w:val="en-US" w:eastAsia="zh-CN"/>
        </w:rPr>
        <w:t>，共计提升</w:t>
      </w:r>
      <w:r>
        <w:rPr>
          <w:rFonts w:hint="eastAsia" w:ascii="宋体" w:hAnsi="宋体" w:cs="宋体"/>
          <w:i w:val="0"/>
          <w:iCs w:val="0"/>
          <w:caps w:val="0"/>
          <w:color w:val="auto"/>
          <w:spacing w:val="0"/>
          <w:kern w:val="0"/>
          <w:sz w:val="24"/>
          <w:szCs w:val="24"/>
          <w:highlight w:val="none"/>
          <w:shd w:val="clear"/>
          <w:lang w:val="en-US" w:eastAsia="zh-CN"/>
        </w:rPr>
        <w:t>售电单位利润21.12</w:t>
      </w:r>
      <w:r>
        <w:rPr>
          <w:rFonts w:hint="eastAsia" w:ascii="宋体" w:hAnsi="宋体" w:eastAsia="宋体" w:cs="宋体"/>
          <w:i w:val="0"/>
          <w:iCs w:val="0"/>
          <w:caps w:val="0"/>
          <w:color w:val="auto"/>
          <w:spacing w:val="0"/>
          <w:kern w:val="0"/>
          <w:sz w:val="24"/>
          <w:szCs w:val="24"/>
          <w:highlight w:val="none"/>
          <w:shd w:val="clear"/>
          <w:lang w:val="en-US" w:eastAsia="zh-CN"/>
        </w:rPr>
        <w:t>元/千千瓦时，</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营业利润3.05</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snapToGrid/>
          <w:color w:val="auto"/>
          <w:kern w:val="0"/>
          <w:sz w:val="24"/>
          <w:szCs w:val="24"/>
          <w:highlight w:val="none"/>
          <w:lang w:val="en-US" w:eastAsia="zh-CN"/>
        </w:rPr>
        <w:t>二是通过</w:t>
      </w:r>
      <w:r>
        <w:rPr>
          <w:rFonts w:hint="eastAsia" w:ascii="宋体" w:hAnsi="宋体" w:eastAsia="宋体" w:cs="宋体"/>
          <w:b w:val="0"/>
          <w:snapToGrid/>
          <w:color w:val="auto"/>
          <w:kern w:val="0"/>
          <w:sz w:val="24"/>
          <w:szCs w:val="24"/>
          <w:highlight w:val="none"/>
        </w:rPr>
        <w:t>积极开展</w:t>
      </w:r>
      <w:r>
        <w:rPr>
          <w:rFonts w:hint="eastAsia" w:ascii="宋体" w:hAnsi="宋体" w:eastAsia="宋体" w:cs="宋体"/>
          <w:b w:val="0"/>
          <w:snapToGrid/>
          <w:color w:val="auto"/>
          <w:kern w:val="0"/>
          <w:sz w:val="24"/>
          <w:szCs w:val="24"/>
          <w:highlight w:val="none"/>
          <w:lang w:val="en-US" w:eastAsia="zh-CN"/>
        </w:rPr>
        <w:t>小水电</w:t>
      </w:r>
      <w:r>
        <w:rPr>
          <w:rFonts w:hint="eastAsia" w:ascii="宋体" w:hAnsi="宋体" w:eastAsia="宋体" w:cs="宋体"/>
          <w:b w:val="0"/>
          <w:snapToGrid/>
          <w:color w:val="auto"/>
          <w:kern w:val="0"/>
          <w:sz w:val="24"/>
          <w:szCs w:val="24"/>
          <w:highlight w:val="none"/>
        </w:rPr>
        <w:t>资产处置</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snapToGrid/>
          <w:color w:val="auto"/>
          <w:kern w:val="0"/>
          <w:sz w:val="24"/>
          <w:szCs w:val="24"/>
          <w:highlight w:val="none"/>
          <w:lang w:val="en-US" w:eastAsia="zh-CN"/>
        </w:rPr>
        <w:t>并</w:t>
      </w:r>
      <w:r>
        <w:rPr>
          <w:rFonts w:hint="eastAsia" w:ascii="宋体" w:hAnsi="宋体" w:eastAsia="宋体" w:cs="宋体"/>
          <w:b w:val="0"/>
          <w:snapToGrid/>
          <w:color w:val="auto"/>
          <w:kern w:val="0"/>
          <w:sz w:val="24"/>
          <w:szCs w:val="24"/>
          <w:highlight w:val="none"/>
        </w:rPr>
        <w:t>与政府协商</w:t>
      </w:r>
      <w:r>
        <w:rPr>
          <w:rFonts w:hint="eastAsia" w:ascii="宋体" w:hAnsi="宋体" w:eastAsia="宋体" w:cs="宋体"/>
          <w:b w:val="0"/>
          <w:snapToGrid/>
          <w:color w:val="auto"/>
          <w:kern w:val="0"/>
          <w:sz w:val="24"/>
          <w:szCs w:val="24"/>
          <w:highlight w:val="none"/>
          <w:lang w:val="en-US" w:eastAsia="zh-CN"/>
        </w:rPr>
        <w:t>获取</w:t>
      </w:r>
      <w:r>
        <w:rPr>
          <w:rFonts w:hint="eastAsia" w:ascii="宋体" w:hAnsi="宋体" w:eastAsia="宋体" w:cs="宋体"/>
          <w:b w:val="0"/>
          <w:bCs w:val="0"/>
          <w:color w:val="auto"/>
          <w:kern w:val="0"/>
          <w:sz w:val="24"/>
          <w:szCs w:val="24"/>
          <w:highlight w:val="none"/>
          <w:lang w:val="en-US" w:eastAsia="zh-CN"/>
        </w:rPr>
        <w:t>明英电站赔偿款</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pStyle w:val="2"/>
        <w:keepNext w:val="0"/>
        <w:keepLines w:val="0"/>
        <w:pageBreakBefore w:val="0"/>
        <w:kinsoku/>
        <w:wordWrap/>
        <w:overflowPunct/>
        <w:topLinePunct w:val="0"/>
        <w:autoSpaceDE/>
        <w:autoSpaceDN/>
        <w:bidi w:val="0"/>
        <w:adjustRightIn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⑨</w:t>
      </w:r>
      <w:r>
        <w:rPr>
          <w:rFonts w:hint="eastAsia" w:ascii="宋体" w:hAnsi="宋体" w:cs="宋体"/>
          <w:color w:val="auto"/>
          <w:kern w:val="0"/>
          <w:sz w:val="24"/>
          <w:szCs w:val="24"/>
          <w:highlight w:val="none"/>
          <w:lang w:val="en-US" w:eastAsia="zh-CN" w:bidi="ar"/>
        </w:rPr>
        <w:t>净利润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年净利润</w:t>
      </w:r>
      <w:r>
        <w:rPr>
          <w:rFonts w:hint="eastAsia" w:ascii="宋体" w:hAnsi="宋体" w:eastAsia="宋体" w:cs="宋体"/>
          <w:i w:val="0"/>
          <w:iCs w:val="0"/>
          <w:color w:val="auto"/>
          <w:kern w:val="0"/>
          <w:sz w:val="24"/>
          <w:szCs w:val="24"/>
          <w:highlight w:val="none"/>
          <w:u w:val="none"/>
          <w:lang w:val="en-US" w:eastAsia="zh-CN" w:bidi="ar"/>
        </w:rPr>
        <w:t>70,098,978.14</w:t>
      </w:r>
      <w:r>
        <w:rPr>
          <w:rFonts w:hint="eastAsia" w:ascii="宋体" w:hAnsi="宋体" w:eastAsia="宋体" w:cs="宋体"/>
          <w:color w:val="auto"/>
          <w:kern w:val="0"/>
          <w:sz w:val="24"/>
          <w:szCs w:val="24"/>
          <w:highlight w:val="none"/>
          <w:lang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964</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798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926.96元，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103.7</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val="en-US" w:eastAsia="zh-CN"/>
        </w:rPr>
        <w:t>同期剔除一次性事项（</w:t>
      </w:r>
      <w:r>
        <w:rPr>
          <w:rFonts w:hint="eastAsia" w:ascii="宋体" w:hAnsi="宋体" w:cs="宋体"/>
          <w:b w:val="0"/>
          <w:bCs w:val="0"/>
          <w:color w:val="auto"/>
          <w:kern w:val="0"/>
          <w:sz w:val="24"/>
          <w:szCs w:val="24"/>
          <w:highlight w:val="none"/>
          <w:lang w:val="en-US" w:eastAsia="zh-CN"/>
        </w:rPr>
        <w:t>2023年</w:t>
      </w:r>
      <w:r>
        <w:rPr>
          <w:rFonts w:hint="eastAsia" w:ascii="宋体" w:hAnsi="宋体" w:eastAsia="宋体" w:cs="宋体"/>
          <w:b w:val="0"/>
          <w:bCs w:val="0"/>
          <w:color w:val="auto"/>
          <w:kern w:val="0"/>
          <w:sz w:val="24"/>
          <w:szCs w:val="24"/>
          <w:highlight w:val="none"/>
          <w:lang w:val="en-US" w:eastAsia="zh-CN"/>
        </w:rPr>
        <w:t>收购绥阳公司股权损失8.13亿元及计提泰元公司减值13.5亿元）后</w:t>
      </w:r>
      <w:r>
        <w:rPr>
          <w:rFonts w:hint="eastAsia" w:ascii="宋体" w:hAnsi="宋体" w:cs="宋体"/>
          <w:b w:val="0"/>
          <w:bCs w:val="0"/>
          <w:color w:val="auto"/>
          <w:kern w:val="0"/>
          <w:sz w:val="24"/>
          <w:szCs w:val="24"/>
          <w:highlight w:val="none"/>
          <w:lang w:val="en-US" w:eastAsia="zh-CN"/>
        </w:rPr>
        <w:t>净利润</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cs="宋体"/>
          <w:b w:val="0"/>
          <w:bCs w:val="0"/>
          <w:color w:val="auto"/>
          <w:kern w:val="0"/>
          <w:sz w:val="24"/>
          <w:szCs w:val="24"/>
          <w:highlight w:val="none"/>
          <w:lang w:val="en-US" w:eastAsia="zh-CN"/>
        </w:rPr>
        <w:t>2.68</w:t>
      </w:r>
      <w:r>
        <w:rPr>
          <w:rFonts w:hint="eastAsia" w:ascii="宋体" w:hAnsi="宋体" w:eastAsia="宋体" w:cs="宋体"/>
          <w:b w:val="0"/>
          <w:bCs w:val="0"/>
          <w:color w:val="auto"/>
          <w:kern w:val="0"/>
          <w:sz w:val="24"/>
          <w:szCs w:val="24"/>
          <w:highlight w:val="none"/>
          <w:lang w:val="en-US" w:eastAsia="zh-CN"/>
        </w:rPr>
        <w:t>亿元，同比</w:t>
      </w:r>
      <w:r>
        <w:rPr>
          <w:rFonts w:hint="eastAsia" w:ascii="宋体" w:hAnsi="宋体" w:cs="宋体"/>
          <w:b w:val="0"/>
          <w:bCs w:val="0"/>
          <w:color w:val="auto"/>
          <w:kern w:val="0"/>
          <w:sz w:val="24"/>
          <w:szCs w:val="24"/>
          <w:highlight w:val="none"/>
          <w:lang w:val="en-US" w:eastAsia="zh-CN"/>
        </w:rPr>
        <w:t>减利1.98</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0"/>
          <w:sz w:val="24"/>
          <w:highlight w:val="none"/>
        </w:rPr>
      </w:pPr>
      <w:r>
        <w:rPr>
          <w:rFonts w:hint="eastAsia" w:ascii="宋体" w:hAnsi="宋体" w:cs="宋体"/>
          <w:b w:val="0"/>
          <w:bCs w:val="0"/>
          <w:color w:val="auto"/>
          <w:kern w:val="0"/>
          <w:sz w:val="24"/>
          <w:szCs w:val="24"/>
          <w:highlight w:val="none"/>
          <w:lang w:val="en-US" w:eastAsia="zh-CN"/>
        </w:rPr>
        <w:t>净利润</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eastAsia="宋体" w:cs="宋体"/>
          <w:color w:val="auto"/>
          <w:kern w:val="0"/>
          <w:sz w:val="24"/>
          <w:szCs w:val="24"/>
          <w:highlight w:val="none"/>
        </w:rPr>
        <w:t>的主要原因：</w:t>
      </w:r>
      <w:r>
        <w:rPr>
          <w:rFonts w:hint="eastAsia" w:ascii="宋体" w:hAnsi="宋体" w:cs="宋体"/>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绥阳公司</w:t>
      </w:r>
      <w:r>
        <w:rPr>
          <w:rFonts w:hint="eastAsia" w:ascii="宋体" w:hAnsi="宋体" w:cs="宋体"/>
          <w:b w:val="0"/>
          <w:bCs w:val="0"/>
          <w:color w:val="auto"/>
          <w:kern w:val="0"/>
          <w:sz w:val="24"/>
          <w:szCs w:val="24"/>
          <w:highlight w:val="none"/>
          <w:lang w:val="en-US" w:eastAsia="zh-CN"/>
        </w:rPr>
        <w:t>因铁合金市场低迷，售价降低779.77元/吨，</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增亏2.39</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；二是由于</w:t>
      </w:r>
      <w:r>
        <w:rPr>
          <w:rFonts w:hint="eastAsia" w:ascii="宋体" w:hAnsi="宋体" w:eastAsia="宋体" w:cs="宋体"/>
          <w:b w:val="0"/>
          <w:bCs w:val="0"/>
          <w:color w:val="auto"/>
          <w:kern w:val="0"/>
          <w:sz w:val="24"/>
          <w:szCs w:val="24"/>
          <w:highlight w:val="none"/>
          <w:lang w:val="en-US" w:eastAsia="zh-CN"/>
        </w:rPr>
        <w:t>能发公司</w:t>
      </w:r>
      <w:r>
        <w:rPr>
          <w:rFonts w:hint="eastAsia" w:ascii="宋体" w:hAnsi="宋体" w:cs="宋体"/>
          <w:b w:val="0"/>
          <w:bCs w:val="0"/>
          <w:color w:val="auto"/>
          <w:kern w:val="0"/>
          <w:sz w:val="24"/>
          <w:szCs w:val="24"/>
          <w:highlight w:val="none"/>
          <w:lang w:val="en-US" w:eastAsia="zh-CN"/>
        </w:rPr>
        <w:t>股权转让，贵州金元对债权进行重估，造成暂时性损失2.99</w:t>
      </w:r>
      <w:r>
        <w:rPr>
          <w:rFonts w:hint="eastAsia" w:ascii="宋体" w:hAnsi="宋体" w:eastAsia="宋体" w:cs="宋体"/>
          <w:color w:val="auto"/>
          <w:kern w:val="0"/>
          <w:sz w:val="24"/>
          <w:szCs w:val="24"/>
          <w:highlight w:val="none"/>
          <w:lang w:val="en-US" w:eastAsia="zh-CN" w:bidi="ar-SA"/>
        </w:rPr>
        <w:t>亿元</w:t>
      </w:r>
      <w:r>
        <w:rPr>
          <w:rFonts w:hint="eastAsia" w:ascii="宋体" w:hAnsi="宋体" w:cs="宋体"/>
          <w:color w:val="auto"/>
          <w:kern w:val="0"/>
          <w:sz w:val="24"/>
          <w:szCs w:val="24"/>
          <w:highlight w:val="none"/>
          <w:lang w:val="en-US" w:eastAsia="zh-CN" w:bidi="ar-SA"/>
        </w:rPr>
        <w:t>，待债权收回后逐年转回损失。</w:t>
      </w:r>
      <w:r>
        <w:rPr>
          <w:rFonts w:hint="eastAsia" w:ascii="宋体" w:hAnsi="宋体" w:eastAsia="宋体" w:cs="宋体"/>
          <w:color w:val="auto"/>
          <w:kern w:val="0"/>
          <w:sz w:val="24"/>
          <w:szCs w:val="24"/>
          <w:highlight w:val="none"/>
          <w:lang w:val="en-US" w:eastAsia="zh-CN" w:bidi="ar-SA"/>
        </w:rPr>
        <w:t>基于以上</w:t>
      </w:r>
      <w:r>
        <w:rPr>
          <w:rFonts w:hint="eastAsia" w:ascii="宋体" w:hAnsi="宋体" w:cs="宋体"/>
          <w:color w:val="auto"/>
          <w:kern w:val="0"/>
          <w:sz w:val="24"/>
          <w:szCs w:val="24"/>
          <w:highlight w:val="none"/>
          <w:lang w:val="en-US" w:eastAsia="zh-CN" w:bidi="ar-SA"/>
        </w:rPr>
        <w:t>因素合计减利5.38亿元，</w:t>
      </w:r>
      <w:r>
        <w:rPr>
          <w:rFonts w:hint="eastAsia" w:ascii="宋体" w:hAnsi="宋体" w:eastAsia="宋体" w:cs="宋体"/>
          <w:color w:val="auto"/>
          <w:kern w:val="0"/>
          <w:sz w:val="24"/>
          <w:szCs w:val="24"/>
          <w:highlight w:val="none"/>
          <w:lang w:val="en-US" w:eastAsia="zh-CN" w:bidi="ar-SA"/>
        </w:rPr>
        <w:t>贵州金元2024年千方百计抢抓发电量</w:t>
      </w:r>
      <w:r>
        <w:rPr>
          <w:rFonts w:hint="eastAsia" w:ascii="宋体" w:hAnsi="宋体" w:cs="宋体"/>
          <w:color w:val="auto"/>
          <w:kern w:val="0"/>
          <w:sz w:val="24"/>
          <w:szCs w:val="24"/>
          <w:highlight w:val="none"/>
          <w:lang w:val="en-US" w:eastAsia="zh-CN" w:bidi="ar-SA"/>
        </w:rPr>
        <w:t>、通过压降成本、处置低效无效资产等措施，共计增加营业利润3.84亿元，其中：一是</w:t>
      </w:r>
      <w:r>
        <w:rPr>
          <w:rFonts w:hint="eastAsia" w:ascii="宋体" w:hAnsi="宋体" w:eastAsia="宋体" w:cs="宋体"/>
          <w:i w:val="0"/>
          <w:iCs w:val="0"/>
          <w:caps w:val="0"/>
          <w:color w:val="auto"/>
          <w:spacing w:val="0"/>
          <w:kern w:val="0"/>
          <w:sz w:val="24"/>
          <w:szCs w:val="24"/>
          <w:highlight w:val="none"/>
          <w:shd w:val="clear"/>
          <w:lang w:val="en-US" w:eastAsia="zh-CN"/>
        </w:rPr>
        <w:t>水电板块</w:t>
      </w:r>
      <w:r>
        <w:rPr>
          <w:rFonts w:hint="eastAsia" w:ascii="宋体" w:hAnsi="宋体" w:cs="宋体"/>
          <w:i w:val="0"/>
          <w:iCs w:val="0"/>
          <w:caps w:val="0"/>
          <w:color w:val="auto"/>
          <w:spacing w:val="0"/>
          <w:kern w:val="0"/>
          <w:sz w:val="24"/>
          <w:szCs w:val="24"/>
          <w:highlight w:val="none"/>
          <w:shd w:val="clear"/>
          <w:lang w:val="en-US" w:eastAsia="zh-CN"/>
        </w:rPr>
        <w:t>通过</w:t>
      </w:r>
      <w:r>
        <w:rPr>
          <w:rFonts w:hint="eastAsia" w:ascii="宋体" w:hAnsi="宋体" w:eastAsia="宋体" w:cs="宋体"/>
          <w:i w:val="0"/>
          <w:iCs w:val="0"/>
          <w:caps w:val="0"/>
          <w:color w:val="auto"/>
          <w:spacing w:val="0"/>
          <w:kern w:val="0"/>
          <w:sz w:val="24"/>
          <w:szCs w:val="24"/>
          <w:highlight w:val="none"/>
          <w:shd w:val="clear"/>
          <w:lang w:val="en-US" w:eastAsia="zh-CN"/>
        </w:rPr>
        <w:t>增发电量</w:t>
      </w:r>
      <w:r>
        <w:rPr>
          <w:rFonts w:hint="eastAsia" w:ascii="宋体" w:hAnsi="宋体" w:cs="宋体"/>
          <w:i w:val="0"/>
          <w:iCs w:val="0"/>
          <w:caps w:val="0"/>
          <w:color w:val="auto"/>
          <w:spacing w:val="0"/>
          <w:kern w:val="0"/>
          <w:sz w:val="24"/>
          <w:szCs w:val="24"/>
          <w:highlight w:val="none"/>
          <w:shd w:val="clear"/>
          <w:lang w:val="en-US" w:eastAsia="zh-CN"/>
        </w:rPr>
        <w:t>、</w:t>
      </w:r>
      <w:r>
        <w:rPr>
          <w:rFonts w:hint="eastAsia" w:ascii="宋体" w:hAnsi="宋体" w:eastAsia="宋体" w:cs="宋体"/>
          <w:i w:val="0"/>
          <w:iCs w:val="0"/>
          <w:caps w:val="0"/>
          <w:color w:val="auto"/>
          <w:spacing w:val="0"/>
          <w:kern w:val="0"/>
          <w:sz w:val="24"/>
          <w:szCs w:val="24"/>
          <w:highlight w:val="none"/>
          <w:shd w:val="clear"/>
          <w:lang w:val="en-US" w:eastAsia="zh-CN"/>
        </w:rPr>
        <w:t>控降成本费用，</w:t>
      </w:r>
      <w:r>
        <w:rPr>
          <w:rFonts w:hint="eastAsia" w:ascii="宋体" w:hAnsi="宋体" w:eastAsia="宋体" w:cs="宋体"/>
          <w:b w:val="0"/>
          <w:snapToGrid/>
          <w:color w:val="auto"/>
          <w:kern w:val="0"/>
          <w:sz w:val="24"/>
          <w:szCs w:val="24"/>
          <w:highlight w:val="none"/>
          <w:lang w:val="en-US" w:eastAsia="zh-CN"/>
        </w:rPr>
        <w:t>新能源板块克服市场化交易带来的电价下行，通过控降三项费用、财务费用等措施</w:t>
      </w:r>
      <w:r>
        <w:rPr>
          <w:rFonts w:hint="eastAsia" w:ascii="宋体" w:hAnsi="宋体" w:cs="宋体"/>
          <w:b w:val="0"/>
          <w:snapToGrid/>
          <w:color w:val="auto"/>
          <w:kern w:val="0"/>
          <w:sz w:val="24"/>
          <w:szCs w:val="24"/>
          <w:highlight w:val="none"/>
          <w:lang w:val="en-US" w:eastAsia="zh-CN"/>
        </w:rPr>
        <w:t>，共计提升</w:t>
      </w:r>
      <w:r>
        <w:rPr>
          <w:rFonts w:hint="eastAsia" w:ascii="宋体" w:hAnsi="宋体" w:cs="宋体"/>
          <w:i w:val="0"/>
          <w:iCs w:val="0"/>
          <w:caps w:val="0"/>
          <w:color w:val="auto"/>
          <w:spacing w:val="0"/>
          <w:kern w:val="0"/>
          <w:sz w:val="24"/>
          <w:szCs w:val="24"/>
          <w:highlight w:val="none"/>
          <w:shd w:val="clear"/>
          <w:lang w:val="en-US" w:eastAsia="zh-CN"/>
        </w:rPr>
        <w:t>售电单位利润21.12</w:t>
      </w:r>
      <w:r>
        <w:rPr>
          <w:rFonts w:hint="eastAsia" w:ascii="宋体" w:hAnsi="宋体" w:eastAsia="宋体" w:cs="宋体"/>
          <w:i w:val="0"/>
          <w:iCs w:val="0"/>
          <w:caps w:val="0"/>
          <w:color w:val="auto"/>
          <w:spacing w:val="0"/>
          <w:kern w:val="0"/>
          <w:sz w:val="24"/>
          <w:szCs w:val="24"/>
          <w:highlight w:val="none"/>
          <w:shd w:val="clear"/>
          <w:lang w:val="en-US" w:eastAsia="zh-CN"/>
        </w:rPr>
        <w:t>元/千千瓦时，</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b w:val="0"/>
          <w:bCs w:val="0"/>
          <w:color w:val="auto"/>
          <w:kern w:val="0"/>
          <w:sz w:val="24"/>
          <w:szCs w:val="24"/>
          <w:highlight w:val="none"/>
          <w:lang w:val="en-US" w:eastAsia="zh-CN"/>
        </w:rPr>
        <w:t>净利润</w:t>
      </w:r>
      <w:r>
        <w:rPr>
          <w:rFonts w:hint="eastAsia" w:ascii="宋体" w:hAnsi="宋体" w:cs="宋体"/>
          <w:color w:val="auto"/>
          <w:kern w:val="0"/>
          <w:sz w:val="24"/>
          <w:szCs w:val="24"/>
          <w:highlight w:val="none"/>
          <w:lang w:val="en-US" w:eastAsia="zh-CN" w:bidi="ar-SA"/>
        </w:rPr>
        <w:t>2.54</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snapToGrid/>
          <w:color w:val="auto"/>
          <w:kern w:val="0"/>
          <w:sz w:val="24"/>
          <w:szCs w:val="24"/>
          <w:highlight w:val="none"/>
          <w:lang w:val="en-US" w:eastAsia="zh-CN"/>
        </w:rPr>
        <w:t>二是通过</w:t>
      </w:r>
      <w:r>
        <w:rPr>
          <w:rFonts w:hint="eastAsia" w:ascii="宋体" w:hAnsi="宋体" w:eastAsia="宋体" w:cs="宋体"/>
          <w:b w:val="0"/>
          <w:snapToGrid/>
          <w:color w:val="auto"/>
          <w:kern w:val="0"/>
          <w:sz w:val="24"/>
          <w:szCs w:val="24"/>
          <w:highlight w:val="none"/>
        </w:rPr>
        <w:t>积极开展</w:t>
      </w:r>
      <w:r>
        <w:rPr>
          <w:rFonts w:hint="eastAsia" w:ascii="宋体" w:hAnsi="宋体" w:eastAsia="宋体" w:cs="宋体"/>
          <w:b w:val="0"/>
          <w:snapToGrid/>
          <w:color w:val="auto"/>
          <w:kern w:val="0"/>
          <w:sz w:val="24"/>
          <w:szCs w:val="24"/>
          <w:highlight w:val="none"/>
          <w:lang w:val="en-US" w:eastAsia="zh-CN"/>
        </w:rPr>
        <w:t>小水电</w:t>
      </w:r>
      <w:r>
        <w:rPr>
          <w:rFonts w:hint="eastAsia" w:ascii="宋体" w:hAnsi="宋体" w:eastAsia="宋体" w:cs="宋体"/>
          <w:b w:val="0"/>
          <w:snapToGrid/>
          <w:color w:val="auto"/>
          <w:kern w:val="0"/>
          <w:sz w:val="24"/>
          <w:szCs w:val="24"/>
          <w:highlight w:val="none"/>
        </w:rPr>
        <w:t>资产处置</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snapToGrid/>
          <w:color w:val="auto"/>
          <w:kern w:val="0"/>
          <w:sz w:val="24"/>
          <w:szCs w:val="24"/>
          <w:highlight w:val="none"/>
          <w:lang w:val="en-US" w:eastAsia="zh-CN"/>
        </w:rPr>
        <w:t>并</w:t>
      </w:r>
      <w:r>
        <w:rPr>
          <w:rFonts w:hint="eastAsia" w:ascii="宋体" w:hAnsi="宋体" w:eastAsia="宋体" w:cs="宋体"/>
          <w:b w:val="0"/>
          <w:snapToGrid/>
          <w:color w:val="auto"/>
          <w:kern w:val="0"/>
          <w:sz w:val="24"/>
          <w:szCs w:val="24"/>
          <w:highlight w:val="none"/>
        </w:rPr>
        <w:t>与政府协商</w:t>
      </w:r>
      <w:r>
        <w:rPr>
          <w:rFonts w:hint="eastAsia" w:ascii="宋体" w:hAnsi="宋体" w:eastAsia="宋体" w:cs="宋体"/>
          <w:b w:val="0"/>
          <w:snapToGrid/>
          <w:color w:val="auto"/>
          <w:kern w:val="0"/>
          <w:sz w:val="24"/>
          <w:szCs w:val="24"/>
          <w:highlight w:val="none"/>
          <w:lang w:val="en-US" w:eastAsia="zh-CN"/>
        </w:rPr>
        <w:t>获取</w:t>
      </w:r>
      <w:r>
        <w:rPr>
          <w:rFonts w:hint="eastAsia" w:ascii="宋体" w:hAnsi="宋体" w:eastAsia="宋体" w:cs="宋体"/>
          <w:b w:val="0"/>
          <w:bCs w:val="0"/>
          <w:color w:val="auto"/>
          <w:kern w:val="0"/>
          <w:sz w:val="24"/>
          <w:szCs w:val="24"/>
          <w:highlight w:val="none"/>
          <w:lang w:val="en-US" w:eastAsia="zh-CN"/>
        </w:rPr>
        <w:t>明英电站赔偿款</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Cs w:val="0"/>
          <w:color w:val="auto"/>
          <w:highlight w:val="none"/>
        </w:rPr>
      </w:pPr>
      <w:r>
        <w:rPr>
          <w:rFonts w:hint="eastAsia" w:ascii="宋体" w:hAnsi="宋体" w:cs="宋体"/>
          <w:b w:val="0"/>
          <w:bCs w:val="0"/>
          <w:color w:val="auto"/>
          <w:sz w:val="24"/>
          <w:szCs w:val="24"/>
          <w:highlight w:val="none"/>
        </w:rPr>
        <w:t>(2)收入</w:t>
      </w:r>
      <w:r>
        <w:rPr>
          <w:rFonts w:hint="eastAsia" w:ascii="宋体" w:hAnsi="宋体" w:cs="宋体"/>
          <w:b w:val="0"/>
          <w:bCs w:val="0"/>
          <w:color w:val="auto"/>
          <w:sz w:val="24"/>
          <w:szCs w:val="24"/>
          <w:highlight w:val="none"/>
          <w:lang w:eastAsia="zh-CN"/>
        </w:rPr>
        <w:t>、成本</w:t>
      </w:r>
      <w:r>
        <w:rPr>
          <w:rFonts w:hint="eastAsia" w:ascii="宋体" w:hAnsi="宋体" w:cs="宋体"/>
          <w:b w:val="0"/>
          <w:bCs w:val="0"/>
          <w:color w:val="auto"/>
          <w:sz w:val="24"/>
          <w:szCs w:val="24"/>
          <w:highlight w:val="none"/>
        </w:rPr>
        <w:t>构成</w:t>
      </w:r>
    </w:p>
    <w:p>
      <w:pPr>
        <w:spacing w:line="360" w:lineRule="auto"/>
        <w:jc w:val="right"/>
        <w:rPr>
          <w:rFonts w:hint="eastAsia" w:ascii="宋体" w:hAnsi="宋体" w:cs="宋体"/>
          <w:color w:val="auto"/>
          <w:sz w:val="24"/>
          <w:szCs w:val="24"/>
          <w:highlight w:val="none"/>
        </w:rPr>
      </w:pPr>
      <w:r>
        <w:rPr>
          <w:rFonts w:hint="eastAsia" w:ascii="宋体" w:hAnsi="宋体" w:cs="宋体"/>
          <w:color w:val="auto"/>
          <w:highlight w:val="none"/>
        </w:rPr>
        <w:t>单位：元</w:t>
      </w:r>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2225"/>
        <w:gridCol w:w="2133"/>
        <w:gridCol w:w="21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项目</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本期金额</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上期金额</w:t>
            </w:r>
          </w:p>
        </w:tc>
        <w:tc>
          <w:tcPr>
            <w:tcW w:w="2133" w:type="dxa"/>
            <w:tcBorders>
              <w:top w:val="single" w:color="auto" w:sz="4" w:space="0"/>
              <w:left w:val="single" w:color="auto" w:sz="4" w:space="0"/>
              <w:bottom w:val="single" w:color="auto" w:sz="4" w:space="0"/>
              <w:right w:val="single" w:color="auto" w:sz="4" w:space="0"/>
            </w:tcBorders>
            <w:noWrap w:val="0"/>
            <w:vAlign w:val="top"/>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增减</w:t>
            </w:r>
            <w:r>
              <w:rPr>
                <w:rFonts w:hint="eastAsia" w:ascii="宋体" w:hAnsi="宋体" w:cs="宋体"/>
                <w:b w:val="0"/>
                <w:bCs w:val="0"/>
                <w:color w:val="auto"/>
                <w:kern w:val="0"/>
                <w:sz w:val="20"/>
                <w:szCs w:val="20"/>
                <w:highlight w:val="none"/>
                <w:lang w:eastAsia="zh-CN"/>
              </w:rPr>
              <w:t>变动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主营业务收入</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15,338,363,901.00</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16,216,652,633.18</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其他业务收入</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982,641,978.66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1,004,588,293.56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主营业务成本</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13,922,336,128.69</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13,598,972,464.36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2.38%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其他业务成本</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862,235,433.87</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915,242,049.31</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-5.79%</w:t>
            </w:r>
          </w:p>
        </w:tc>
      </w:tr>
    </w:tbl>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项目重大变动原因：</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1 \* GB3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cs="宋体"/>
          <w:bCs w:val="0"/>
          <w:color w:val="auto"/>
          <w:kern w:val="0"/>
          <w:sz w:val="24"/>
          <w:szCs w:val="24"/>
          <w:highlight w:val="none"/>
          <w:lang w:val="en-US" w:eastAsia="zh-CN" w:bidi="ar"/>
        </w:rPr>
        <w:t>主营</w:t>
      </w:r>
      <w:r>
        <w:rPr>
          <w:rFonts w:hint="eastAsia" w:ascii="宋体" w:hAnsi="宋体" w:eastAsia="宋体" w:cs="宋体"/>
          <w:bCs/>
          <w:color w:val="auto"/>
          <w:sz w:val="24"/>
          <w:szCs w:val="24"/>
          <w:highlight w:val="none"/>
        </w:rPr>
        <w:t>业务收入</w:t>
      </w:r>
    </w:p>
    <w:p>
      <w:pPr>
        <w:pStyle w:val="5"/>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eastAsia="zh-CN" w:bidi="ar"/>
        </w:rPr>
        <w:t>公司</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主营</w:t>
      </w:r>
      <w:r>
        <w:rPr>
          <w:rFonts w:hint="eastAsia" w:ascii="宋体" w:hAnsi="宋体" w:cs="宋体"/>
          <w:bCs/>
          <w:color w:val="auto"/>
          <w:sz w:val="24"/>
          <w:szCs w:val="24"/>
          <w:highlight w:val="none"/>
        </w:rPr>
        <w:t>业务收入</w:t>
      </w:r>
      <w:r>
        <w:rPr>
          <w:rFonts w:hint="eastAsia" w:ascii="宋体" w:hAnsi="宋体" w:eastAsia="宋体" w:cs="宋体"/>
          <w:bCs/>
          <w:i w:val="0"/>
          <w:iCs w:val="0"/>
          <w:color w:val="auto"/>
          <w:kern w:val="2"/>
          <w:sz w:val="24"/>
          <w:szCs w:val="24"/>
          <w:highlight w:val="none"/>
          <w:u w:val="none"/>
          <w:lang w:val="en-US" w:eastAsia="zh-CN" w:bidi="ar"/>
        </w:rPr>
        <w:t>15,338,363,901.00</w:t>
      </w:r>
      <w:r>
        <w:rPr>
          <w:rFonts w:hint="eastAsia" w:ascii="宋体" w:hAnsi="宋体" w:cs="宋体"/>
          <w:color w:val="auto"/>
          <w:sz w:val="24"/>
          <w:szCs w:val="24"/>
          <w:highlight w:val="none"/>
        </w:rPr>
        <w:t>元，同比</w:t>
      </w:r>
      <w:r>
        <w:rPr>
          <w:rFonts w:hint="eastAsia" w:ascii="宋体" w:hAnsi="宋体" w:cs="宋体"/>
          <w:color w:val="auto"/>
          <w:sz w:val="24"/>
          <w:szCs w:val="24"/>
          <w:highlight w:val="none"/>
          <w:lang w:val="en-US" w:eastAsia="zh-CN"/>
        </w:rPr>
        <w:t>减少</w:t>
      </w:r>
      <w:r>
        <w:rPr>
          <w:rFonts w:hint="eastAsia" w:ascii="宋体" w:hAnsi="宋体" w:cs="宋体"/>
          <w:color w:val="auto"/>
          <w:sz w:val="24"/>
          <w:szCs w:val="24"/>
          <w:highlight w:val="none"/>
        </w:rPr>
        <w:t>878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288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732.18元，</w:t>
      </w:r>
      <w:r>
        <w:rPr>
          <w:rFonts w:hint="eastAsia" w:ascii="宋体" w:hAnsi="宋体" w:cs="宋体"/>
          <w:color w:val="auto"/>
          <w:sz w:val="24"/>
          <w:szCs w:val="24"/>
          <w:highlight w:val="none"/>
          <w:lang w:val="en-US" w:eastAsia="zh-CN"/>
        </w:rPr>
        <w:t>降</w:t>
      </w:r>
      <w:r>
        <w:rPr>
          <w:rFonts w:hint="eastAsia" w:ascii="宋体" w:hAnsi="宋体" w:cs="宋体"/>
          <w:color w:val="auto"/>
          <w:sz w:val="24"/>
          <w:szCs w:val="24"/>
          <w:highlight w:val="none"/>
          <w:lang w:eastAsia="zh-CN"/>
        </w:rPr>
        <w:t>幅</w:t>
      </w:r>
      <w:r>
        <w:rPr>
          <w:rFonts w:hint="eastAsia" w:ascii="宋体" w:hAnsi="宋体" w:cs="宋体"/>
          <w:color w:val="auto"/>
          <w:sz w:val="24"/>
          <w:szCs w:val="24"/>
          <w:highlight w:val="none"/>
          <w:lang w:val="en-US" w:eastAsia="zh-CN"/>
        </w:rPr>
        <w:t>5.42%</w:t>
      </w:r>
      <w:r>
        <w:rPr>
          <w:rFonts w:hint="eastAsia" w:ascii="宋体" w:hAnsi="宋体" w:cs="宋体"/>
          <w:color w:val="auto"/>
          <w:sz w:val="24"/>
          <w:szCs w:val="24"/>
          <w:highlight w:val="none"/>
        </w:rPr>
        <w:t>。变动的主要原因：</w:t>
      </w:r>
      <w:r>
        <w:rPr>
          <w:rFonts w:hint="eastAsia" w:ascii="宋体" w:hAnsi="宋体" w:cs="宋体"/>
          <w:color w:val="auto"/>
          <w:sz w:val="24"/>
          <w:szCs w:val="24"/>
          <w:highlight w:val="none"/>
          <w:lang w:val="en-US" w:eastAsia="zh-CN"/>
        </w:rPr>
        <w:t>火电板块负荷率同比下降</w:t>
      </w:r>
      <w:r>
        <w:rPr>
          <w:rFonts w:hint="eastAsia" w:ascii="宋体" w:hAnsi="宋体" w:cs="宋体"/>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2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bidi="ar"/>
        </w:rPr>
        <w:fldChar w:fldCharType="end"/>
      </w:r>
      <w:r>
        <w:rPr>
          <w:rFonts w:hint="eastAsia" w:ascii="宋体" w:hAnsi="宋体" w:cs="宋体"/>
          <w:bCs w:val="0"/>
          <w:color w:val="auto"/>
          <w:kern w:val="0"/>
          <w:sz w:val="24"/>
          <w:szCs w:val="24"/>
          <w:highlight w:val="none"/>
          <w:lang w:val="en-US" w:eastAsia="zh-CN" w:bidi="ar"/>
        </w:rPr>
        <w:t>主营</w:t>
      </w:r>
      <w:r>
        <w:rPr>
          <w:rFonts w:hint="eastAsia" w:ascii="宋体" w:hAnsi="宋体" w:eastAsia="宋体" w:cs="宋体"/>
          <w:bCs/>
          <w:color w:val="auto"/>
          <w:sz w:val="24"/>
          <w:szCs w:val="24"/>
          <w:highlight w:val="none"/>
        </w:rPr>
        <w:t>业务成本</w:t>
      </w:r>
    </w:p>
    <w:p>
      <w:pPr>
        <w:pStyle w:val="5"/>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color w:val="auto"/>
          <w:sz w:val="24"/>
          <w:szCs w:val="24"/>
          <w:highlight w:val="none"/>
          <w:shd w:val="clear"/>
          <w:lang w:val="en-US" w:eastAsia="zh-CN"/>
        </w:rPr>
      </w:pPr>
      <w:r>
        <w:rPr>
          <w:rFonts w:hint="eastAsia" w:ascii="宋体" w:hAnsi="宋体" w:eastAsia="宋体" w:cs="宋体"/>
          <w:bCs/>
          <w:color w:val="auto"/>
          <w:kern w:val="2"/>
          <w:sz w:val="24"/>
          <w:szCs w:val="24"/>
          <w:highlight w:val="none"/>
          <w:lang w:eastAsia="zh-CN" w:bidi="ar"/>
        </w:rPr>
        <w:t>公司</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kern w:val="2"/>
          <w:sz w:val="24"/>
          <w:szCs w:val="24"/>
          <w:highlight w:val="none"/>
          <w:lang w:val="en-US" w:eastAsia="zh-CN" w:bidi="ar"/>
        </w:rPr>
        <w:t>主营</w:t>
      </w:r>
      <w:r>
        <w:rPr>
          <w:rFonts w:hint="eastAsia" w:ascii="宋体" w:hAnsi="宋体" w:eastAsia="宋体" w:cs="宋体"/>
          <w:bCs/>
          <w:color w:val="auto"/>
          <w:sz w:val="24"/>
          <w:szCs w:val="24"/>
          <w:highlight w:val="none"/>
        </w:rPr>
        <w:t>业务成本</w:t>
      </w:r>
      <w:r>
        <w:rPr>
          <w:rFonts w:hint="eastAsia" w:ascii="宋体" w:hAnsi="宋体" w:eastAsia="宋体" w:cs="宋体"/>
          <w:bCs/>
          <w:i w:val="0"/>
          <w:iCs w:val="0"/>
          <w:color w:val="auto"/>
          <w:kern w:val="2"/>
          <w:sz w:val="24"/>
          <w:szCs w:val="24"/>
          <w:highlight w:val="none"/>
          <w:u w:val="none"/>
          <w:lang w:val="en-US" w:eastAsia="zh-CN" w:bidi="ar"/>
        </w:rPr>
        <w:t>13,922,336,128.69</w:t>
      </w:r>
      <w:r>
        <w:rPr>
          <w:rFonts w:hint="eastAsia" w:ascii="宋体" w:hAnsi="宋体" w:cs="宋体"/>
          <w:bCs/>
          <w:color w:val="auto"/>
          <w:sz w:val="24"/>
          <w:szCs w:val="24"/>
          <w:highlight w:val="none"/>
        </w:rPr>
        <w:t>元。同比</w:t>
      </w:r>
      <w:r>
        <w:rPr>
          <w:rFonts w:hint="eastAsia" w:ascii="宋体" w:hAnsi="宋体" w:cs="宋体"/>
          <w:bCs/>
          <w:color w:val="auto"/>
          <w:sz w:val="24"/>
          <w:szCs w:val="24"/>
          <w:highlight w:val="none"/>
          <w:lang w:val="en-US" w:eastAsia="zh-CN"/>
        </w:rPr>
        <w:t>增加</w:t>
      </w:r>
      <w:r>
        <w:rPr>
          <w:rFonts w:hint="eastAsia" w:ascii="宋体" w:hAnsi="宋体" w:cs="宋体"/>
          <w:bCs/>
          <w:color w:val="auto"/>
          <w:sz w:val="24"/>
          <w:szCs w:val="24"/>
          <w:highlight w:val="none"/>
        </w:rPr>
        <w:t>323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363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664.33元，</w:t>
      </w:r>
      <w:r>
        <w:rPr>
          <w:rFonts w:hint="eastAsia" w:ascii="宋体" w:hAnsi="宋体" w:cs="宋体"/>
          <w:bCs/>
          <w:color w:val="auto"/>
          <w:sz w:val="24"/>
          <w:szCs w:val="24"/>
          <w:highlight w:val="none"/>
          <w:lang w:val="en-US" w:eastAsia="zh-CN"/>
        </w:rPr>
        <w:t>增</w:t>
      </w:r>
      <w:r>
        <w:rPr>
          <w:rFonts w:hint="eastAsia" w:ascii="宋体" w:hAnsi="宋体" w:cs="宋体"/>
          <w:bCs/>
          <w:color w:val="auto"/>
          <w:sz w:val="24"/>
          <w:szCs w:val="24"/>
          <w:highlight w:val="none"/>
          <w:lang w:eastAsia="zh-CN"/>
        </w:rPr>
        <w:t>幅</w:t>
      </w:r>
      <w:r>
        <w:rPr>
          <w:rFonts w:hint="eastAsia" w:ascii="宋体" w:hAnsi="宋体" w:cs="宋体"/>
          <w:bCs/>
          <w:color w:val="auto"/>
          <w:kern w:val="2"/>
          <w:sz w:val="24"/>
          <w:szCs w:val="24"/>
          <w:highlight w:val="none"/>
          <w:lang w:val="en-US" w:eastAsia="zh-CN" w:bidi="ar"/>
        </w:rPr>
        <w:t>2.38%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shd w:val="clear"/>
        </w:rPr>
        <w:t>变动的主要原因：</w:t>
      </w:r>
      <w:r>
        <w:rPr>
          <w:rFonts w:hint="eastAsia" w:ascii="宋体" w:hAnsi="宋体" w:eastAsia="宋体" w:cs="宋体"/>
          <w:b w:val="0"/>
          <w:bCs/>
          <w:color w:val="auto"/>
          <w:kern w:val="2"/>
          <w:sz w:val="24"/>
          <w:szCs w:val="24"/>
          <w:highlight w:val="none"/>
          <w:u w:val="none"/>
          <w:lang w:val="en-US" w:eastAsia="zh-CN" w:bidi="ar"/>
        </w:rPr>
        <w:t>贵州能源对能发燃料公司定向增发，在控股权转让过程中，合作双方对涉及会计估计差异及前期煤炭销售热值差异进行调整，</w:t>
      </w:r>
      <w:r>
        <w:rPr>
          <w:rFonts w:hint="eastAsia" w:ascii="宋体" w:hAnsi="宋体" w:eastAsia="宋体" w:cs="宋体"/>
          <w:bCs/>
          <w:color w:val="auto"/>
          <w:kern w:val="2"/>
          <w:sz w:val="24"/>
          <w:szCs w:val="24"/>
          <w:highlight w:val="none"/>
          <w:u w:val="none"/>
          <w:lang w:val="en-US" w:eastAsia="zh-CN" w:bidi="ar"/>
        </w:rPr>
        <w:t>营业成本同比增加。</w:t>
      </w:r>
    </w:p>
    <w:p>
      <w:pPr>
        <w:pStyle w:val="15"/>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3.现金流量分析</w:t>
      </w:r>
    </w:p>
    <w:p>
      <w:pPr>
        <w:spacing w:line="360" w:lineRule="auto"/>
        <w:jc w:val="right"/>
        <w:rPr>
          <w:rFonts w:hint="eastAsia" w:ascii="宋体" w:hAnsi="宋体" w:cs="宋体"/>
          <w:color w:val="auto"/>
          <w:highlight w:val="none"/>
        </w:rPr>
      </w:pPr>
      <w:r>
        <w:rPr>
          <w:rFonts w:hint="eastAsia" w:ascii="宋体" w:hAnsi="宋体" w:cs="宋体"/>
          <w:color w:val="auto"/>
          <w:highlight w:val="none"/>
        </w:rPr>
        <w:t>单位：元</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2183"/>
        <w:gridCol w:w="2033"/>
        <w:gridCol w:w="1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top w:val="single" w:color="auto" w:sz="4" w:space="0"/>
              <w:left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项目</w:t>
            </w:r>
          </w:p>
        </w:tc>
        <w:tc>
          <w:tcPr>
            <w:tcW w:w="2183" w:type="dxa"/>
            <w:tcBorders>
              <w:top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本期金额</w:t>
            </w:r>
          </w:p>
        </w:tc>
        <w:tc>
          <w:tcPr>
            <w:tcW w:w="2033" w:type="dxa"/>
            <w:tcBorders>
              <w:top w:val="single" w:color="auto" w:sz="4" w:space="0"/>
            </w:tcBorders>
            <w:noWrap w:val="0"/>
            <w:vAlign w:val="center"/>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上期金额</w:t>
            </w:r>
          </w:p>
        </w:tc>
        <w:tc>
          <w:tcPr>
            <w:tcW w:w="1290" w:type="dxa"/>
            <w:tcBorders>
              <w:top w:val="single" w:color="auto" w:sz="4" w:space="0"/>
              <w:right w:val="single" w:color="auto" w:sz="4" w:space="0"/>
            </w:tcBorders>
            <w:noWrap w:val="0"/>
            <w:vAlign w:val="top"/>
          </w:tcPr>
          <w:p>
            <w:pPr>
              <w:tabs>
                <w:tab w:val="left" w:pos="5140"/>
              </w:tabs>
              <w:spacing w:line="360" w:lineRule="auto"/>
              <w:jc w:val="center"/>
              <w:rPr>
                <w:rFonts w:hint="eastAsia" w:ascii="宋体" w:hAnsi="宋体" w:cs="宋体"/>
                <w:b w:val="0"/>
                <w:bCs w:val="0"/>
                <w:color w:val="auto"/>
                <w:kern w:val="0"/>
                <w:sz w:val="20"/>
                <w:szCs w:val="20"/>
                <w:highlight w:val="none"/>
              </w:rPr>
            </w:pPr>
            <w:r>
              <w:rPr>
                <w:rFonts w:hint="eastAsia" w:ascii="宋体" w:hAnsi="宋体" w:cs="宋体"/>
                <w:b w:val="0"/>
                <w:bCs w:val="0"/>
                <w:color w:val="auto"/>
                <w:kern w:val="0"/>
                <w:sz w:val="20"/>
                <w:szCs w:val="20"/>
                <w:highlight w:val="none"/>
              </w:rPr>
              <w:t>增减</w:t>
            </w:r>
            <w:r>
              <w:rPr>
                <w:rFonts w:hint="eastAsia" w:ascii="宋体" w:hAnsi="宋体" w:cs="宋体"/>
                <w:b w:val="0"/>
                <w:bCs w:val="0"/>
                <w:color w:val="auto"/>
                <w:kern w:val="0"/>
                <w:sz w:val="20"/>
                <w:szCs w:val="20"/>
                <w:highlight w:val="none"/>
                <w:lang w:eastAsia="zh-CN"/>
              </w:rPr>
              <w:t>变动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经营活动产生的现金流量净额</w:t>
            </w:r>
          </w:p>
        </w:tc>
        <w:tc>
          <w:tcPr>
            <w:tcW w:w="2183" w:type="dxa"/>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5,190,784,702.52</w:t>
            </w:r>
          </w:p>
        </w:tc>
        <w:tc>
          <w:tcPr>
            <w:tcW w:w="2033" w:type="dxa"/>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3,523,385,554.48</w:t>
            </w:r>
          </w:p>
        </w:tc>
        <w:tc>
          <w:tcPr>
            <w:tcW w:w="1290" w:type="dxa"/>
            <w:tcBorders>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47.32%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投资活动产生的现金流量净额</w:t>
            </w:r>
          </w:p>
        </w:tc>
        <w:tc>
          <w:tcPr>
            <w:tcW w:w="2183" w:type="dxa"/>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-5,587,553,763.03</w:t>
            </w:r>
          </w:p>
        </w:tc>
        <w:tc>
          <w:tcPr>
            <w:tcW w:w="2033" w:type="dxa"/>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-7,018,623,832.53</w:t>
            </w:r>
          </w:p>
        </w:tc>
        <w:tc>
          <w:tcPr>
            <w:tcW w:w="1290" w:type="dxa"/>
            <w:tcBorders>
              <w:right w:val="single" w:color="auto" w:sz="4" w:space="0"/>
            </w:tcBorders>
            <w:noWrap w:val="0"/>
            <w:vAlign w:val="top"/>
          </w:tcPr>
          <w:p>
            <w:pPr>
              <w:keepNext w:val="0"/>
              <w:keepLines w:val="0"/>
              <w:widowControl/>
              <w:suppressLineNumbers w:val="0"/>
              <w:jc w:val="right"/>
              <w:textAlignment w:val="top"/>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highlight w:val="none"/>
                <w:u w:val="none"/>
                <w:lang w:val="en-US" w:eastAsia="zh-CN" w:bidi="ar"/>
              </w:rPr>
            </w:pPr>
            <w:bookmarkStart w:id="34" w:name="OLE_LINK1" w:colFirst="1" w:colLast="2"/>
            <w:r>
              <w:rPr>
                <w:rFonts w:hint="eastAsia" w:ascii="宋体" w:hAnsi="宋体" w:eastAsia="宋体" w:cs="宋体"/>
                <w:i w:val="0"/>
                <w:color w:val="auto"/>
                <w:kern w:val="0"/>
                <w:sz w:val="20"/>
                <w:szCs w:val="20"/>
                <w:highlight w:val="none"/>
                <w:u w:val="none"/>
                <w:lang w:val="en-US" w:eastAsia="zh-CN" w:bidi="ar"/>
              </w:rPr>
              <w:t>筹资活动产生的现金流量净额</w:t>
            </w:r>
          </w:p>
        </w:tc>
        <w:tc>
          <w:tcPr>
            <w:tcW w:w="2183" w:type="dxa"/>
            <w:tcBorders>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913,678,994.29</w:t>
            </w:r>
          </w:p>
        </w:tc>
        <w:tc>
          <w:tcPr>
            <w:tcW w:w="2033" w:type="dxa"/>
            <w:tcBorders>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1,044,180,158.89</w:t>
            </w:r>
          </w:p>
        </w:tc>
        <w:tc>
          <w:tcPr>
            <w:tcW w:w="1290" w:type="dxa"/>
            <w:tcBorders>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-12.50%</w:t>
            </w:r>
          </w:p>
        </w:tc>
      </w:tr>
      <w:bookmarkEnd w:id="34"/>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项目重大变动原因：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经营活动产生的现金流量净额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公司202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经营活动产生的现金流量净额</w:t>
      </w:r>
      <w:r>
        <w:rPr>
          <w:rFonts w:hint="eastAsia" w:ascii="宋体" w:hAnsi="宋体" w:eastAsia="宋体" w:cs="宋体"/>
          <w:i w:val="0"/>
          <w:iCs w:val="0"/>
          <w:color w:val="auto"/>
          <w:kern w:val="0"/>
          <w:sz w:val="24"/>
          <w:szCs w:val="24"/>
          <w:highlight w:val="none"/>
          <w:u w:val="none"/>
          <w:lang w:val="en-US" w:eastAsia="zh-CN" w:bidi="ar"/>
        </w:rPr>
        <w:t>5,190,784,702.52</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 xml:space="preserve"> 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667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399</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148.04</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7.32</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sz w:val="24"/>
          <w:szCs w:val="24"/>
          <w:highlight w:val="none"/>
        </w:rPr>
        <w:t>报告期内购买商品、接受劳务支付的现金同比减少。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筹资活动产生的现金流量净额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公司202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筹资活动产生的现金流量净额</w:t>
      </w:r>
      <w:r>
        <w:rPr>
          <w:rFonts w:hint="eastAsia" w:ascii="宋体" w:hAnsi="宋体" w:cs="宋体"/>
          <w:color w:val="auto"/>
          <w:kern w:val="0"/>
          <w:sz w:val="20"/>
          <w:szCs w:val="20"/>
          <w:highlight w:val="none"/>
          <w:u w:val="none"/>
          <w:lang w:bidi="ar"/>
        </w:rPr>
        <w:t>913,678,994.29</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减少130,501,164.6</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12.5</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kern w:val="0"/>
          <w:sz w:val="24"/>
          <w:szCs w:val="24"/>
          <w:highlight w:val="none"/>
          <w:lang w:val="en-US" w:eastAsia="zh-CN" w:bidi="ar"/>
        </w:rPr>
        <w:t>2024年债务优化，融资规模下降。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（三）投资状况分析</w:t>
      </w:r>
    </w:p>
    <w:p>
      <w:pPr>
        <w:keepNext w:val="0"/>
        <w:keepLines w:val="0"/>
        <w:pageBreakBefore w:val="0"/>
        <w:widowControl w:val="0"/>
        <w:numPr>
          <w:ilvl w:val="0"/>
          <w:numId w:val="0"/>
        </w:numPr>
        <w:tabs>
          <w:tab w:val="left" w:pos="714"/>
          <w:tab w:val="left" w:pos="850"/>
        </w:tabs>
        <w:kinsoku/>
        <w:wordWrap/>
        <w:overflowPunct/>
        <w:topLinePunct w:val="0"/>
        <w:autoSpaceDE/>
        <w:autoSpaceDN/>
        <w:bidi w:val="0"/>
        <w:adjustRightInd w:val="0"/>
        <w:snapToGrid w:val="0"/>
        <w:spacing w:line="480" w:lineRule="exact"/>
        <w:ind w:firstLine="480" w:firstLineChars="200"/>
        <w:textAlignment w:val="auto"/>
        <w:outlineLvl w:val="1"/>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1.控股资企业情况</w:t>
      </w:r>
    </w:p>
    <w:tbl>
      <w:tblPr>
        <w:tblStyle w:val="22"/>
        <w:tblW w:w="10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3"/>
        <w:gridCol w:w="1554"/>
        <w:gridCol w:w="1361"/>
        <w:gridCol w:w="132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被投资单位</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投资成本</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期初余额</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期末余额</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减值准备期末余额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lang w:val="en-US" w:eastAsia="zh-CN"/>
              </w:rPr>
            </w:pPr>
            <w:r>
              <w:rPr>
                <w:rFonts w:hint="eastAsia" w:ascii="Times New Roman" w:hAnsi="Times New Roman" w:eastAsia="宋体" w:cs="Times New Roman"/>
                <w:i w:val="0"/>
                <w:iCs w:val="0"/>
                <w:color w:val="auto"/>
                <w:sz w:val="13"/>
                <w:szCs w:val="13"/>
                <w:highlight w:val="none"/>
                <w:u w:val="none"/>
                <w:lang w:val="en-US" w:eastAsia="zh-CN"/>
              </w:rPr>
              <w:t>控股企业合计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17,679,327,120.49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17,301,063,928.00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17,158,670,500.42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3,337,613,581.40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国家电投集团贵州金元绥阳产业有限公司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4,049,049,173.89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3,700,785,981.40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3,700,785,981.40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3,337,613,581.40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贵州中水能源股份有限公司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3,328,045,015.63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3,328,045,015.63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3,328,045,015.63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贵州西电电力股份有限公司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3,107,631,627.26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3,107,631,627.26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3,107,631,627.26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国家电投集团贵州金元威宁能源股份有限公司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2,395,000,136.00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2,395,000,136.00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3,072,599,203.07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融和东能（嘉兴）新能源投资合伙企业（有限合伙）</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1,360,655,428.24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1,360,655,428.24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1,360,655,428.24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贵州元龙综合能源产业服务有限公司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974,372,574.76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974,372,574.76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974,372,574.76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贵州金元绿链物流开发有限公司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700,000,000.00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700,000,000.00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700,000,000.00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贵州西能电力建设有限公司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674,580,670.06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674,580,670.06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674,580,670.06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贵州金元智慧能源有限公司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210,000,000.00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210,000,000.00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210,000,000.00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贵州能发新能源开发有限公司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30,000,000.00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30,000,000.00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贵州能发电力燃料开发有限公司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849,992,494.65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849,992,494.65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auto"/>
                <w:sz w:val="13"/>
                <w:szCs w:val="13"/>
                <w:highlight w:val="none"/>
                <w:u w:val="none"/>
              </w:rPr>
            </w:pPr>
          </w:p>
        </w:tc>
      </w:tr>
    </w:tbl>
    <w:p>
      <w:pPr>
        <w:pStyle w:val="15"/>
        <w:rPr>
          <w:rFonts w:hint="eastAsia"/>
          <w:color w:val="auto"/>
          <w:highlight w:val="none"/>
          <w:lang w:val="en-US" w:eastAsia="zh-CN"/>
        </w:rPr>
      </w:pPr>
    </w:p>
    <w:p>
      <w:pPr>
        <w:keepNext w:val="0"/>
        <w:keepLines w:val="0"/>
        <w:pageBreakBefore w:val="0"/>
        <w:widowControl w:val="0"/>
        <w:numPr>
          <w:ilvl w:val="0"/>
          <w:numId w:val="0"/>
        </w:numPr>
        <w:tabs>
          <w:tab w:val="left" w:pos="714"/>
          <w:tab w:val="left" w:pos="850"/>
        </w:tabs>
        <w:kinsoku/>
        <w:wordWrap/>
        <w:overflowPunct/>
        <w:topLinePunct w:val="0"/>
        <w:autoSpaceDE/>
        <w:autoSpaceDN/>
        <w:bidi w:val="0"/>
        <w:adjustRightInd w:val="0"/>
        <w:snapToGrid w:val="0"/>
        <w:spacing w:line="400" w:lineRule="exact"/>
        <w:ind w:firstLine="480" w:firstLineChars="200"/>
        <w:jc w:val="left"/>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2.重要非全资资企业情况</w:t>
      </w:r>
    </w:p>
    <w:p>
      <w:pPr>
        <w:pStyle w:val="15"/>
        <w:keepNext w:val="0"/>
        <w:keepLines w:val="0"/>
        <w:pageBreakBefore w:val="0"/>
        <w:kinsoku/>
        <w:wordWrap/>
        <w:overflowPunct/>
        <w:topLinePunct w:val="0"/>
        <w:autoSpaceDE/>
        <w:autoSpaceDN/>
        <w:bidi w:val="0"/>
        <w:snapToGrid w:val="0"/>
        <w:spacing w:line="400" w:lineRule="exact"/>
        <w:jc w:val="right"/>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单位：</w:t>
      </w:r>
      <w:r>
        <w:rPr>
          <w:rFonts w:hint="eastAsia" w:ascii="宋体" w:hAnsi="宋体" w:cs="宋体"/>
          <w:b w:val="0"/>
          <w:bCs/>
          <w:color w:val="auto"/>
          <w:kern w:val="2"/>
          <w:sz w:val="24"/>
          <w:szCs w:val="24"/>
          <w:highlight w:val="none"/>
          <w:lang w:val="en-US" w:eastAsia="zh-CN" w:bidi="ar-SA"/>
        </w:rPr>
        <w:t>万</w:t>
      </w:r>
      <w:r>
        <w:rPr>
          <w:rFonts w:hint="eastAsia" w:ascii="宋体" w:hAnsi="宋体" w:eastAsia="宋体" w:cs="宋体"/>
          <w:b w:val="0"/>
          <w:bCs/>
          <w:color w:val="auto"/>
          <w:kern w:val="2"/>
          <w:sz w:val="24"/>
          <w:szCs w:val="24"/>
          <w:highlight w:val="none"/>
          <w:lang w:val="en-US" w:eastAsia="zh-CN" w:bidi="ar-SA"/>
        </w:rPr>
        <w:t>元</w:t>
      </w:r>
    </w:p>
    <w:tbl>
      <w:tblPr>
        <w:tblStyle w:val="22"/>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74"/>
        <w:gridCol w:w="1109"/>
        <w:gridCol w:w="1843"/>
        <w:gridCol w:w="9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trPr>
        <w:tc>
          <w:tcPr>
            <w:tcW w:w="503"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序号</w:t>
            </w:r>
          </w:p>
        </w:tc>
        <w:tc>
          <w:tcPr>
            <w:tcW w:w="2374"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企业名称</w:t>
            </w:r>
          </w:p>
        </w:tc>
        <w:tc>
          <w:tcPr>
            <w:tcW w:w="1109"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少数股东持股比例（%）</w:t>
            </w:r>
          </w:p>
        </w:tc>
        <w:tc>
          <w:tcPr>
            <w:tcW w:w="1843"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当期归属于少数股东的损益</w:t>
            </w:r>
          </w:p>
        </w:tc>
        <w:tc>
          <w:tcPr>
            <w:tcW w:w="960"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当期向少数股东支付的股利</w:t>
            </w:r>
          </w:p>
        </w:tc>
        <w:tc>
          <w:tcPr>
            <w:tcW w:w="1920" w:type="dxa"/>
            <w:noWrap w:val="0"/>
            <w:vAlign w:val="center"/>
          </w:tcPr>
          <w:p>
            <w:pPr>
              <w:widowControl/>
              <w:snapToGrid w:val="0"/>
              <w:spacing w:line="240" w:lineRule="auto"/>
              <w:jc w:val="center"/>
              <w:rPr>
                <w:rFonts w:hint="eastAsia" w:ascii="宋体" w:hAnsi="宋体" w:cs="宋体"/>
                <w:color w:val="auto"/>
                <w:sz w:val="20"/>
                <w:szCs w:val="22"/>
                <w:highlight w:val="none"/>
              </w:rPr>
            </w:pPr>
            <w:r>
              <w:rPr>
                <w:rFonts w:hint="eastAsia" w:ascii="宋体" w:hAnsi="宋体" w:cs="宋体"/>
                <w:color w:val="auto"/>
                <w:sz w:val="20"/>
                <w:szCs w:val="22"/>
                <w:highlight w:val="none"/>
              </w:rPr>
              <w:t>期末累计少数股东权益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03" w:type="dxa"/>
            <w:noWrap w:val="0"/>
            <w:vAlign w:val="center"/>
          </w:tcPr>
          <w:p>
            <w:pPr>
              <w:widowControl/>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2374" w:type="dxa"/>
            <w:noWrap w:val="0"/>
            <w:vAlign w:val="center"/>
          </w:tcPr>
          <w:p>
            <w:pPr>
              <w:widowControl/>
              <w:snapToGrid w:val="0"/>
              <w:spacing w:line="400" w:lineRule="atLeast"/>
              <w:jc w:val="left"/>
              <w:rPr>
                <w:rFonts w:hint="eastAsia" w:ascii="宋体" w:hAnsi="宋体" w:cs="宋体"/>
                <w:color w:val="auto"/>
                <w:highlight w:val="none"/>
              </w:rPr>
            </w:pPr>
            <w:r>
              <w:rPr>
                <w:rFonts w:hint="eastAsia" w:ascii="宋体" w:hAnsi="宋体" w:cs="宋体"/>
                <w:color w:val="auto"/>
                <w:highlight w:val="none"/>
              </w:rPr>
              <w:t>国家电投集团贵州金元威宁能源股份有限公司</w:t>
            </w:r>
          </w:p>
        </w:tc>
        <w:tc>
          <w:tcPr>
            <w:tcW w:w="1109"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64.39</w:t>
            </w:r>
          </w:p>
        </w:tc>
        <w:tc>
          <w:tcPr>
            <w:tcW w:w="1843"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16,190.52</w:t>
            </w:r>
          </w:p>
        </w:tc>
        <w:tc>
          <w:tcPr>
            <w:tcW w:w="960" w:type="dxa"/>
            <w:noWrap w:val="0"/>
            <w:vAlign w:val="center"/>
          </w:tcPr>
          <w:p>
            <w:pPr>
              <w:snapToGrid w:val="0"/>
              <w:spacing w:line="200" w:lineRule="atLeast"/>
              <w:jc w:val="right"/>
              <w:rPr>
                <w:rFonts w:hint="eastAsia" w:ascii="宋体" w:hAnsi="宋体" w:cs="宋体"/>
                <w:color w:val="auto"/>
                <w:highlight w:val="none"/>
                <w:lang w:val="en-US" w:eastAsia="zh-CN"/>
              </w:rPr>
            </w:pPr>
            <w:r>
              <w:rPr>
                <w:rFonts w:ascii="Times New Roman" w:hAnsi="Times New Roman" w:eastAsia="宋体" w:cs="Times New Roman"/>
                <w:color w:val="auto"/>
                <w:sz w:val="16"/>
                <w:szCs w:val="16"/>
                <w:highlight w:val="none"/>
              </w:rPr>
              <w:t>8,104.15</w:t>
            </w:r>
          </w:p>
        </w:tc>
        <w:tc>
          <w:tcPr>
            <w:tcW w:w="1920"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384,280.89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03" w:type="dxa"/>
            <w:noWrap w:val="0"/>
            <w:vAlign w:val="center"/>
          </w:tcPr>
          <w:p>
            <w:pPr>
              <w:widowControl/>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2374" w:type="dxa"/>
            <w:noWrap w:val="0"/>
            <w:vAlign w:val="center"/>
          </w:tcPr>
          <w:p>
            <w:pPr>
              <w:widowControl/>
              <w:snapToGrid w:val="0"/>
              <w:spacing w:line="400" w:lineRule="atLeast"/>
              <w:jc w:val="left"/>
              <w:rPr>
                <w:rFonts w:hint="eastAsia" w:ascii="宋体" w:hAnsi="宋体" w:cs="宋体"/>
                <w:color w:val="auto"/>
                <w:highlight w:val="none"/>
              </w:rPr>
            </w:pPr>
            <w:r>
              <w:rPr>
                <w:rFonts w:hint="eastAsia" w:ascii="宋体" w:hAnsi="宋体" w:cs="宋体"/>
                <w:color w:val="auto"/>
                <w:highlight w:val="none"/>
              </w:rPr>
              <w:t>贵州西电电力股份有限公司</w:t>
            </w:r>
          </w:p>
        </w:tc>
        <w:tc>
          <w:tcPr>
            <w:tcW w:w="1109"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32.44</w:t>
            </w:r>
          </w:p>
        </w:tc>
        <w:tc>
          <w:tcPr>
            <w:tcW w:w="1843"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3,650.89</w:t>
            </w:r>
          </w:p>
        </w:tc>
        <w:tc>
          <w:tcPr>
            <w:tcW w:w="960" w:type="dxa"/>
            <w:noWrap w:val="0"/>
            <w:vAlign w:val="center"/>
          </w:tcPr>
          <w:p>
            <w:pPr>
              <w:snapToGrid w:val="0"/>
              <w:spacing w:line="200" w:lineRule="atLeast"/>
              <w:jc w:val="right"/>
              <w:rPr>
                <w:rFonts w:hint="eastAsia" w:ascii="宋体" w:hAnsi="宋体" w:cs="宋体"/>
                <w:color w:val="auto"/>
                <w:highlight w:val="none"/>
                <w:lang w:val="en-US" w:eastAsia="zh-CN"/>
              </w:rPr>
            </w:pPr>
            <w:r>
              <w:rPr>
                <w:rFonts w:ascii="Times New Roman" w:hAnsi="Times New Roman" w:eastAsia="宋体" w:cs="Times New Roman"/>
                <w:color w:val="auto"/>
                <w:sz w:val="16"/>
                <w:szCs w:val="16"/>
                <w:highlight w:val="none"/>
              </w:rPr>
              <w:t>-</w:t>
            </w:r>
          </w:p>
        </w:tc>
        <w:tc>
          <w:tcPr>
            <w:tcW w:w="1920" w:type="dxa"/>
            <w:noWrap w:val="0"/>
            <w:vAlign w:val="center"/>
          </w:tcPr>
          <w:p>
            <w:pPr>
              <w:snapToGrid w:val="0"/>
              <w:spacing w:line="200" w:lineRule="atLeast"/>
              <w:jc w:val="right"/>
              <w:rPr>
                <w:rFonts w:hint="default" w:ascii="宋体" w:hAnsi="宋体" w:cs="宋体"/>
                <w:color w:val="auto"/>
                <w:highlight w:val="none"/>
                <w:lang w:val="en-US" w:eastAsia="zh-CN"/>
              </w:rPr>
            </w:pPr>
            <w:r>
              <w:rPr>
                <w:rFonts w:ascii="Times New Roman" w:hAnsi="Times New Roman" w:eastAsia="宋体" w:cs="Times New Roman"/>
                <w:color w:val="auto"/>
                <w:sz w:val="16"/>
                <w:szCs w:val="16"/>
                <w:highlight w:val="none"/>
              </w:rPr>
              <w:t>148,422.76</w:t>
            </w:r>
          </w:p>
        </w:tc>
      </w:tr>
    </w:tbl>
    <w:p>
      <w:pPr>
        <w:keepNext w:val="0"/>
        <w:keepLines w:val="0"/>
        <w:pageBreakBefore w:val="0"/>
        <w:widowControl w:val="0"/>
        <w:numPr>
          <w:ilvl w:val="1"/>
          <w:numId w:val="0"/>
        </w:numPr>
        <w:shd w:val="clear"/>
        <w:tabs>
          <w:tab w:val="left" w:pos="714"/>
          <w:tab w:val="left" w:pos="850"/>
        </w:tabs>
        <w:kinsoku/>
        <w:wordWrap/>
        <w:overflowPunct/>
        <w:topLinePunct w:val="0"/>
        <w:autoSpaceDE/>
        <w:autoSpaceDN/>
        <w:bidi w:val="0"/>
        <w:adjustRightInd w:val="0"/>
        <w:snapToGrid w:val="0"/>
        <w:spacing w:line="400" w:lineRule="exact"/>
        <w:ind w:firstLine="480" w:firstLineChars="200"/>
        <w:jc w:val="left"/>
        <w:textAlignment w:val="auto"/>
        <w:outlineLvl w:val="1"/>
        <w:rPr>
          <w:rFonts w:hint="eastAsia"/>
          <w:color w:val="auto"/>
          <w:highlight w:val="none"/>
        </w:rPr>
      </w:pPr>
      <w:r>
        <w:rPr>
          <w:rFonts w:hint="eastAsia" w:ascii="宋体" w:hAnsi="宋体" w:cs="宋体"/>
          <w:bCs/>
          <w:color w:val="auto"/>
          <w:sz w:val="24"/>
          <w:szCs w:val="24"/>
          <w:highlight w:val="none"/>
        </w:rPr>
        <w:t>3.理财产品投资情况</w:t>
      </w:r>
    </w:p>
    <w:p>
      <w:pPr>
        <w:pStyle w:val="1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color w:val="auto"/>
          <w:kern w:val="2"/>
          <w:highlight w:val="none"/>
        </w:rPr>
      </w:pPr>
      <w:r>
        <w:rPr>
          <w:rFonts w:hint="eastAsia"/>
          <w:color w:val="auto"/>
          <w:kern w:val="2"/>
          <w:highlight w:val="none"/>
          <w:lang w:eastAsia="zh-CN"/>
        </w:rPr>
        <w:t>□</w:t>
      </w:r>
      <w:r>
        <w:rPr>
          <w:rFonts w:hint="eastAsia"/>
          <w:color w:val="auto"/>
          <w:kern w:val="2"/>
          <w:highlight w:val="none"/>
        </w:rPr>
        <w:t>适用 √不适用</w:t>
      </w:r>
    </w:p>
    <w:p>
      <w:pPr>
        <w:keepNext w:val="0"/>
        <w:keepLines w:val="0"/>
        <w:pageBreakBefore w:val="0"/>
        <w:numPr>
          <w:ilvl w:val="1"/>
          <w:numId w:val="0"/>
        </w:numPr>
        <w:shd w:val="clear"/>
        <w:tabs>
          <w:tab w:val="left" w:pos="714"/>
          <w:tab w:val="left" w:pos="850"/>
        </w:tabs>
        <w:kinsoku/>
        <w:wordWrap/>
        <w:overflowPunct/>
        <w:topLinePunct w:val="0"/>
        <w:autoSpaceDE/>
        <w:autoSpaceDN/>
        <w:bidi w:val="0"/>
        <w:adjustRightInd w:val="0"/>
        <w:snapToGrid w:val="0"/>
        <w:spacing w:line="400" w:lineRule="exact"/>
        <w:ind w:firstLine="480" w:firstLineChars="200"/>
        <w:jc w:val="left"/>
        <w:textAlignment w:val="auto"/>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4.与私募基金管理人共同投资合作或合并范围内包含私募基金管理人的情况</w:t>
      </w:r>
    </w:p>
    <w:p>
      <w:pPr>
        <w:pStyle w:val="1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color w:val="auto"/>
          <w:kern w:val="2"/>
          <w:highlight w:val="none"/>
        </w:rPr>
      </w:pPr>
      <w:r>
        <w:rPr>
          <w:rFonts w:hint="eastAsia"/>
          <w:color w:val="auto"/>
          <w:kern w:val="2"/>
          <w:highlight w:val="none"/>
        </w:rPr>
        <w:t>□适用 √不适用</w:t>
      </w:r>
    </w:p>
    <w:p>
      <w:pPr>
        <w:keepNext w:val="0"/>
        <w:keepLines w:val="0"/>
        <w:pageBreakBefore w:val="0"/>
        <w:kinsoku/>
        <w:wordWrap/>
        <w:overflowPunct/>
        <w:topLinePunct w:val="0"/>
        <w:autoSpaceDE/>
        <w:autoSpaceDN/>
        <w:bidi w:val="0"/>
        <w:spacing w:line="400" w:lineRule="exact"/>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三、持续经营评价</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本年度内公司持续优化管理体系的建设及运行。公司资产、人员、机构等完全独立，员工队伍稳定，商业模式、产品及服务未发生重大变化，各项财务指标健康、良好、经营稳健，为公司的持续经营发展奠定了良好的基础。报告期内未发生对公司持续生产经营产生重大不利影响的事项。</w:t>
      </w:r>
      <w:r>
        <w:rPr>
          <w:rFonts w:hint="eastAsia" w:ascii="宋体" w:hAnsi="宋体" w:cs="宋体"/>
          <w:b/>
          <w:bCs/>
          <w:color w:val="auto"/>
          <w:sz w:val="24"/>
          <w:szCs w:val="24"/>
          <w:highlight w:val="none"/>
        </w:rPr>
        <w:br w:type="page"/>
      </w:r>
    </w:p>
    <w:bookmarkEnd w:id="33"/>
    <w:p>
      <w:pPr>
        <w:spacing w:line="360" w:lineRule="auto"/>
        <w:jc w:val="center"/>
        <w:outlineLvl w:val="0"/>
        <w:rPr>
          <w:rFonts w:hint="eastAsia" w:ascii="黑体" w:hAnsi="黑体" w:eastAsia="黑体" w:cs="黑体"/>
          <w:b/>
          <w:bCs/>
          <w:color w:val="auto"/>
          <w:sz w:val="28"/>
          <w:szCs w:val="28"/>
          <w:highlight w:val="none"/>
          <w:lang w:eastAsia="zh-CN"/>
        </w:rPr>
      </w:pPr>
      <w:bookmarkStart w:id="35" w:name="_Toc22511"/>
      <w:bookmarkStart w:id="36" w:name="_Toc25739"/>
      <w:bookmarkStart w:id="37" w:name="_Toc3912"/>
      <w:bookmarkStart w:id="38" w:name="_Toc3758"/>
      <w:bookmarkStart w:id="39" w:name="_Toc13665"/>
      <w:bookmarkStart w:id="40" w:name="_Toc129711707"/>
      <w:r>
        <w:rPr>
          <w:rFonts w:hint="eastAsia" w:ascii="黑体" w:hAnsi="黑体" w:eastAsia="黑体" w:cs="黑体"/>
          <w:b/>
          <w:bCs/>
          <w:color w:val="auto"/>
          <w:sz w:val="28"/>
          <w:szCs w:val="28"/>
          <w:highlight w:val="none"/>
        </w:rPr>
        <w:t>第四节 董事、监事、高级管理人员情况</w:t>
      </w:r>
      <w:bookmarkEnd w:id="35"/>
      <w:bookmarkEnd w:id="36"/>
      <w:bookmarkEnd w:id="37"/>
      <w:bookmarkEnd w:id="38"/>
      <w:bookmarkEnd w:id="39"/>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一、董事、监事、高级管理人员情况</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 基本情况</w:t>
      </w:r>
    </w:p>
    <w:tbl>
      <w:tblPr>
        <w:tblStyle w:val="22"/>
        <w:tblW w:w="85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27"/>
        <w:gridCol w:w="575"/>
        <w:gridCol w:w="877"/>
        <w:gridCol w:w="1383"/>
        <w:gridCol w:w="1617"/>
        <w:gridCol w:w="1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73" w:type="dxa"/>
            <w:vMerge w:val="restart"/>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27" w:type="dxa"/>
            <w:vMerge w:val="restart"/>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75" w:type="dxa"/>
            <w:vMerge w:val="restart"/>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877" w:type="dxa"/>
            <w:vMerge w:val="restart"/>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是否为失信联合惩戒对象</w:t>
            </w:r>
          </w:p>
        </w:tc>
        <w:tc>
          <w:tcPr>
            <w:tcW w:w="1383" w:type="dxa"/>
            <w:vMerge w:val="restart"/>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3294" w:type="dxa"/>
            <w:gridSpan w:val="2"/>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任职起止日期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73" w:type="dxa"/>
            <w:vMerge w:val="continue"/>
            <w:noWrap w:val="0"/>
            <w:vAlign w:val="center"/>
          </w:tcPr>
          <w:p>
            <w:pPr>
              <w:pStyle w:val="39"/>
              <w:jc w:val="center"/>
              <w:rPr>
                <w:rFonts w:hint="eastAsia" w:ascii="宋体" w:hAnsi="宋体" w:cs="宋体"/>
                <w:color w:val="auto"/>
                <w:szCs w:val="21"/>
                <w:highlight w:val="none"/>
              </w:rPr>
            </w:pPr>
          </w:p>
        </w:tc>
        <w:tc>
          <w:tcPr>
            <w:tcW w:w="1427" w:type="dxa"/>
            <w:vMerge w:val="continue"/>
            <w:noWrap w:val="0"/>
            <w:vAlign w:val="center"/>
          </w:tcPr>
          <w:p>
            <w:pPr>
              <w:pStyle w:val="39"/>
              <w:jc w:val="center"/>
              <w:rPr>
                <w:rFonts w:hint="eastAsia" w:ascii="宋体" w:hAnsi="宋体" w:cs="宋体"/>
                <w:color w:val="auto"/>
                <w:szCs w:val="21"/>
                <w:highlight w:val="none"/>
              </w:rPr>
            </w:pPr>
          </w:p>
        </w:tc>
        <w:tc>
          <w:tcPr>
            <w:tcW w:w="575" w:type="dxa"/>
            <w:vMerge w:val="continue"/>
            <w:noWrap w:val="0"/>
            <w:vAlign w:val="center"/>
          </w:tcPr>
          <w:p>
            <w:pPr>
              <w:pStyle w:val="39"/>
              <w:jc w:val="center"/>
              <w:rPr>
                <w:rFonts w:hint="eastAsia" w:ascii="宋体" w:hAnsi="宋体" w:cs="宋体"/>
                <w:color w:val="auto"/>
                <w:szCs w:val="21"/>
                <w:highlight w:val="none"/>
              </w:rPr>
            </w:pPr>
          </w:p>
        </w:tc>
        <w:tc>
          <w:tcPr>
            <w:tcW w:w="877" w:type="dxa"/>
            <w:vMerge w:val="continue"/>
            <w:noWrap w:val="0"/>
            <w:vAlign w:val="center"/>
          </w:tcPr>
          <w:p>
            <w:pPr>
              <w:pStyle w:val="39"/>
              <w:jc w:val="center"/>
              <w:rPr>
                <w:rFonts w:hint="eastAsia" w:ascii="宋体" w:hAnsi="宋体" w:cs="宋体"/>
                <w:color w:val="auto"/>
                <w:szCs w:val="21"/>
                <w:highlight w:val="none"/>
              </w:rPr>
            </w:pPr>
          </w:p>
        </w:tc>
        <w:tc>
          <w:tcPr>
            <w:tcW w:w="1383" w:type="dxa"/>
            <w:vMerge w:val="continue"/>
            <w:noWrap w:val="0"/>
            <w:vAlign w:val="center"/>
          </w:tcPr>
          <w:p>
            <w:pPr>
              <w:pStyle w:val="39"/>
              <w:jc w:val="center"/>
              <w:rPr>
                <w:rFonts w:hint="eastAsia" w:ascii="宋体" w:hAnsi="宋体" w:cs="宋体"/>
                <w:color w:val="auto"/>
                <w:szCs w:val="21"/>
                <w:highlight w:val="none"/>
              </w:rPr>
            </w:pPr>
          </w:p>
        </w:tc>
        <w:tc>
          <w:tcPr>
            <w:tcW w:w="1617" w:type="dxa"/>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起始日期</w:t>
            </w:r>
          </w:p>
        </w:tc>
        <w:tc>
          <w:tcPr>
            <w:tcW w:w="1677" w:type="dxa"/>
            <w:noWrap w:val="0"/>
            <w:vAlign w:val="center"/>
          </w:tcPr>
          <w:p>
            <w:pPr>
              <w:pStyle w:val="39"/>
              <w:jc w:val="center"/>
              <w:rPr>
                <w:rFonts w:hint="eastAsia" w:ascii="宋体" w:hAnsi="宋体" w:cs="宋体"/>
                <w:color w:val="auto"/>
                <w:szCs w:val="21"/>
                <w:highlight w:val="none"/>
              </w:rPr>
            </w:pPr>
            <w:r>
              <w:rPr>
                <w:rFonts w:hint="eastAsia" w:ascii="宋体" w:hAnsi="宋体" w:cs="宋体"/>
                <w:color w:val="auto"/>
                <w:szCs w:val="21"/>
                <w:highlight w:val="none"/>
              </w:rPr>
              <w:t>终止日期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朱绍纯</w:t>
            </w:r>
          </w:p>
        </w:tc>
        <w:tc>
          <w:tcPr>
            <w:tcW w:w="142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董事长</w:t>
            </w:r>
          </w:p>
        </w:tc>
        <w:tc>
          <w:tcPr>
            <w:tcW w:w="57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1965年7月</w:t>
            </w:r>
          </w:p>
        </w:tc>
        <w:tc>
          <w:tcPr>
            <w:tcW w:w="161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2020.</w:t>
            </w:r>
            <w:r>
              <w:rPr>
                <w:rFonts w:hint="eastAsia" w:ascii="宋体" w:hAnsi="宋体" w:cs="宋体"/>
                <w:color w:val="auto"/>
                <w:highlight w:val="none"/>
                <w:lang w:val="en-US" w:eastAsia="zh-CN"/>
              </w:rPr>
              <w:t>0</w:t>
            </w:r>
            <w:r>
              <w:rPr>
                <w:rFonts w:hint="eastAsia" w:ascii="宋体" w:hAnsi="宋体" w:cs="宋体"/>
                <w:color w:val="auto"/>
                <w:highlight w:val="none"/>
              </w:rPr>
              <w:t>8</w:t>
            </w:r>
          </w:p>
        </w:tc>
        <w:tc>
          <w:tcPr>
            <w:tcW w:w="1677"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7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施文刚</w:t>
            </w:r>
          </w:p>
        </w:tc>
        <w:tc>
          <w:tcPr>
            <w:tcW w:w="142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副董事长</w:t>
            </w:r>
          </w:p>
        </w:tc>
        <w:tc>
          <w:tcPr>
            <w:tcW w:w="57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1964年12月</w:t>
            </w:r>
          </w:p>
        </w:tc>
        <w:tc>
          <w:tcPr>
            <w:tcW w:w="161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2017.</w:t>
            </w:r>
            <w:r>
              <w:rPr>
                <w:rFonts w:hint="eastAsia" w:ascii="宋体" w:hAnsi="宋体" w:cs="宋体"/>
                <w:color w:val="auto"/>
                <w:highlight w:val="none"/>
                <w:lang w:val="en-US" w:eastAsia="zh-CN"/>
              </w:rPr>
              <w:t>0</w:t>
            </w:r>
            <w:r>
              <w:rPr>
                <w:rFonts w:hint="eastAsia" w:ascii="宋体" w:hAnsi="宋体" w:cs="宋体"/>
                <w:color w:val="auto"/>
                <w:highlight w:val="none"/>
              </w:rPr>
              <w:t>6</w:t>
            </w:r>
          </w:p>
        </w:tc>
        <w:tc>
          <w:tcPr>
            <w:tcW w:w="1677" w:type="dxa"/>
            <w:noWrap w:val="0"/>
            <w:vAlign w:val="center"/>
          </w:tcPr>
          <w:p>
            <w:pPr>
              <w:jc w:val="center"/>
              <w:rPr>
                <w:rFonts w:hint="default" w:ascii="宋体" w:hAnsi="宋体" w:cs="宋体"/>
                <w:color w:val="auto"/>
                <w:highlight w:val="none"/>
                <w:lang w:val="en-US"/>
              </w:rPr>
            </w:pPr>
            <w:r>
              <w:rPr>
                <w:rFonts w:hint="eastAsia" w:ascii="宋体" w:hAnsi="宋体" w:cs="宋体"/>
                <w:color w:val="auto"/>
                <w:highlight w:val="none"/>
                <w:lang w:val="en-US" w:eastAsia="zh-CN"/>
              </w:rPr>
              <w:t>2024.12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3"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郭厚亮</w:t>
            </w:r>
          </w:p>
        </w:tc>
        <w:tc>
          <w:tcPr>
            <w:tcW w:w="1427"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副董事长</w:t>
            </w:r>
          </w:p>
        </w:tc>
        <w:tc>
          <w:tcPr>
            <w:tcW w:w="57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c>
          <w:tcPr>
            <w:tcW w:w="1383"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1971年3月</w:t>
            </w:r>
          </w:p>
        </w:tc>
        <w:tc>
          <w:tcPr>
            <w:tcW w:w="1617"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2024.12</w:t>
            </w:r>
          </w:p>
        </w:tc>
        <w:tc>
          <w:tcPr>
            <w:tcW w:w="1677" w:type="dxa"/>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7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吕  峰</w:t>
            </w:r>
          </w:p>
        </w:tc>
        <w:tc>
          <w:tcPr>
            <w:tcW w:w="142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1969年10月</w:t>
            </w:r>
          </w:p>
        </w:tc>
        <w:tc>
          <w:tcPr>
            <w:tcW w:w="161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2022.10</w:t>
            </w:r>
          </w:p>
        </w:tc>
        <w:tc>
          <w:tcPr>
            <w:tcW w:w="1677" w:type="dxa"/>
            <w:noWrap w:val="0"/>
            <w:vAlign w:val="center"/>
          </w:tcPr>
          <w:p>
            <w:pPr>
              <w:jc w:val="center"/>
              <w:rPr>
                <w:rFonts w:hint="default" w:ascii="宋体" w:hAnsi="宋体" w:cs="宋体"/>
                <w:color w:val="auto"/>
                <w:highlight w:val="none"/>
                <w:lang w:val="en-US"/>
              </w:rPr>
            </w:pPr>
            <w:r>
              <w:rPr>
                <w:rFonts w:hint="eastAsia" w:ascii="宋体" w:hAnsi="宋体" w:cs="宋体"/>
                <w:color w:val="auto"/>
                <w:highlight w:val="none"/>
                <w:lang w:val="en-US" w:eastAsia="zh-CN"/>
              </w:rPr>
              <w:t>2024.12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73"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朱仕祥</w:t>
            </w:r>
          </w:p>
        </w:tc>
        <w:tc>
          <w:tcPr>
            <w:tcW w:w="1427"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董事</w:t>
            </w:r>
          </w:p>
        </w:tc>
        <w:tc>
          <w:tcPr>
            <w:tcW w:w="575"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男</w:t>
            </w:r>
          </w:p>
        </w:tc>
        <w:tc>
          <w:tcPr>
            <w:tcW w:w="877"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c>
          <w:tcPr>
            <w:tcW w:w="1383" w:type="dxa"/>
            <w:noWrap w:val="0"/>
            <w:vAlign w:val="center"/>
          </w:tcPr>
          <w:p>
            <w:pPr>
              <w:jc w:val="center"/>
              <w:rPr>
                <w:rFonts w:hint="eastAsia" w:ascii="宋体" w:hAnsi="宋体" w:cs="宋体"/>
                <w:color w:val="auto"/>
                <w:highlight w:val="none"/>
              </w:rPr>
            </w:pPr>
            <w:r>
              <w:rPr>
                <w:rFonts w:hint="eastAsia" w:ascii="宋体" w:hAnsi="宋体" w:cs="宋体"/>
                <w:color w:val="auto"/>
                <w:kern w:val="2"/>
                <w:sz w:val="21"/>
                <w:szCs w:val="21"/>
                <w:highlight w:val="none"/>
                <w:lang w:val="en-US" w:eastAsia="zh-CN" w:bidi="ar-SA"/>
              </w:rPr>
              <w:t>1976年5月</w:t>
            </w:r>
          </w:p>
        </w:tc>
        <w:tc>
          <w:tcPr>
            <w:tcW w:w="1617"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2024.12</w:t>
            </w:r>
          </w:p>
        </w:tc>
        <w:tc>
          <w:tcPr>
            <w:tcW w:w="1677" w:type="dxa"/>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仇  明</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w:t>
            </w:r>
            <w:r>
              <w:rPr>
                <w:rFonts w:hint="eastAsia" w:ascii="宋体" w:hAnsi="宋体" w:cs="宋体"/>
                <w:color w:val="auto"/>
                <w:highlight w:val="none"/>
                <w:lang w:val="en-US" w:eastAsia="zh-CN"/>
              </w:rPr>
              <w:t>3</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w:t>
            </w:r>
            <w:r>
              <w:rPr>
                <w:rFonts w:hint="eastAsia" w:ascii="宋体" w:hAnsi="宋体" w:cs="宋体"/>
                <w:color w:val="auto"/>
                <w:highlight w:val="none"/>
                <w:lang w:val="en-US" w:eastAsia="zh-CN"/>
              </w:rPr>
              <w:t>23</w:t>
            </w:r>
            <w:r>
              <w:rPr>
                <w:rFonts w:hint="eastAsia" w:ascii="宋体" w:hAnsi="宋体" w:cs="宋体"/>
                <w:color w:val="auto"/>
                <w:highlight w:val="none"/>
              </w:rPr>
              <w:t>.</w:t>
            </w:r>
            <w:r>
              <w:rPr>
                <w:rFonts w:hint="eastAsia" w:ascii="宋体" w:hAnsi="宋体" w:cs="宋体"/>
                <w:color w:val="auto"/>
                <w:highlight w:val="none"/>
                <w:lang w:val="en-US" w:eastAsia="zh-CN"/>
              </w:rPr>
              <w:t>10</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黄青华</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女</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1972年6月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w:t>
            </w:r>
            <w:r>
              <w:rPr>
                <w:rFonts w:hint="eastAsia" w:ascii="宋体" w:hAnsi="宋体" w:cs="宋体"/>
                <w:color w:val="auto"/>
                <w:highlight w:val="none"/>
                <w:lang w:val="en-US" w:eastAsia="zh-CN"/>
              </w:rPr>
              <w:t>0</w:t>
            </w:r>
            <w:r>
              <w:rPr>
                <w:rFonts w:hint="eastAsia" w:ascii="宋体" w:hAnsi="宋体" w:cs="宋体"/>
                <w:color w:val="auto"/>
                <w:highlight w:val="none"/>
              </w:rPr>
              <w:t>4</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程东航</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w:t>
            </w:r>
            <w:r>
              <w:rPr>
                <w:rFonts w:hint="eastAsia" w:ascii="宋体" w:hAnsi="宋体" w:cs="宋体"/>
                <w:color w:val="auto"/>
                <w:highlight w:val="none"/>
                <w:lang w:val="en-US" w:eastAsia="zh-CN"/>
              </w:rPr>
              <w:t>68</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05</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973" w:type="dxa"/>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王  浩</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1969年3月</w:t>
            </w:r>
          </w:p>
        </w:tc>
        <w:tc>
          <w:tcPr>
            <w:tcW w:w="1617"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2025.01</w:t>
            </w:r>
          </w:p>
        </w:tc>
        <w:tc>
          <w:tcPr>
            <w:tcW w:w="1677" w:type="dxa"/>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赵华邦</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w:t>
            </w:r>
            <w:r>
              <w:rPr>
                <w:rFonts w:hint="eastAsia" w:ascii="宋体" w:hAnsi="宋体" w:cs="宋体"/>
                <w:color w:val="auto"/>
                <w:highlight w:val="none"/>
                <w:lang w:val="en-US" w:eastAsia="zh-CN"/>
              </w:rPr>
              <w:t>9</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w:t>
            </w:r>
            <w:r>
              <w:rPr>
                <w:rFonts w:hint="eastAsia" w:ascii="宋体" w:hAnsi="宋体" w:cs="宋体"/>
                <w:color w:val="auto"/>
                <w:highlight w:val="none"/>
                <w:lang w:val="en-US" w:eastAsia="zh-CN"/>
              </w:rPr>
              <w:t>23.04</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张  珂</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1969年3月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2021.12</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葛斌峰</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职工董事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1968年9月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2014.</w:t>
            </w:r>
            <w:r>
              <w:rPr>
                <w:rFonts w:hint="eastAsia" w:ascii="宋体" w:hAnsi="宋体" w:cs="宋体"/>
                <w:color w:val="auto"/>
                <w:highlight w:val="none"/>
                <w:lang w:val="en-US" w:eastAsia="zh-CN"/>
              </w:rPr>
              <w:t>0</w:t>
            </w:r>
            <w:r>
              <w:rPr>
                <w:rFonts w:hint="eastAsia" w:ascii="宋体" w:hAnsi="宋体" w:cs="宋体"/>
                <w:color w:val="auto"/>
                <w:highlight w:val="none"/>
              </w:rPr>
              <w:t>5</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2024.09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73"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陈可均</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职工董事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1968年5月</w:t>
            </w:r>
          </w:p>
        </w:tc>
        <w:tc>
          <w:tcPr>
            <w:tcW w:w="1617"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2024.09</w:t>
            </w:r>
          </w:p>
        </w:tc>
        <w:tc>
          <w:tcPr>
            <w:tcW w:w="1677" w:type="dxa"/>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方德亚</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监事会主席</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1974年3月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2021.12</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2024.09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7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付  洁</w:t>
            </w:r>
          </w:p>
        </w:tc>
        <w:tc>
          <w:tcPr>
            <w:tcW w:w="142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监事会主席</w:t>
            </w:r>
          </w:p>
        </w:tc>
        <w:tc>
          <w:tcPr>
            <w:tcW w:w="575"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女</w:t>
            </w:r>
          </w:p>
        </w:tc>
        <w:tc>
          <w:tcPr>
            <w:tcW w:w="8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否</w:t>
            </w:r>
          </w:p>
        </w:tc>
        <w:tc>
          <w:tcPr>
            <w:tcW w:w="138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1981年4月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2024.09</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闫祉宇</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监事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1972年2月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w:t>
            </w:r>
            <w:r>
              <w:rPr>
                <w:rFonts w:hint="eastAsia" w:ascii="宋体" w:hAnsi="宋体" w:cs="宋体"/>
                <w:color w:val="auto"/>
                <w:highlight w:val="none"/>
                <w:lang w:val="en-US" w:eastAsia="zh-CN"/>
              </w:rPr>
              <w:t>0</w:t>
            </w:r>
            <w:r>
              <w:rPr>
                <w:rFonts w:hint="eastAsia" w:ascii="宋体" w:hAnsi="宋体" w:cs="宋体"/>
                <w:color w:val="auto"/>
                <w:highlight w:val="none"/>
              </w:rPr>
              <w:t>9</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范德胜</w:t>
            </w:r>
          </w:p>
        </w:tc>
        <w:tc>
          <w:tcPr>
            <w:tcW w:w="1427"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监事</w:t>
            </w: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（职工监事）</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1969年2月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2014.</w:t>
            </w:r>
            <w:r>
              <w:rPr>
                <w:rFonts w:hint="eastAsia" w:ascii="宋体" w:hAnsi="宋体" w:cs="宋体"/>
                <w:color w:val="auto"/>
                <w:highlight w:val="none"/>
                <w:lang w:val="en-US" w:eastAsia="zh-CN"/>
              </w:rPr>
              <w:t>0</w:t>
            </w:r>
            <w:r>
              <w:rPr>
                <w:rFonts w:hint="eastAsia" w:ascii="宋体" w:hAnsi="宋体" w:cs="宋体"/>
                <w:color w:val="auto"/>
                <w:highlight w:val="none"/>
              </w:rPr>
              <w:t>5</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吕  峰</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1969年10月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2022.10</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7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朱仕祥</w:t>
            </w:r>
          </w:p>
        </w:tc>
        <w:tc>
          <w:tcPr>
            <w:tcW w:w="142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1976年5月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2024.10</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叶  飞</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副总经理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1964年9月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w:t>
            </w:r>
            <w:r>
              <w:rPr>
                <w:rFonts w:hint="eastAsia" w:ascii="宋体" w:hAnsi="宋体" w:cs="宋体"/>
                <w:color w:val="auto"/>
                <w:highlight w:val="none"/>
                <w:lang w:val="en-US" w:eastAsia="zh-CN"/>
              </w:rPr>
              <w:t>08</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李东麟</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副总经理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1974年4月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2021.</w:t>
            </w:r>
            <w:r>
              <w:rPr>
                <w:rFonts w:hint="eastAsia" w:ascii="宋体" w:hAnsi="宋体" w:cs="宋体"/>
                <w:color w:val="auto"/>
                <w:highlight w:val="none"/>
                <w:lang w:val="en-US" w:eastAsia="zh-CN"/>
              </w:rPr>
              <w:t>10</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杨秀勇</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副总经理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1971年12月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2023.07</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瞿  进</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副总经理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1976年5月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2023.07</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黄雄军</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总会计师</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1971年11月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2022.10</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2025.01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马梦萧</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总会计师</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1975年12月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2025.01</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张  珂</w:t>
            </w:r>
          </w:p>
        </w:tc>
        <w:tc>
          <w:tcPr>
            <w:tcW w:w="142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副总经理</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1969年3月</w:t>
            </w:r>
          </w:p>
        </w:tc>
        <w:tc>
          <w:tcPr>
            <w:tcW w:w="16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2025.03</w:t>
            </w:r>
          </w:p>
        </w:tc>
        <w:tc>
          <w:tcPr>
            <w:tcW w:w="167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陈兴鹏</w:t>
            </w:r>
          </w:p>
        </w:tc>
        <w:tc>
          <w:tcPr>
            <w:tcW w:w="142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董事会秘书</w:t>
            </w:r>
          </w:p>
        </w:tc>
        <w:tc>
          <w:tcPr>
            <w:tcW w:w="57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男</w:t>
            </w:r>
          </w:p>
        </w:tc>
        <w:tc>
          <w:tcPr>
            <w:tcW w:w="8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否</w:t>
            </w:r>
          </w:p>
        </w:tc>
        <w:tc>
          <w:tcPr>
            <w:tcW w:w="1383"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w:t>
            </w:r>
            <w:r>
              <w:rPr>
                <w:rFonts w:hint="eastAsia" w:ascii="宋体" w:hAnsi="宋体" w:cs="宋体"/>
                <w:color w:val="auto"/>
                <w:highlight w:val="none"/>
                <w:lang w:val="en-US" w:eastAsia="zh-CN"/>
              </w:rPr>
              <w:t>69</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w:t>
            </w:r>
          </w:p>
        </w:tc>
        <w:tc>
          <w:tcPr>
            <w:tcW w:w="161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w:t>
            </w:r>
            <w:r>
              <w:rPr>
                <w:rFonts w:hint="eastAsia" w:ascii="宋体" w:hAnsi="宋体" w:cs="宋体"/>
                <w:color w:val="auto"/>
                <w:highlight w:val="none"/>
                <w:lang w:val="en-US" w:eastAsia="zh-CN"/>
              </w:rPr>
              <w:t>23</w:t>
            </w:r>
            <w:r>
              <w:rPr>
                <w:rFonts w:hint="eastAsia" w:ascii="宋体" w:hAnsi="宋体" w:cs="宋体"/>
                <w:color w:val="auto"/>
                <w:highlight w:val="none"/>
              </w:rPr>
              <w:t>.</w:t>
            </w:r>
            <w:r>
              <w:rPr>
                <w:rFonts w:hint="eastAsia" w:ascii="宋体" w:hAnsi="宋体" w:cs="宋体"/>
                <w:color w:val="auto"/>
                <w:highlight w:val="none"/>
                <w:lang w:val="en-US" w:eastAsia="zh-CN"/>
              </w:rPr>
              <w:t>07</w:t>
            </w:r>
          </w:p>
        </w:tc>
        <w:tc>
          <w:tcPr>
            <w:tcW w:w="1677"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至今</w:t>
            </w:r>
          </w:p>
        </w:tc>
      </w:tr>
    </w:tbl>
    <w:p>
      <w:pPr>
        <w:pStyle w:val="15"/>
        <w:keepNext w:val="0"/>
        <w:keepLines w:val="0"/>
        <w:pageBreakBefore w:val="0"/>
        <w:kinsoku/>
        <w:wordWrap/>
        <w:overflowPunct/>
        <w:topLinePunct w:val="0"/>
        <w:autoSpaceDE/>
        <w:autoSpaceDN/>
        <w:bidi w:val="0"/>
        <w:adjustRightInd/>
        <w:spacing w:line="400" w:lineRule="exact"/>
        <w:jc w:val="left"/>
        <w:textAlignment w:val="auto"/>
        <w:rPr>
          <w:rFonts w:hint="eastAsia"/>
          <w:color w:val="auto"/>
          <w:highlight w:val="none"/>
        </w:rPr>
      </w:pPr>
    </w:p>
    <w:p>
      <w:pPr>
        <w:keepNext w:val="0"/>
        <w:keepLines w:val="0"/>
        <w:pageBreakBefore w:val="0"/>
        <w:numPr>
          <w:ilvl w:val="0"/>
          <w:numId w:val="8"/>
        </w:numPr>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董事、监事、高级管理人员与股东之间的关系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公司现任董事朱绍纯、</w:t>
      </w:r>
      <w:r>
        <w:rPr>
          <w:rFonts w:hint="eastAsia" w:ascii="宋体" w:hAnsi="宋体" w:cs="宋体"/>
          <w:color w:val="auto"/>
          <w:sz w:val="24"/>
          <w:szCs w:val="24"/>
          <w:highlight w:val="none"/>
          <w:lang w:val="en-US" w:eastAsia="zh-CN"/>
        </w:rPr>
        <w:t>朱仕祥</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郭厚亮、仇明</w:t>
      </w:r>
      <w:r>
        <w:rPr>
          <w:rFonts w:hint="eastAsia" w:ascii="宋体" w:hAnsi="宋体" w:cs="宋体"/>
          <w:color w:val="auto"/>
          <w:sz w:val="24"/>
          <w:szCs w:val="24"/>
          <w:highlight w:val="none"/>
        </w:rPr>
        <w:t>、黄青华、</w:t>
      </w:r>
      <w:r>
        <w:rPr>
          <w:rFonts w:hint="eastAsia" w:ascii="宋体" w:hAnsi="宋体" w:cs="宋体"/>
          <w:color w:val="auto"/>
          <w:sz w:val="24"/>
          <w:szCs w:val="24"/>
          <w:highlight w:val="none"/>
          <w:lang w:val="en-US" w:eastAsia="zh-CN"/>
        </w:rPr>
        <w:t>王浩</w:t>
      </w:r>
      <w:r>
        <w:rPr>
          <w:rFonts w:hint="eastAsia" w:ascii="宋体" w:hAnsi="宋体" w:cs="宋体"/>
          <w:color w:val="auto"/>
          <w:sz w:val="24"/>
          <w:szCs w:val="24"/>
          <w:highlight w:val="none"/>
        </w:rPr>
        <w:t>，现任高级管理人员</w:t>
      </w:r>
      <w:r>
        <w:rPr>
          <w:rFonts w:hint="eastAsia" w:ascii="宋体" w:hAnsi="宋体" w:cs="宋体"/>
          <w:color w:val="auto"/>
          <w:sz w:val="24"/>
          <w:szCs w:val="24"/>
          <w:highlight w:val="none"/>
          <w:lang w:val="en-US" w:eastAsia="zh-CN"/>
        </w:rPr>
        <w:t>朱仕祥</w:t>
      </w:r>
      <w:r>
        <w:rPr>
          <w:rFonts w:hint="eastAsia" w:ascii="宋体" w:hAnsi="宋体" w:cs="宋体"/>
          <w:color w:val="auto"/>
          <w:sz w:val="24"/>
          <w:szCs w:val="24"/>
          <w:highlight w:val="none"/>
        </w:rPr>
        <w:t>、李东麟、</w:t>
      </w:r>
      <w:r>
        <w:rPr>
          <w:rFonts w:hint="eastAsia" w:ascii="宋体" w:hAnsi="宋体" w:cs="宋体"/>
          <w:color w:val="auto"/>
          <w:sz w:val="24"/>
          <w:szCs w:val="24"/>
          <w:highlight w:val="none"/>
          <w:lang w:val="en-US" w:eastAsia="zh-CN"/>
        </w:rPr>
        <w:t>杨秀勇、瞿进、马梦萧</w:t>
      </w:r>
      <w:r>
        <w:rPr>
          <w:rFonts w:hint="eastAsia" w:ascii="宋体" w:hAnsi="宋体" w:cs="宋体"/>
          <w:color w:val="auto"/>
          <w:sz w:val="24"/>
          <w:szCs w:val="24"/>
          <w:highlight w:val="none"/>
        </w:rPr>
        <w:t>为股东国家电力投资集团有</w:t>
      </w:r>
      <w:r>
        <w:rPr>
          <w:rFonts w:hint="eastAsia" w:ascii="宋体" w:hAnsi="宋体" w:cs="宋体"/>
          <w:color w:val="auto"/>
          <w:sz w:val="24"/>
          <w:szCs w:val="24"/>
          <w:highlight w:val="none"/>
          <w:lang w:val="en-US" w:eastAsia="zh-CN"/>
        </w:rPr>
        <w:t>限公司推荐，贵州金元聘任，存在关联关</w:t>
      </w:r>
      <w:r>
        <w:rPr>
          <w:rFonts w:hint="eastAsia" w:ascii="宋体" w:hAnsi="宋体" w:cs="宋体"/>
          <w:color w:val="auto"/>
          <w:sz w:val="24"/>
          <w:szCs w:val="24"/>
          <w:highlight w:val="none"/>
        </w:rPr>
        <w:t>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公司现任董事</w:t>
      </w:r>
      <w:r>
        <w:rPr>
          <w:rFonts w:hint="eastAsia" w:ascii="宋体" w:hAnsi="宋体" w:cs="宋体"/>
          <w:color w:val="auto"/>
          <w:sz w:val="24"/>
          <w:szCs w:val="24"/>
          <w:highlight w:val="none"/>
          <w:lang w:val="en-US" w:eastAsia="zh-CN"/>
        </w:rPr>
        <w:t>郭厚亮</w:t>
      </w:r>
      <w:r>
        <w:rPr>
          <w:rFonts w:hint="eastAsia" w:ascii="宋体" w:hAnsi="宋体" w:cs="宋体"/>
          <w:color w:val="auto"/>
          <w:sz w:val="24"/>
          <w:szCs w:val="24"/>
          <w:highlight w:val="none"/>
        </w:rPr>
        <w:t>、张珂、</w:t>
      </w:r>
      <w:r>
        <w:rPr>
          <w:rFonts w:hint="eastAsia" w:ascii="宋体" w:hAnsi="宋体" w:cs="宋体"/>
          <w:color w:val="auto"/>
          <w:sz w:val="24"/>
          <w:szCs w:val="24"/>
          <w:highlight w:val="none"/>
          <w:lang w:val="en-US" w:eastAsia="zh-CN"/>
        </w:rPr>
        <w:t>赵华邦</w:t>
      </w:r>
      <w:r>
        <w:rPr>
          <w:rFonts w:hint="eastAsia" w:ascii="宋体" w:hAnsi="宋体" w:cs="宋体"/>
          <w:color w:val="auto"/>
          <w:sz w:val="24"/>
          <w:szCs w:val="24"/>
          <w:highlight w:val="none"/>
        </w:rPr>
        <w:t>，现任高级管理人员</w:t>
      </w:r>
      <w:r>
        <w:rPr>
          <w:rFonts w:hint="eastAsia" w:ascii="宋体" w:hAnsi="宋体" w:cs="宋体"/>
          <w:color w:val="auto"/>
          <w:sz w:val="24"/>
          <w:szCs w:val="24"/>
          <w:highlight w:val="none"/>
          <w:lang w:val="en-US" w:eastAsia="zh-CN"/>
        </w:rPr>
        <w:t>张珂</w:t>
      </w:r>
      <w:r>
        <w:rPr>
          <w:rFonts w:hint="eastAsia" w:ascii="宋体" w:hAnsi="宋体" w:cs="宋体"/>
          <w:color w:val="auto"/>
          <w:sz w:val="24"/>
          <w:szCs w:val="24"/>
          <w:highlight w:val="none"/>
        </w:rPr>
        <w:t>为股东贵州</w:t>
      </w:r>
      <w:r>
        <w:rPr>
          <w:rFonts w:hint="eastAsia" w:ascii="宋体" w:hAnsi="宋体" w:cs="宋体"/>
          <w:color w:val="auto"/>
          <w:sz w:val="24"/>
          <w:szCs w:val="24"/>
          <w:highlight w:val="none"/>
          <w:lang w:val="en-US" w:eastAsia="zh-CN"/>
        </w:rPr>
        <w:t>能源</w:t>
      </w:r>
      <w:r>
        <w:rPr>
          <w:rFonts w:hint="eastAsia" w:ascii="宋体" w:hAnsi="宋体" w:cs="宋体"/>
          <w:color w:val="auto"/>
          <w:sz w:val="24"/>
          <w:szCs w:val="24"/>
          <w:highlight w:val="none"/>
        </w:rPr>
        <w:t>集团有限</w:t>
      </w:r>
      <w:r>
        <w:rPr>
          <w:rFonts w:hint="eastAsia" w:ascii="宋体" w:hAnsi="宋体" w:cs="宋体"/>
          <w:color w:val="auto"/>
          <w:sz w:val="24"/>
          <w:szCs w:val="24"/>
          <w:highlight w:val="none"/>
          <w:lang w:val="en-US" w:eastAsia="zh-CN"/>
        </w:rPr>
        <w:t>公司推荐，贵州金元聘任，存在关</w:t>
      </w:r>
      <w:r>
        <w:rPr>
          <w:rFonts w:hint="eastAsia" w:ascii="宋体" w:hAnsi="宋体" w:cs="宋体"/>
          <w:color w:val="auto"/>
          <w:sz w:val="24"/>
          <w:szCs w:val="24"/>
          <w:highlight w:val="none"/>
        </w:rPr>
        <w:t>联关系。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除前述情况外，公司董事、高级管理人员与股东之间均无关联关系</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在任董事、监事、高管主要工作经历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朱绍纯，高级政工师。曾任国家电投集团贵州金元集团股份有限公司（以下简称贵州金元）副总经理；贵州金元总经理、党委副书记、董事。现任贵州金元董事长、党委书记。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施文刚，高级工程师。曾任盘江投资控股（集团）有限公司副董事长；六枝工矿（集团）有限责任公司</w:t>
      </w:r>
      <w:r>
        <w:rPr>
          <w:rFonts w:hint="eastAsia" w:ascii="宋体" w:hAnsi="宋体" w:eastAsia="宋体" w:cs="宋体"/>
          <w:color w:val="auto"/>
          <w:kern w:val="2"/>
          <w:sz w:val="24"/>
          <w:szCs w:val="24"/>
          <w:highlight w:val="none"/>
          <w:lang w:val="en-US" w:eastAsia="zh-CN" w:bidi="ar-SA"/>
        </w:rPr>
        <w:t>副董事长、总经理、董事长、党委书记；</w:t>
      </w:r>
      <w:r>
        <w:rPr>
          <w:rFonts w:hint="eastAsia" w:cs="宋体"/>
          <w:color w:val="auto"/>
          <w:kern w:val="2"/>
          <w:sz w:val="24"/>
          <w:szCs w:val="24"/>
          <w:highlight w:val="none"/>
          <w:lang w:val="en-US" w:eastAsia="zh-CN" w:bidi="ar-SA"/>
        </w:rPr>
        <w:t>贵州金元</w:t>
      </w:r>
      <w:r>
        <w:rPr>
          <w:rFonts w:hint="eastAsia" w:ascii="宋体" w:hAnsi="宋体" w:eastAsia="宋体" w:cs="宋体"/>
          <w:color w:val="auto"/>
          <w:kern w:val="2"/>
          <w:sz w:val="24"/>
          <w:szCs w:val="24"/>
          <w:highlight w:val="none"/>
          <w:lang w:val="en-US" w:eastAsia="zh-CN" w:bidi="ar-SA"/>
        </w:rPr>
        <w:t>副董事</w:t>
      </w:r>
      <w:r>
        <w:rPr>
          <w:rFonts w:hint="eastAsia" w:ascii="宋体" w:hAnsi="宋体" w:eastAsia="宋体" w:cs="宋体"/>
          <w:color w:val="auto"/>
          <w:sz w:val="24"/>
          <w:szCs w:val="24"/>
          <w:highlight w:val="none"/>
          <w:lang w:val="en-US" w:eastAsia="zh-CN"/>
        </w:rPr>
        <w:t>长、党委委员。目前已退休。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郭厚亮，高级工程师。曾任贵州林东矿业集团有限责任公司党委副书记、副董事长、总经理；贵州林东煤业发展有限责任公司党委委员、总工程师、董事长。现任贵州金元副董事长、党委委员。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吕  峰，正高级经济师。曾任吉林电力股份有限公司总工程师、副总经理、党委副书记、工会主席；国家</w:t>
      </w:r>
      <w:r>
        <w:rPr>
          <w:rFonts w:hint="eastAsia" w:ascii="Times New Roman" w:hAnsi="Times New Roman" w:eastAsia="宋体" w:cs="宋体"/>
          <w:color w:val="auto"/>
          <w:kern w:val="2"/>
          <w:sz w:val="24"/>
          <w:szCs w:val="24"/>
          <w:highlight w:val="none"/>
          <w:lang w:val="en-US" w:eastAsia="zh-CN" w:bidi="ar-SA"/>
        </w:rPr>
        <w:t>电力投资集团有限公司党组巡视组副组长；国家电力投资集团有限公司江西公司董事、总经理、党委副书记；贵州金元董事、总经理、党委副书记。目前已履新至国家电投江西公司。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朱仕祥，工程师、正高级经济师。曾任国家电投集团河北电力有限公司总经济师；石家庄东方新能源有限公司总经济师；国家电投雄安能源有限公司总经济师；国家电投集团东方新能源股份有限公司副总经理，国家电投集团战略规划与发展部（改革办、专家委办公室）副主任。目前任贵州金元董事、总经理、党委委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仇  明，正高级经济师。曾任中国联合重型燃气轮机技术有限公司党委书记、法人、总经理；国家电力投资集团有限公司战略规划部战略研究总监；国家电力投资集团有限公司专家委委员。现任国家电力投资集团有限公司专职董事、贵州金元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黄青华，正高级经济师。曾任中电投远达环保（集团）股份有限公司副总经理、董事、董事会秘书、总法律顾问；国家电投集团远达环保股份有限公司副总经理、董事会秘书、总法律顾问。现任国家电力投资集团有限公司专职董事、贵州金元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程东航，正高级工程师。曾任国家电投集团河南电力有限公司副总经理；贵州金元董事。现任国家电力投资集团有限公司专职董事、国家电投其他二级单位董事。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王  浩，高级会计师。曾任国家电投集团东方能源副总会计师、董事会秘书；国家电投集团河北公司副总会计师。现任国家电力投资集团有限公司专职董事、贵州金元董事。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赵华邦，高级工程师。曾任贵州乌江能源集团有限责任公司法律顾问、副总工程师兼风控审计部部长。现任贵州能源集团有限公司副总工程师、贵州金元董事。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张  珂，高级工程师。曾任贵州盘江煤电集团有限责任公司电力事业部总经理，盘江资产管理有限公司董事长，公司监事会主席，贵州盘江电力投资有限公司党委副书记、总经理，贵州金元董事。现任贵州金元副总经理、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葛斌峰，高级工程师。曾任贵州西电电力股份有限公司董事长、总经理；贵州金元火电部主任、火电总监；贵州金元职工董事。现任贵州金元专职董事。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陈可均，高级工程师。曾任贵州金元副总经理、党委委员。现任贵州金元党委副书记、工会主席,机关党委书记、集团公司党校贵州金元分校常务副校长，贵州金元职工董事。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（二）</w:t>
      </w:r>
      <w:r>
        <w:rPr>
          <w:rFonts w:hint="eastAsia" w:ascii="Times New Roman" w:hAnsi="Times New Roman" w:eastAsia="宋体" w:cs="宋体"/>
          <w:b/>
          <w:bCs/>
          <w:color w:val="auto"/>
          <w:kern w:val="2"/>
          <w:sz w:val="24"/>
          <w:szCs w:val="24"/>
          <w:highlight w:val="none"/>
          <w:lang w:val="en-US" w:eastAsia="zh-CN" w:bidi="ar-SA"/>
        </w:rPr>
        <w:t>监事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方德亚，审计师。曾任贵州盘江电投发电有限公司副总经理、</w:t>
      </w:r>
      <w:r>
        <w:rPr>
          <w:rFonts w:hint="eastAsia" w:ascii="宋体" w:hAnsi="宋体" w:cs="宋体"/>
          <w:color w:val="auto"/>
          <w:kern w:val="2"/>
          <w:sz w:val="24"/>
          <w:szCs w:val="24"/>
          <w:highlight w:val="none"/>
          <w:lang w:val="en-US" w:eastAsia="zh-CN" w:bidi="ar-SA"/>
        </w:rPr>
        <w:t>总会计师；</w:t>
      </w:r>
      <w:r>
        <w:rPr>
          <w:rFonts w:hint="eastAsia" w:ascii="宋体" w:hAnsi="宋体" w:eastAsia="宋体" w:cs="宋体"/>
          <w:color w:val="auto"/>
          <w:kern w:val="2"/>
          <w:sz w:val="24"/>
          <w:szCs w:val="24"/>
          <w:highlight w:val="none"/>
          <w:lang w:val="en-US" w:eastAsia="zh-CN" w:bidi="ar-SA"/>
        </w:rPr>
        <w:t>贵州盘江</w:t>
      </w:r>
      <w:r>
        <w:rPr>
          <w:rFonts w:hint="eastAsia" w:ascii="宋体" w:hAnsi="宋体" w:cs="宋体"/>
          <w:color w:val="auto"/>
          <w:kern w:val="2"/>
          <w:sz w:val="24"/>
          <w:szCs w:val="24"/>
          <w:highlight w:val="none"/>
          <w:lang w:val="en-US" w:eastAsia="zh-CN" w:bidi="ar-SA"/>
        </w:rPr>
        <w:t>电力投资有限</w:t>
      </w:r>
      <w:r>
        <w:rPr>
          <w:rFonts w:hint="eastAsia" w:ascii="宋体" w:hAnsi="宋体" w:eastAsia="宋体" w:cs="宋体"/>
          <w:color w:val="auto"/>
          <w:kern w:val="2"/>
          <w:sz w:val="24"/>
          <w:szCs w:val="24"/>
          <w:highlight w:val="none"/>
          <w:lang w:val="en-US" w:eastAsia="zh-CN" w:bidi="ar-SA"/>
        </w:rPr>
        <w:t>公司</w:t>
      </w:r>
      <w:r>
        <w:rPr>
          <w:rFonts w:hint="eastAsia" w:ascii="宋体" w:hAnsi="宋体" w:cs="宋体"/>
          <w:color w:val="auto"/>
          <w:kern w:val="2"/>
          <w:sz w:val="24"/>
          <w:szCs w:val="24"/>
          <w:highlight w:val="none"/>
          <w:lang w:val="en-US" w:eastAsia="zh-CN" w:bidi="ar-SA"/>
        </w:rPr>
        <w:t>副</w:t>
      </w:r>
      <w:r>
        <w:rPr>
          <w:rFonts w:hint="eastAsia" w:ascii="宋体" w:hAnsi="宋体" w:eastAsia="宋体" w:cs="宋体"/>
          <w:color w:val="auto"/>
          <w:kern w:val="2"/>
          <w:sz w:val="24"/>
          <w:szCs w:val="24"/>
          <w:highlight w:val="none"/>
          <w:lang w:val="en-US" w:eastAsia="zh-CN" w:bidi="ar-SA"/>
        </w:rPr>
        <w:t>总经理、总会计师</w:t>
      </w:r>
      <w:r>
        <w:rPr>
          <w:rFonts w:hint="eastAsia" w:ascii="宋体" w:hAnsi="宋体" w:cs="宋体"/>
          <w:color w:val="auto"/>
          <w:kern w:val="2"/>
          <w:sz w:val="24"/>
          <w:szCs w:val="24"/>
          <w:highlight w:val="none"/>
          <w:lang w:val="en-US" w:eastAsia="zh-CN" w:bidi="ar-SA"/>
        </w:rPr>
        <w:t>；贵州盘江煤电集团有限责任公司财务管理部总经理；贵州能源集团有限公司财务部部长；贵州能源集团有限公司总会计师、贵州金元监事会主席。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付  洁，高级会计师、注册会计师。曾任贵州能源集团有限公司审计部部长；贵州页岩气勘探开发有限责任公司党委委员、总会计师；贵州金元监事会主席。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闫祉宇，高级经济师。曾任国家电力投资集团有限公司山东分公司副总经理、纪委书记、工会主席</w:t>
      </w:r>
      <w:r>
        <w:rPr>
          <w:rFonts w:hint="eastAsia" w:ascii="宋体" w:hAnsi="宋体" w:cs="宋体"/>
          <w:color w:val="auto"/>
          <w:kern w:val="2"/>
          <w:sz w:val="24"/>
          <w:szCs w:val="24"/>
          <w:highlight w:val="none"/>
          <w:lang w:val="en-US" w:eastAsia="zh-CN" w:bidi="ar-SA"/>
        </w:rPr>
        <w:t>；贵州金元</w:t>
      </w:r>
      <w:r>
        <w:rPr>
          <w:rFonts w:hint="eastAsia" w:ascii="宋体" w:hAnsi="宋体" w:eastAsia="宋体" w:cs="宋体"/>
          <w:color w:val="auto"/>
          <w:kern w:val="2"/>
          <w:sz w:val="24"/>
          <w:szCs w:val="24"/>
          <w:highlight w:val="none"/>
          <w:lang w:val="en-US" w:eastAsia="zh-CN" w:bidi="ar-SA"/>
        </w:rPr>
        <w:t>党委委员、纪委书记、监事。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范德胜，工程师。曾任贵州元龙房地产开发有限公司执行董事、法定代表人、总经理</w:t>
      </w:r>
      <w:r>
        <w:rPr>
          <w:rFonts w:hint="eastAsia" w:ascii="宋体" w:hAnsi="宋体" w:cs="宋体"/>
          <w:color w:val="auto"/>
          <w:kern w:val="2"/>
          <w:sz w:val="24"/>
          <w:szCs w:val="24"/>
          <w:highlight w:val="none"/>
          <w:lang w:val="en-US" w:eastAsia="zh-CN" w:bidi="ar-SA"/>
        </w:rPr>
        <w:t>；贵州金元</w:t>
      </w:r>
      <w:r>
        <w:rPr>
          <w:rFonts w:hint="eastAsia" w:ascii="宋体" w:hAnsi="宋体" w:eastAsia="宋体" w:cs="宋体"/>
          <w:color w:val="auto"/>
          <w:kern w:val="2"/>
          <w:sz w:val="24"/>
          <w:szCs w:val="24"/>
          <w:highlight w:val="none"/>
          <w:lang w:val="en-US" w:eastAsia="zh-CN" w:bidi="ar-SA"/>
        </w:rPr>
        <w:t>职工监事，政法部主任。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为落实国务院国资委深化国有企业监事会改革工作要求，进一步完善中国特色国有企业现代公司治理，贵州金元按照党中央、国务院《关于完善中国特色现代企业制度的意见》、国务院国资委有关文件最新规定及国家电投《关于撤销集团公司系统内企业监事会和监事有关事项的通知》（国家电投治理〔2024〕232号），取消监事会、监事，并</w:t>
      </w:r>
      <w:r>
        <w:rPr>
          <w:rFonts w:hint="eastAsia" w:ascii="宋体" w:hAnsi="宋体" w:cs="宋体"/>
          <w:color w:val="auto"/>
          <w:kern w:val="2"/>
          <w:sz w:val="24"/>
          <w:szCs w:val="24"/>
          <w:highlight w:val="none"/>
          <w:lang w:val="en-US" w:eastAsia="zh-CN" w:bidi="ar-SA"/>
        </w:rPr>
        <w:t>已召开</w:t>
      </w:r>
      <w:r>
        <w:rPr>
          <w:rFonts w:hint="eastAsia" w:ascii="宋体" w:hAnsi="宋体" w:eastAsia="宋体" w:cs="宋体"/>
          <w:color w:val="auto"/>
          <w:kern w:val="2"/>
          <w:sz w:val="24"/>
          <w:szCs w:val="24"/>
          <w:highlight w:val="none"/>
          <w:lang w:val="en-US" w:eastAsia="zh-CN" w:bidi="ar-SA"/>
        </w:rPr>
        <w:t>股东会</w:t>
      </w:r>
      <w:bookmarkStart w:id="41" w:name="bookmark2"/>
      <w:bookmarkStart w:id="42" w:name="bookmark1"/>
      <w:bookmarkStart w:id="43" w:name="bookmark0"/>
      <w:r>
        <w:rPr>
          <w:rFonts w:hint="eastAsia" w:ascii="宋体" w:hAnsi="宋体" w:eastAsia="宋体" w:cs="宋体"/>
          <w:color w:val="auto"/>
          <w:kern w:val="2"/>
          <w:sz w:val="24"/>
          <w:szCs w:val="24"/>
          <w:highlight w:val="none"/>
          <w:lang w:val="en-US" w:eastAsia="zh-CN" w:bidi="ar-SA"/>
        </w:rPr>
        <w:t>，</w:t>
      </w:r>
      <w:bookmarkEnd w:id="41"/>
      <w:bookmarkEnd w:id="42"/>
      <w:bookmarkEnd w:id="43"/>
      <w:r>
        <w:rPr>
          <w:rFonts w:hint="eastAsia" w:ascii="宋体" w:hAnsi="宋体" w:eastAsia="宋体" w:cs="宋体"/>
          <w:color w:val="auto"/>
          <w:kern w:val="2"/>
          <w:sz w:val="24"/>
          <w:szCs w:val="24"/>
          <w:highlight w:val="none"/>
          <w:lang w:val="en-US" w:eastAsia="zh-CN" w:bidi="ar-SA"/>
        </w:rPr>
        <w:t>审议通过了《关于撤销监事会、监事的议案》。</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宋体" w:cs="宋体"/>
          <w:b/>
          <w:bCs/>
          <w:color w:val="auto"/>
          <w:kern w:val="2"/>
          <w:sz w:val="24"/>
          <w:szCs w:val="24"/>
          <w:highlight w:val="none"/>
          <w:lang w:val="en-US" w:eastAsia="zh-CN" w:bidi="ar-SA"/>
        </w:rPr>
      </w:pPr>
      <w:r>
        <w:rPr>
          <w:rFonts w:hint="eastAsia" w:ascii="Times New Roman" w:hAnsi="Times New Roman" w:eastAsia="宋体" w:cs="宋体"/>
          <w:b/>
          <w:bCs/>
          <w:color w:val="auto"/>
          <w:kern w:val="2"/>
          <w:sz w:val="24"/>
          <w:szCs w:val="24"/>
          <w:highlight w:val="none"/>
          <w:lang w:val="en-US" w:eastAsia="zh-CN" w:bidi="ar-SA"/>
        </w:rPr>
        <w:t>高级管理人员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吕  峰，正高级经济师。曾任吉林电力股份有限公司总工程师、副总经理、党委副书记、工会主席；国家电力投资集团有限公司党组巡视组副组长；国家电力投资集团有限公司江西公司董事、总经理、党委副书记。贵州金元董事、总经理、党委副书记。目前已履新至国家电投江西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朱仕祥，工程师、正高级经济师。曾任国家电投集团河北电力有限公司总经济师；石家庄东方新能源有限公司总经济师；国家电投雄安能源有限公司总经济师；国家电投集团东方新能源股份有限公司副总经理，国家电投集团战略规划与发展部（改革办、专家委办公室）副主任。目前任贵州金元董事、总经理、党委委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叶  飞，高级工程师。曾任贵州盘江煤电集团有限责任公司副总经理,贵州林东矿业（集团）有限责任公司党委书记、董事长。现任公司副总经理，党委委员。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李东麟，高级政工师。曾任贵州黔西中水发电有限公司董事长、总经理；公司人资部主任、教育培训中心主任、国家电力投资集团有限公司党校贵州金元分校副校长。现任公司副总经理、党委委员。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杨秀勇，高级工程师。曾任黔北水力发电总厂厂长，中水公司董事长、总经理，公司水电部主任、</w:t>
      </w:r>
      <w:r>
        <w:rPr>
          <w:rFonts w:hint="eastAsia" w:ascii="Times New Roman" w:hAnsi="Times New Roman" w:eastAsia="宋体" w:cs="宋体"/>
          <w:color w:val="auto"/>
          <w:kern w:val="2"/>
          <w:sz w:val="24"/>
          <w:szCs w:val="24"/>
          <w:highlight w:val="none"/>
          <w:lang w:val="zh-CN" w:eastAsia="zh-CN" w:bidi="ar-SA"/>
        </w:rPr>
        <w:t>发展部主任、规划发展中心主任，</w:t>
      </w:r>
      <w:r>
        <w:rPr>
          <w:rFonts w:hint="eastAsia" w:ascii="Times New Roman" w:hAnsi="Times New Roman" w:eastAsia="宋体" w:cs="宋体"/>
          <w:color w:val="auto"/>
          <w:kern w:val="2"/>
          <w:sz w:val="24"/>
          <w:szCs w:val="24"/>
          <w:highlight w:val="none"/>
          <w:lang w:val="en-US" w:eastAsia="zh-CN" w:bidi="ar-SA"/>
        </w:rPr>
        <w:t>现任贵州金元副总经理、党委委员。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瞿  进，高级工程师、注册安全工程师。曾任贵州黔西中水发电有限公司副总经理、党委委员，贵州金元市场营销部副主任、贵州金元茶园发电有限责任公司执行董事（法定代表人）、党委委员、总经理、党委副书记，现任贵州金元副总经理、党委委员。</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default"/>
          <w:color w:val="auto"/>
          <w:highlight w:val="none"/>
          <w:lang w:val="en-US" w:eastAsia="zh-CN"/>
        </w:rPr>
      </w:pPr>
      <w:r>
        <w:rPr>
          <w:rFonts w:hint="eastAsia" w:ascii="Times New Roman" w:hAnsi="Times New Roman" w:eastAsia="宋体" w:cs="宋体"/>
          <w:color w:val="auto"/>
          <w:kern w:val="2"/>
          <w:sz w:val="24"/>
          <w:szCs w:val="24"/>
          <w:highlight w:val="none"/>
          <w:lang w:val="en-US" w:eastAsia="zh-CN" w:bidi="ar-SA"/>
        </w:rPr>
        <w:t>张  珂，高级工程师。曾任贵州盘江煤电集团有限责任公司电力事业部总经理，盘江资产管理有限公司董事长，公司监事会主席，贵州盘江电力投资有限公司党委副书记、总经理，贵州金元董事。现任贵州金元副总经理、董事。</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黄雄军，高级会计师。曾任五凌电力有限公司财务共享中心主任、计划与财务部主任；贵州金元总会计师。现任国家电力投资集团有限公司专职董事。</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default"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马梦萧，高级会计师。曾任国家电投集团财务有限公司财务管理部总经理、计划财务部总经理、战略发展部（金融研究所）总经理、副总会计师。现任贵州金元总会计师。</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陈兴鹏，高级政工师。曾任贵州金元纪检监察部副主任、党委巡察办副主任、党建部主任、机关党委副书记、国家电投党校贵州金元分校副校长。现任贵州金元董事会秘书，办公室主任、法人治理办公室（董事会办公室）主任。</w:t>
      </w:r>
    </w:p>
    <w:p>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三、董事、监事在股东及股东关联单位任职情况</w:t>
      </w:r>
    </w:p>
    <w:tbl>
      <w:tblPr>
        <w:tblStyle w:val="22"/>
        <w:tblW w:w="8399" w:type="dxa"/>
        <w:tblInd w:w="-11" w:type="dxa"/>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4210"/>
        <w:gridCol w:w="2990"/>
      </w:tblGrid>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noWrap w:val="0"/>
            <w:vAlign w:val="center"/>
          </w:tcPr>
          <w:p>
            <w:pPr>
              <w:pStyle w:val="40"/>
              <w:spacing w:before="4" w:line="360" w:lineRule="auto"/>
              <w:ind w:left="233" w:right="234"/>
              <w:jc w:val="center"/>
              <w:rPr>
                <w:rFonts w:hint="eastAsia"/>
                <w:b/>
                <w:bCs/>
                <w:color w:val="auto"/>
                <w:sz w:val="21"/>
                <w:szCs w:val="21"/>
                <w:highlight w:val="none"/>
              </w:rPr>
            </w:pPr>
            <w:r>
              <w:rPr>
                <w:rFonts w:hint="eastAsia"/>
                <w:b/>
                <w:bCs/>
                <w:color w:val="auto"/>
                <w:sz w:val="21"/>
                <w:szCs w:val="21"/>
                <w:highlight w:val="none"/>
              </w:rPr>
              <w:t>姓名</w:t>
            </w:r>
          </w:p>
        </w:tc>
        <w:tc>
          <w:tcPr>
            <w:tcW w:w="4210" w:type="dxa"/>
            <w:noWrap w:val="0"/>
            <w:vAlign w:val="center"/>
          </w:tcPr>
          <w:p>
            <w:pPr>
              <w:pStyle w:val="40"/>
              <w:spacing w:before="4" w:line="360" w:lineRule="auto"/>
              <w:jc w:val="center"/>
              <w:rPr>
                <w:rFonts w:hint="eastAsia"/>
                <w:b/>
                <w:bCs/>
                <w:color w:val="auto"/>
                <w:sz w:val="21"/>
                <w:szCs w:val="21"/>
                <w:highlight w:val="none"/>
              </w:rPr>
            </w:pPr>
            <w:r>
              <w:rPr>
                <w:rFonts w:hint="eastAsia"/>
                <w:b/>
                <w:bCs/>
                <w:color w:val="auto"/>
                <w:sz w:val="21"/>
                <w:szCs w:val="21"/>
                <w:highlight w:val="none"/>
              </w:rPr>
              <w:t>任职单位名称</w:t>
            </w:r>
          </w:p>
        </w:tc>
        <w:tc>
          <w:tcPr>
            <w:tcW w:w="2990" w:type="dxa"/>
            <w:noWrap w:val="0"/>
            <w:vAlign w:val="center"/>
          </w:tcPr>
          <w:p>
            <w:pPr>
              <w:pStyle w:val="40"/>
              <w:spacing w:before="4" w:line="360" w:lineRule="auto"/>
              <w:ind w:left="479" w:right="479"/>
              <w:jc w:val="center"/>
              <w:rPr>
                <w:rFonts w:hint="eastAsia"/>
                <w:b/>
                <w:bCs/>
                <w:color w:val="auto"/>
                <w:sz w:val="21"/>
                <w:szCs w:val="21"/>
                <w:highlight w:val="none"/>
              </w:rPr>
            </w:pPr>
            <w:r>
              <w:rPr>
                <w:rFonts w:hint="eastAsia"/>
                <w:b/>
                <w:bCs/>
                <w:color w:val="auto"/>
                <w:sz w:val="21"/>
                <w:szCs w:val="21"/>
                <w:highlight w:val="none"/>
              </w:rPr>
              <w:t>担任的职务</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restart"/>
            <w:tcBorders>
              <w:top w:val="single" w:color="auto" w:sz="4" w:space="0"/>
            </w:tcBorders>
            <w:noWrap w:val="0"/>
            <w:vAlign w:val="center"/>
          </w:tcPr>
          <w:p>
            <w:pPr>
              <w:pStyle w:val="40"/>
              <w:spacing w:before="38"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仇  明</w:t>
            </w:r>
          </w:p>
        </w:tc>
        <w:tc>
          <w:tcPr>
            <w:tcW w:w="4210" w:type="dxa"/>
            <w:tcBorders>
              <w:top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国家电投集团</w:t>
            </w:r>
            <w:r>
              <w:rPr>
                <w:rFonts w:hint="eastAsia"/>
                <w:color w:val="auto"/>
                <w:sz w:val="21"/>
                <w:szCs w:val="21"/>
                <w:highlight w:val="none"/>
                <w:lang w:val="en-US" w:eastAsia="zh-CN"/>
              </w:rPr>
              <w:t>创新投资公司</w:t>
            </w:r>
          </w:p>
        </w:tc>
        <w:tc>
          <w:tcPr>
            <w:tcW w:w="2990" w:type="dxa"/>
            <w:noWrap w:val="0"/>
            <w:vAlign w:val="center"/>
          </w:tcPr>
          <w:p>
            <w:pPr>
              <w:pStyle w:val="40"/>
              <w:spacing w:before="38" w:line="360" w:lineRule="auto"/>
              <w:ind w:left="477" w:leftChars="0" w:right="479" w:rightChars="0"/>
              <w:jc w:val="center"/>
              <w:rPr>
                <w:rFonts w:hint="default"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continue"/>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国家核电技术公司</w:t>
            </w:r>
          </w:p>
        </w:tc>
        <w:tc>
          <w:tcPr>
            <w:tcW w:w="2990" w:type="dxa"/>
            <w:noWrap w:val="0"/>
            <w:vAlign w:val="center"/>
          </w:tcPr>
          <w:p>
            <w:pPr>
              <w:pStyle w:val="40"/>
              <w:spacing w:before="38" w:line="360" w:lineRule="auto"/>
              <w:ind w:left="477"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监事会主席</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restart"/>
            <w:tcBorders>
              <w:top w:val="single" w:color="auto" w:sz="4" w:space="0"/>
            </w:tcBorders>
            <w:noWrap w:val="0"/>
            <w:vAlign w:val="center"/>
          </w:tcPr>
          <w:p>
            <w:pPr>
              <w:pStyle w:val="40"/>
              <w:spacing w:before="37"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黄青华</w:t>
            </w:r>
          </w:p>
        </w:tc>
        <w:tc>
          <w:tcPr>
            <w:tcW w:w="4210" w:type="dxa"/>
            <w:tcBorders>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中国电力国际发展有限公司</w:t>
            </w:r>
          </w:p>
        </w:tc>
        <w:tc>
          <w:tcPr>
            <w:tcW w:w="2990" w:type="dxa"/>
            <w:noWrap w:val="0"/>
            <w:vAlign w:val="center"/>
          </w:tcPr>
          <w:p>
            <w:pPr>
              <w:pStyle w:val="40"/>
              <w:spacing w:before="38" w:line="360" w:lineRule="auto"/>
              <w:ind w:left="477" w:leftChars="0" w:right="479" w:rightChars="0"/>
              <w:jc w:val="center"/>
              <w:rPr>
                <w:rFonts w:hint="default"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continue"/>
            <w:noWrap w:val="0"/>
            <w:vAlign w:val="center"/>
          </w:tcPr>
          <w:p>
            <w:pPr>
              <w:pStyle w:val="40"/>
              <w:spacing w:before="37" w:line="360" w:lineRule="auto"/>
              <w:ind w:left="233" w:right="234"/>
              <w:jc w:val="center"/>
              <w:rPr>
                <w:rFonts w:hint="eastAsia"/>
                <w:color w:val="auto"/>
                <w:sz w:val="21"/>
                <w:szCs w:val="21"/>
                <w:highlight w:val="none"/>
                <w:lang w:eastAsia="zh-CN"/>
              </w:rPr>
            </w:pPr>
          </w:p>
        </w:tc>
        <w:tc>
          <w:tcPr>
            <w:tcW w:w="4210" w:type="dxa"/>
            <w:tcBorders>
              <w:top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中国电力国际有限公司</w:t>
            </w:r>
          </w:p>
        </w:tc>
        <w:tc>
          <w:tcPr>
            <w:tcW w:w="2990" w:type="dxa"/>
            <w:noWrap w:val="0"/>
            <w:vAlign w:val="center"/>
          </w:tcPr>
          <w:p>
            <w:pPr>
              <w:pStyle w:val="40"/>
              <w:spacing w:before="38" w:line="360" w:lineRule="auto"/>
              <w:ind w:left="477" w:leftChars="0" w:right="479" w:rightChars="0"/>
              <w:jc w:val="center"/>
              <w:rPr>
                <w:rFonts w:hint="default"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exact"/>
        </w:trPr>
        <w:tc>
          <w:tcPr>
            <w:tcW w:w="1199" w:type="dxa"/>
            <w:vMerge w:val="continue"/>
            <w:tcBorders>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tcBorders>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国家电投集团铝电投资有限公司</w:t>
            </w:r>
          </w:p>
        </w:tc>
        <w:tc>
          <w:tcPr>
            <w:tcW w:w="2990" w:type="dxa"/>
            <w:tcBorders>
              <w:bottom w:val="single" w:color="auto" w:sz="4" w:space="0"/>
            </w:tcBorders>
            <w:noWrap w:val="0"/>
            <w:vAlign w:val="center"/>
          </w:tcPr>
          <w:p>
            <w:pPr>
              <w:pStyle w:val="40"/>
              <w:spacing w:before="38" w:line="360" w:lineRule="auto"/>
              <w:ind w:left="477"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199" w:type="dxa"/>
            <w:vMerge w:val="continue"/>
            <w:tcBorders>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tcBorders>
              <w:top w:val="single" w:color="auto" w:sz="4" w:space="0"/>
              <w:bottom w:val="single" w:color="auto" w:sz="4" w:space="0"/>
            </w:tcBorders>
            <w:noWrap w:val="0"/>
            <w:vAlign w:val="center"/>
          </w:tcPr>
          <w:p>
            <w:pPr>
              <w:pStyle w:val="40"/>
              <w:spacing w:before="37"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国家电投集团重庆电力有限公司</w:t>
            </w:r>
          </w:p>
        </w:tc>
        <w:tc>
          <w:tcPr>
            <w:tcW w:w="2990" w:type="dxa"/>
            <w:tcBorders>
              <w:top w:val="single" w:color="auto" w:sz="4" w:space="0"/>
              <w:bottom w:val="single" w:color="auto" w:sz="4" w:space="0"/>
            </w:tcBorders>
            <w:noWrap w:val="0"/>
            <w:vAlign w:val="center"/>
          </w:tcPr>
          <w:p>
            <w:pPr>
              <w:pStyle w:val="40"/>
              <w:spacing w:before="37" w:line="360" w:lineRule="auto"/>
              <w:ind w:left="477"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trPr>
        <w:tc>
          <w:tcPr>
            <w:tcW w:w="1199" w:type="dxa"/>
            <w:vMerge w:val="continue"/>
            <w:tcBorders>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tcBorders>
              <w:top w:val="single" w:color="auto" w:sz="4" w:space="0"/>
            </w:tcBorders>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中核河南核电有限公司</w:t>
            </w:r>
          </w:p>
        </w:tc>
        <w:tc>
          <w:tcPr>
            <w:tcW w:w="2990" w:type="dxa"/>
            <w:tcBorders>
              <w:top w:val="single" w:color="auto" w:sz="4" w:space="0"/>
            </w:tcBorders>
            <w:noWrap w:val="0"/>
            <w:vAlign w:val="center"/>
          </w:tcPr>
          <w:p>
            <w:pPr>
              <w:pStyle w:val="40"/>
              <w:spacing w:before="38" w:line="360" w:lineRule="auto"/>
              <w:ind w:left="477"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监事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restart"/>
            <w:tcBorders>
              <w:top w:val="single" w:color="auto" w:sz="4" w:space="0"/>
              <w:bottom w:val="single" w:color="auto" w:sz="4" w:space="0"/>
            </w:tcBorders>
            <w:noWrap w:val="0"/>
            <w:vAlign w:val="center"/>
          </w:tcPr>
          <w:p>
            <w:pPr>
              <w:pStyle w:val="40"/>
              <w:spacing w:before="37" w:line="360" w:lineRule="auto"/>
              <w:ind w:left="233" w:leftChars="0" w:right="234" w:rightChars="0"/>
              <w:jc w:val="center"/>
              <w:rPr>
                <w:rFonts w:hint="eastAsia"/>
                <w:color w:val="auto"/>
                <w:sz w:val="21"/>
                <w:szCs w:val="21"/>
                <w:highlight w:val="none"/>
                <w:lang w:val="en-US" w:eastAsia="zh-CN"/>
              </w:rPr>
            </w:pPr>
          </w:p>
          <w:p>
            <w:pPr>
              <w:pStyle w:val="40"/>
              <w:spacing w:before="37"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程东航</w:t>
            </w:r>
          </w:p>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7"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国家电投集团广西电力有限公司</w:t>
            </w:r>
          </w:p>
        </w:tc>
        <w:tc>
          <w:tcPr>
            <w:tcW w:w="2990" w:type="dxa"/>
            <w:noWrap w:val="0"/>
            <w:vAlign w:val="center"/>
          </w:tcPr>
          <w:p>
            <w:pPr>
              <w:pStyle w:val="40"/>
              <w:spacing w:before="37"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199" w:type="dxa"/>
            <w:vMerge w:val="continue"/>
            <w:tcBorders>
              <w:top w:val="single" w:color="auto" w:sz="4" w:space="0"/>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7"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国家电投集团山西电力有限公司</w:t>
            </w:r>
          </w:p>
        </w:tc>
        <w:tc>
          <w:tcPr>
            <w:tcW w:w="2990" w:type="dxa"/>
            <w:noWrap w:val="0"/>
            <w:vAlign w:val="center"/>
          </w:tcPr>
          <w:p>
            <w:pPr>
              <w:pStyle w:val="40"/>
              <w:spacing w:before="37"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Borders>
              <w:top w:val="single" w:color="auto" w:sz="4" w:space="0"/>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7"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国家电投集团国核自仪系统工程有限公司</w:t>
            </w:r>
          </w:p>
        </w:tc>
        <w:tc>
          <w:tcPr>
            <w:tcW w:w="2990" w:type="dxa"/>
            <w:noWrap w:val="0"/>
            <w:vAlign w:val="center"/>
          </w:tcPr>
          <w:p>
            <w:pPr>
              <w:pStyle w:val="40"/>
              <w:spacing w:before="37"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1199" w:type="dxa"/>
            <w:vMerge w:val="restart"/>
            <w:tcBorders>
              <w:top w:val="single" w:color="auto" w:sz="4" w:space="0"/>
            </w:tcBorders>
            <w:noWrap w:val="0"/>
            <w:vAlign w:val="center"/>
          </w:tcPr>
          <w:p>
            <w:pPr>
              <w:pStyle w:val="40"/>
              <w:spacing w:before="38" w:line="360" w:lineRule="auto"/>
              <w:ind w:left="233" w:leftChars="0" w:right="234" w:righ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王  浩</w:t>
            </w:r>
          </w:p>
        </w:tc>
        <w:tc>
          <w:tcPr>
            <w:tcW w:w="4210" w:type="dxa"/>
            <w:tcBorders>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国家电投集团产融控股股份有限公司</w:t>
            </w:r>
          </w:p>
        </w:tc>
        <w:tc>
          <w:tcPr>
            <w:tcW w:w="2990" w:type="dxa"/>
            <w:tcBorders>
              <w:bottom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trPr>
        <w:tc>
          <w:tcPr>
            <w:tcW w:w="1199" w:type="dxa"/>
            <w:vMerge w:val="continue"/>
            <w:tcBorders>
              <w:bottom w:val="single" w:color="auto" w:sz="4" w:space="0"/>
            </w:tcBorders>
            <w:noWrap w:val="0"/>
            <w:vAlign w:val="center"/>
          </w:tcPr>
          <w:p>
            <w:pPr>
              <w:pStyle w:val="40"/>
              <w:spacing w:before="38" w:line="360" w:lineRule="auto"/>
              <w:ind w:left="233" w:leftChars="0" w:right="234" w:rightChars="0"/>
              <w:jc w:val="center"/>
              <w:rPr>
                <w:rFonts w:hint="eastAsia" w:cs="宋体"/>
                <w:color w:val="auto"/>
                <w:kern w:val="0"/>
                <w:sz w:val="21"/>
                <w:szCs w:val="21"/>
                <w:highlight w:val="none"/>
                <w:lang w:val="en-US" w:eastAsia="zh-CN" w:bidi="ar-SA"/>
              </w:rPr>
            </w:pPr>
          </w:p>
        </w:tc>
        <w:tc>
          <w:tcPr>
            <w:tcW w:w="4210" w:type="dxa"/>
            <w:tcBorders>
              <w:top w:val="single" w:color="auto" w:sz="4" w:space="0"/>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国家电投集团山西电力有限公司</w:t>
            </w:r>
          </w:p>
        </w:tc>
        <w:tc>
          <w:tcPr>
            <w:tcW w:w="2990" w:type="dxa"/>
            <w:tcBorders>
              <w:top w:val="single" w:color="auto" w:sz="4" w:space="0"/>
              <w:bottom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199" w:type="dxa"/>
            <w:vMerge w:val="continue"/>
            <w:tcBorders>
              <w:bottom w:val="single" w:color="auto" w:sz="4" w:space="0"/>
            </w:tcBorders>
            <w:noWrap w:val="0"/>
            <w:vAlign w:val="center"/>
          </w:tcPr>
          <w:p>
            <w:pPr>
              <w:pStyle w:val="40"/>
              <w:spacing w:before="38" w:line="360" w:lineRule="auto"/>
              <w:ind w:left="233" w:leftChars="0" w:right="234" w:rightChars="0"/>
              <w:jc w:val="center"/>
              <w:rPr>
                <w:rFonts w:hint="eastAsia" w:cs="宋体"/>
                <w:color w:val="auto"/>
                <w:kern w:val="0"/>
                <w:sz w:val="21"/>
                <w:szCs w:val="21"/>
                <w:highlight w:val="none"/>
                <w:lang w:val="en-US" w:eastAsia="zh-CN" w:bidi="ar-SA"/>
              </w:rPr>
            </w:pPr>
          </w:p>
        </w:tc>
        <w:tc>
          <w:tcPr>
            <w:tcW w:w="4210" w:type="dxa"/>
            <w:tcBorders>
              <w:top w:val="single" w:color="auto" w:sz="4" w:space="0"/>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国家电投集团海南电力有限公司</w:t>
            </w:r>
          </w:p>
        </w:tc>
        <w:tc>
          <w:tcPr>
            <w:tcW w:w="2990" w:type="dxa"/>
            <w:tcBorders>
              <w:top w:val="single" w:color="auto" w:sz="4" w:space="0"/>
              <w:bottom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trPr>
        <w:tc>
          <w:tcPr>
            <w:tcW w:w="1199" w:type="dxa"/>
            <w:vMerge w:val="continue"/>
            <w:tcBorders>
              <w:bottom w:val="single" w:color="auto" w:sz="4" w:space="0"/>
            </w:tcBorders>
            <w:noWrap w:val="0"/>
            <w:vAlign w:val="center"/>
          </w:tcPr>
          <w:p>
            <w:pPr>
              <w:pStyle w:val="40"/>
              <w:spacing w:before="38" w:line="360" w:lineRule="auto"/>
              <w:ind w:left="233" w:leftChars="0" w:right="234" w:rightChars="0"/>
              <w:jc w:val="center"/>
              <w:rPr>
                <w:rFonts w:hint="eastAsia" w:cs="宋体"/>
                <w:color w:val="auto"/>
                <w:kern w:val="0"/>
                <w:sz w:val="21"/>
                <w:szCs w:val="21"/>
                <w:highlight w:val="none"/>
                <w:lang w:val="en-US" w:eastAsia="zh-CN" w:bidi="ar-SA"/>
              </w:rPr>
            </w:pPr>
          </w:p>
        </w:tc>
        <w:tc>
          <w:tcPr>
            <w:tcW w:w="4210" w:type="dxa"/>
            <w:tcBorders>
              <w:top w:val="single" w:color="auto" w:sz="4" w:space="0"/>
              <w:bottom w:val="single" w:color="auto" w:sz="4" w:space="0"/>
            </w:tcBorders>
            <w:noWrap w:val="0"/>
            <w:vAlign w:val="center"/>
          </w:tcPr>
          <w:p>
            <w:pPr>
              <w:pStyle w:val="40"/>
              <w:spacing w:before="38" w:line="360" w:lineRule="auto"/>
              <w:ind w:left="104" w:left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国家电投集团福建电力有限公司</w:t>
            </w:r>
          </w:p>
        </w:tc>
        <w:tc>
          <w:tcPr>
            <w:tcW w:w="2990" w:type="dxa"/>
            <w:tcBorders>
              <w:top w:val="single" w:color="auto" w:sz="4" w:space="0"/>
              <w:bottom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1199" w:type="dxa"/>
            <w:vMerge w:val="restart"/>
            <w:tcBorders>
              <w:top w:val="single" w:color="auto" w:sz="4" w:space="0"/>
            </w:tcBorders>
            <w:noWrap w:val="0"/>
            <w:vAlign w:val="center"/>
          </w:tcPr>
          <w:p>
            <w:pPr>
              <w:pStyle w:val="40"/>
              <w:spacing w:before="38" w:line="360" w:lineRule="auto"/>
              <w:ind w:left="233" w:leftChars="0" w:right="234" w:rightChars="0"/>
              <w:jc w:val="center"/>
              <w:rPr>
                <w:rFonts w:hint="eastAsia"/>
                <w:color w:val="auto"/>
                <w:sz w:val="21"/>
                <w:szCs w:val="21"/>
                <w:highlight w:val="none"/>
                <w:lang w:eastAsia="zh-CN"/>
              </w:rPr>
            </w:pPr>
            <w:r>
              <w:rPr>
                <w:rFonts w:hint="eastAsia"/>
                <w:color w:val="auto"/>
                <w:sz w:val="21"/>
                <w:szCs w:val="21"/>
                <w:highlight w:val="none"/>
                <w:lang w:eastAsia="zh-CN"/>
              </w:rPr>
              <w:t>张  珂</w:t>
            </w:r>
          </w:p>
        </w:tc>
        <w:tc>
          <w:tcPr>
            <w:tcW w:w="4210" w:type="dxa"/>
            <w:tcBorders>
              <w:top w:val="single" w:color="auto" w:sz="4" w:space="0"/>
            </w:tcBorders>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贵州盘江电力投资有限公司</w:t>
            </w:r>
          </w:p>
        </w:tc>
        <w:tc>
          <w:tcPr>
            <w:tcW w:w="2990" w:type="dxa"/>
            <w:tcBorders>
              <w:top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董事兼总经理</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trPr>
        <w:tc>
          <w:tcPr>
            <w:tcW w:w="1199" w:type="dxa"/>
            <w:vMerge w:val="continue"/>
            <w:tcBorders>
              <w:top w:val="single" w:color="auto" w:sz="4" w:space="0"/>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贵州盘江电投发电有限公司</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董事兼总经理</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1199" w:type="dxa"/>
            <w:vMerge w:val="continue"/>
            <w:tcBorders>
              <w:top w:val="single" w:color="auto" w:sz="4" w:space="0"/>
              <w:bottom w:val="single" w:color="auto" w:sz="4" w:space="0"/>
            </w:tcBorders>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贵州盘江力博装备制造有限公司</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trPr>
        <w:tc>
          <w:tcPr>
            <w:tcW w:w="1199" w:type="dxa"/>
            <w:tcBorders>
              <w:top w:val="single" w:color="auto" w:sz="4" w:space="0"/>
            </w:tcBorders>
            <w:noWrap w:val="0"/>
            <w:vAlign w:val="center"/>
          </w:tcPr>
          <w:p>
            <w:pPr>
              <w:pStyle w:val="40"/>
              <w:spacing w:before="38"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赵华邦</w:t>
            </w:r>
          </w:p>
        </w:tc>
        <w:tc>
          <w:tcPr>
            <w:tcW w:w="4210" w:type="dxa"/>
            <w:tcBorders>
              <w:top w:val="single" w:color="auto" w:sz="4" w:space="0"/>
            </w:tcBorders>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贵州能源集团有限公司</w:t>
            </w:r>
          </w:p>
        </w:tc>
        <w:tc>
          <w:tcPr>
            <w:tcW w:w="2990" w:type="dxa"/>
            <w:tcBorders>
              <w:top w:val="single" w:color="auto" w:sz="4" w:space="0"/>
            </w:tcBorders>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副总工程师</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restart"/>
            <w:noWrap w:val="0"/>
            <w:vAlign w:val="center"/>
          </w:tcPr>
          <w:p>
            <w:pPr>
              <w:pStyle w:val="40"/>
              <w:spacing w:before="38"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葛斌峰</w:t>
            </w: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贵州金元织金清洁能源公司</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贵州金元蒙江水电</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贵州钟山野马</w:t>
            </w:r>
            <w:r>
              <w:rPr>
                <w:rFonts w:hint="eastAsia"/>
                <w:color w:val="auto"/>
                <w:sz w:val="21"/>
                <w:szCs w:val="21"/>
                <w:highlight w:val="none"/>
                <w:lang w:val="en-US" w:eastAsia="zh-CN"/>
              </w:rPr>
              <w:t>寨</w:t>
            </w:r>
            <w:r>
              <w:rPr>
                <w:rFonts w:hint="eastAsia"/>
                <w:color w:val="auto"/>
                <w:sz w:val="21"/>
                <w:szCs w:val="21"/>
                <w:highlight w:val="none"/>
                <w:lang w:eastAsia="zh-CN"/>
              </w:rPr>
              <w:t>热电有限公司</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董事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noWrap w:val="0"/>
            <w:vAlign w:val="center"/>
          </w:tcPr>
          <w:p>
            <w:pPr>
              <w:pStyle w:val="40"/>
              <w:spacing w:before="38" w:line="360" w:lineRule="auto"/>
              <w:ind w:left="233" w:right="234"/>
              <w:jc w:val="center"/>
              <w:rPr>
                <w:rFonts w:hint="eastAsia"/>
                <w:color w:val="auto"/>
                <w:sz w:val="21"/>
                <w:szCs w:val="21"/>
                <w:highlight w:val="none"/>
                <w:lang w:eastAsia="zh-CN"/>
              </w:rPr>
            </w:pPr>
          </w:p>
        </w:tc>
        <w:tc>
          <w:tcPr>
            <w:tcW w:w="4210" w:type="dxa"/>
            <w:noWrap w:val="0"/>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贵州金元鸭溪发电</w:t>
            </w:r>
          </w:p>
        </w:tc>
        <w:tc>
          <w:tcPr>
            <w:tcW w:w="2990" w:type="dxa"/>
            <w:noWrap w:val="0"/>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监事</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restart"/>
            <w:vAlign w:val="center"/>
          </w:tcPr>
          <w:p>
            <w:pPr>
              <w:pStyle w:val="40"/>
              <w:spacing w:before="38" w:line="360" w:lineRule="auto"/>
              <w:ind w:left="233" w:leftChars="0" w:right="234"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方德亚</w:t>
            </w:r>
          </w:p>
        </w:tc>
        <w:tc>
          <w:tcPr>
            <w:tcW w:w="4210" w:type="dxa"/>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w:t>
            </w:r>
            <w:r>
              <w:rPr>
                <w:rFonts w:hint="eastAsia"/>
                <w:color w:val="auto"/>
                <w:sz w:val="21"/>
                <w:szCs w:val="21"/>
                <w:highlight w:val="none"/>
                <w:lang w:val="en-US" w:eastAsia="zh-CN"/>
              </w:rPr>
              <w:t>能源资产管理有限公司</w:t>
            </w:r>
          </w:p>
        </w:tc>
        <w:tc>
          <w:tcPr>
            <w:tcW w:w="2990" w:type="dxa"/>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党委书记、董事长</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贵州能源集团电力投资有限公司</w:t>
            </w:r>
          </w:p>
        </w:tc>
        <w:tc>
          <w:tcPr>
            <w:tcW w:w="2990" w:type="dxa"/>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监事会主席</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六枝工矿（集团）有限责任公司</w:t>
            </w:r>
          </w:p>
        </w:tc>
        <w:tc>
          <w:tcPr>
            <w:tcW w:w="2990" w:type="dxa"/>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监事会主席</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restart"/>
            <w:vAlign w:val="center"/>
          </w:tcPr>
          <w:p>
            <w:pPr>
              <w:pStyle w:val="40"/>
              <w:spacing w:before="38" w:line="360" w:lineRule="auto"/>
              <w:ind w:left="233" w:right="234"/>
              <w:jc w:val="center"/>
              <w:rPr>
                <w:rFonts w:hint="default"/>
                <w:color w:val="auto"/>
                <w:sz w:val="21"/>
                <w:szCs w:val="21"/>
                <w:highlight w:val="none"/>
                <w:lang w:val="en-US" w:eastAsia="zh-CN"/>
              </w:rPr>
            </w:pPr>
            <w:r>
              <w:rPr>
                <w:rFonts w:hint="eastAsia"/>
                <w:color w:val="auto"/>
                <w:sz w:val="21"/>
                <w:szCs w:val="21"/>
                <w:highlight w:val="none"/>
                <w:lang w:val="en-US" w:eastAsia="zh-CN"/>
              </w:rPr>
              <w:t>付  洁</w:t>
            </w:r>
          </w:p>
        </w:tc>
        <w:tc>
          <w:tcPr>
            <w:tcW w:w="4210" w:type="dxa"/>
            <w:vAlign w:val="center"/>
          </w:tcPr>
          <w:p>
            <w:pPr>
              <w:pStyle w:val="40"/>
              <w:spacing w:before="38" w:line="360" w:lineRule="auto"/>
              <w:ind w:left="104" w:leftChars="0"/>
              <w:jc w:val="center"/>
              <w:rPr>
                <w:rFonts w:hint="default"/>
                <w:color w:val="auto"/>
                <w:sz w:val="21"/>
                <w:szCs w:val="21"/>
                <w:highlight w:val="none"/>
                <w:lang w:val="en-US" w:eastAsia="zh-CN"/>
              </w:rPr>
            </w:pPr>
            <w:r>
              <w:rPr>
                <w:rFonts w:hint="eastAsia"/>
                <w:color w:val="auto"/>
                <w:sz w:val="21"/>
                <w:szCs w:val="21"/>
                <w:highlight w:val="none"/>
                <w:lang w:val="en-US" w:eastAsia="zh-CN"/>
              </w:rPr>
              <w:t>贵州能源集团有限公司</w:t>
            </w:r>
          </w:p>
        </w:tc>
        <w:tc>
          <w:tcPr>
            <w:tcW w:w="2990" w:type="dxa"/>
            <w:vAlign w:val="center"/>
          </w:tcPr>
          <w:p>
            <w:pPr>
              <w:pStyle w:val="40"/>
              <w:spacing w:before="38" w:line="360" w:lineRule="auto"/>
              <w:ind w:left="479" w:leftChars="0" w:right="479"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审计部部长</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default"/>
                <w:color w:val="auto"/>
                <w:sz w:val="21"/>
                <w:szCs w:val="21"/>
                <w:highlight w:val="none"/>
                <w:lang w:val="en-US" w:eastAsia="zh-CN"/>
              </w:rPr>
            </w:pPr>
            <w:r>
              <w:rPr>
                <w:rFonts w:hint="eastAsia"/>
                <w:color w:val="auto"/>
                <w:sz w:val="21"/>
                <w:szCs w:val="21"/>
                <w:highlight w:val="none"/>
                <w:lang w:val="en-US" w:eastAsia="zh-CN"/>
              </w:rPr>
              <w:t>贵州页岩气勘探开发有限责任公司</w:t>
            </w:r>
          </w:p>
        </w:tc>
        <w:tc>
          <w:tcPr>
            <w:tcW w:w="2990" w:type="dxa"/>
            <w:vAlign w:val="center"/>
          </w:tcPr>
          <w:p>
            <w:pPr>
              <w:pStyle w:val="40"/>
              <w:spacing w:before="38" w:line="360" w:lineRule="auto"/>
              <w:ind w:left="479" w:leftChars="0" w:right="479"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总会计师</w:t>
            </w:r>
          </w:p>
        </w:tc>
      </w:tr>
    </w:tbl>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四、外部监事在除本公司以外单位任职的情况</w:t>
      </w:r>
    </w:p>
    <w:tbl>
      <w:tblPr>
        <w:tblStyle w:val="22"/>
        <w:tblW w:w="8399" w:type="dxa"/>
        <w:tblInd w:w="-11" w:type="dxa"/>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4210"/>
        <w:gridCol w:w="2990"/>
      </w:tblGrid>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1199" w:type="dxa"/>
            <w:tcBorders>
              <w:bottom w:val="single" w:color="auto" w:sz="4" w:space="0"/>
            </w:tcBorders>
            <w:vAlign w:val="center"/>
          </w:tcPr>
          <w:p>
            <w:pPr>
              <w:pStyle w:val="40"/>
              <w:spacing w:before="4" w:line="360" w:lineRule="auto"/>
              <w:ind w:left="233" w:leftChars="0" w:right="234" w:rightChars="0"/>
              <w:jc w:val="center"/>
              <w:rPr>
                <w:rFonts w:hint="eastAsia" w:ascii="宋体" w:hAnsi="宋体" w:eastAsia="宋体" w:cs="宋体"/>
                <w:b/>
                <w:bCs/>
                <w:color w:val="auto"/>
                <w:kern w:val="0"/>
                <w:sz w:val="21"/>
                <w:szCs w:val="21"/>
                <w:highlight w:val="none"/>
                <w:lang w:val="en-US" w:eastAsia="zh-CN" w:bidi="ar-SA"/>
              </w:rPr>
            </w:pPr>
            <w:r>
              <w:rPr>
                <w:rFonts w:hint="eastAsia"/>
                <w:b/>
                <w:bCs/>
                <w:color w:val="auto"/>
                <w:sz w:val="21"/>
                <w:szCs w:val="21"/>
                <w:highlight w:val="none"/>
              </w:rPr>
              <w:t>姓名</w:t>
            </w:r>
          </w:p>
        </w:tc>
        <w:tc>
          <w:tcPr>
            <w:tcW w:w="4210" w:type="dxa"/>
            <w:tcBorders>
              <w:bottom w:val="single" w:color="auto" w:sz="4" w:space="0"/>
            </w:tcBorders>
            <w:vAlign w:val="center"/>
          </w:tcPr>
          <w:p>
            <w:pPr>
              <w:pStyle w:val="40"/>
              <w:spacing w:before="4" w:line="360" w:lineRule="auto"/>
              <w:jc w:val="center"/>
              <w:rPr>
                <w:rFonts w:hint="eastAsia" w:ascii="宋体" w:hAnsi="宋体" w:eastAsia="宋体" w:cs="宋体"/>
                <w:b/>
                <w:bCs/>
                <w:color w:val="auto"/>
                <w:kern w:val="0"/>
                <w:sz w:val="21"/>
                <w:szCs w:val="21"/>
                <w:highlight w:val="none"/>
                <w:lang w:val="en-US" w:eastAsia="zh-CN" w:bidi="ar-SA"/>
              </w:rPr>
            </w:pPr>
            <w:r>
              <w:rPr>
                <w:rFonts w:hint="eastAsia"/>
                <w:b/>
                <w:bCs/>
                <w:color w:val="auto"/>
                <w:sz w:val="21"/>
                <w:szCs w:val="21"/>
                <w:highlight w:val="none"/>
              </w:rPr>
              <w:t>任职单位名称</w:t>
            </w:r>
          </w:p>
        </w:tc>
        <w:tc>
          <w:tcPr>
            <w:tcW w:w="2990" w:type="dxa"/>
            <w:tcBorders>
              <w:bottom w:val="single" w:color="auto" w:sz="4" w:space="0"/>
            </w:tcBorders>
            <w:vAlign w:val="center"/>
          </w:tcPr>
          <w:p>
            <w:pPr>
              <w:pStyle w:val="40"/>
              <w:spacing w:before="4" w:line="360" w:lineRule="auto"/>
              <w:ind w:left="479" w:leftChars="0" w:right="479" w:rightChars="0"/>
              <w:jc w:val="center"/>
              <w:rPr>
                <w:rFonts w:hint="eastAsia" w:ascii="宋体" w:hAnsi="宋体" w:eastAsia="宋体" w:cs="宋体"/>
                <w:b/>
                <w:bCs/>
                <w:color w:val="auto"/>
                <w:kern w:val="0"/>
                <w:sz w:val="21"/>
                <w:szCs w:val="21"/>
                <w:highlight w:val="none"/>
                <w:lang w:val="en-US" w:eastAsia="zh-CN" w:bidi="ar-SA"/>
              </w:rPr>
            </w:pPr>
            <w:r>
              <w:rPr>
                <w:rFonts w:hint="eastAsia"/>
                <w:b/>
                <w:bCs/>
                <w:color w:val="auto"/>
                <w:sz w:val="21"/>
                <w:szCs w:val="21"/>
                <w:highlight w:val="none"/>
              </w:rPr>
              <w:t>担任的职务</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1199" w:type="dxa"/>
            <w:vMerge w:val="restart"/>
            <w:tcBorders>
              <w:top w:val="single" w:color="auto" w:sz="4" w:space="0"/>
            </w:tcBorders>
            <w:vAlign w:val="center"/>
          </w:tcPr>
          <w:p>
            <w:pPr>
              <w:pStyle w:val="40"/>
              <w:spacing w:before="38" w:line="360" w:lineRule="auto"/>
              <w:ind w:left="233" w:leftChars="0" w:right="234" w:rightChars="0"/>
              <w:jc w:val="center"/>
              <w:rPr>
                <w:rFonts w:hint="eastAsia"/>
                <w:color w:val="auto"/>
                <w:sz w:val="21"/>
                <w:szCs w:val="21"/>
                <w:highlight w:val="none"/>
                <w:lang w:eastAsia="zh-CN"/>
              </w:rPr>
            </w:pPr>
            <w:r>
              <w:rPr>
                <w:rFonts w:hint="eastAsia"/>
                <w:color w:val="auto"/>
                <w:sz w:val="21"/>
                <w:szCs w:val="21"/>
                <w:highlight w:val="none"/>
                <w:lang w:eastAsia="zh-CN"/>
              </w:rPr>
              <w:t>方德亚</w:t>
            </w:r>
          </w:p>
        </w:tc>
        <w:tc>
          <w:tcPr>
            <w:tcW w:w="4210" w:type="dxa"/>
            <w:tcBorders>
              <w:top w:val="single" w:color="auto" w:sz="4" w:space="0"/>
            </w:tcBorders>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贵州</w:t>
            </w:r>
            <w:r>
              <w:rPr>
                <w:rFonts w:hint="eastAsia"/>
                <w:color w:val="auto"/>
                <w:sz w:val="21"/>
                <w:szCs w:val="21"/>
                <w:highlight w:val="none"/>
                <w:lang w:val="en-US" w:eastAsia="zh-CN"/>
              </w:rPr>
              <w:t>能源资产管理有限公司</w:t>
            </w:r>
          </w:p>
        </w:tc>
        <w:tc>
          <w:tcPr>
            <w:tcW w:w="2990" w:type="dxa"/>
            <w:tcBorders>
              <w:top w:val="single" w:color="auto" w:sz="4" w:space="0"/>
            </w:tcBorders>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党委书记、董事长</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val="en-US" w:eastAsia="zh-CN"/>
              </w:rPr>
              <w:t>贵州能源集团电力投资有限公司</w:t>
            </w:r>
          </w:p>
        </w:tc>
        <w:tc>
          <w:tcPr>
            <w:tcW w:w="2990" w:type="dxa"/>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监事会主席</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六枝工矿（集团）有限责任公司</w:t>
            </w:r>
          </w:p>
        </w:tc>
        <w:tc>
          <w:tcPr>
            <w:tcW w:w="2990" w:type="dxa"/>
            <w:vAlign w:val="center"/>
          </w:tcPr>
          <w:p>
            <w:pPr>
              <w:pStyle w:val="40"/>
              <w:spacing w:before="38" w:line="360" w:lineRule="auto"/>
              <w:ind w:left="479" w:leftChars="0" w:right="479" w:rightChars="0"/>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lang w:eastAsia="zh-CN"/>
              </w:rPr>
              <w:t>监事会主席</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restart"/>
            <w:vAlign w:val="center"/>
          </w:tcPr>
          <w:p>
            <w:pPr>
              <w:pStyle w:val="40"/>
              <w:spacing w:before="38" w:line="360" w:lineRule="auto"/>
              <w:ind w:left="233" w:right="234"/>
              <w:jc w:val="center"/>
              <w:rPr>
                <w:rFonts w:hint="default"/>
                <w:color w:val="auto"/>
                <w:sz w:val="21"/>
                <w:szCs w:val="21"/>
                <w:highlight w:val="none"/>
                <w:lang w:val="en-US" w:eastAsia="zh-CN"/>
              </w:rPr>
            </w:pPr>
            <w:r>
              <w:rPr>
                <w:rFonts w:hint="eastAsia"/>
                <w:color w:val="auto"/>
                <w:sz w:val="21"/>
                <w:szCs w:val="21"/>
                <w:highlight w:val="none"/>
                <w:lang w:val="en-US" w:eastAsia="zh-CN"/>
              </w:rPr>
              <w:t>付  洁</w:t>
            </w:r>
          </w:p>
        </w:tc>
        <w:tc>
          <w:tcPr>
            <w:tcW w:w="4210" w:type="dxa"/>
            <w:vAlign w:val="center"/>
          </w:tcPr>
          <w:p>
            <w:pPr>
              <w:pStyle w:val="40"/>
              <w:spacing w:before="38" w:line="360" w:lineRule="auto"/>
              <w:ind w:left="104" w:leftChars="0"/>
              <w:jc w:val="center"/>
              <w:rPr>
                <w:rFonts w:hint="default"/>
                <w:color w:val="auto"/>
                <w:sz w:val="21"/>
                <w:szCs w:val="21"/>
                <w:highlight w:val="none"/>
                <w:lang w:val="en-US" w:eastAsia="zh-CN"/>
              </w:rPr>
            </w:pPr>
            <w:r>
              <w:rPr>
                <w:rFonts w:hint="eastAsia"/>
                <w:color w:val="auto"/>
                <w:sz w:val="21"/>
                <w:szCs w:val="21"/>
                <w:highlight w:val="none"/>
                <w:lang w:val="en-US" w:eastAsia="zh-CN"/>
              </w:rPr>
              <w:t>贵州能源集团有限公司</w:t>
            </w:r>
          </w:p>
        </w:tc>
        <w:tc>
          <w:tcPr>
            <w:tcW w:w="2990" w:type="dxa"/>
            <w:vAlign w:val="center"/>
          </w:tcPr>
          <w:p>
            <w:pPr>
              <w:pStyle w:val="40"/>
              <w:spacing w:before="38" w:line="360" w:lineRule="auto"/>
              <w:ind w:left="479" w:leftChars="0" w:right="479"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审计部部长</w:t>
            </w:r>
          </w:p>
        </w:tc>
      </w:tr>
      <w:tr>
        <w:tblPrEx>
          <w:tblBorders>
            <w:top w:val="single" w:color="000000" w:sz="8" w:space="0"/>
            <w:left w:val="single" w:color="000000" w:sz="8" w:space="0"/>
            <w:bottom w:val="single" w:color="000000" w:sz="8"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1199" w:type="dxa"/>
            <w:vMerge w:val="continue"/>
          </w:tcPr>
          <w:p>
            <w:pPr>
              <w:pStyle w:val="40"/>
              <w:spacing w:before="38" w:line="360" w:lineRule="auto"/>
              <w:ind w:left="233" w:right="234"/>
              <w:jc w:val="center"/>
              <w:rPr>
                <w:rFonts w:hint="eastAsia"/>
                <w:color w:val="auto"/>
                <w:sz w:val="21"/>
                <w:szCs w:val="21"/>
                <w:highlight w:val="none"/>
                <w:lang w:eastAsia="zh-CN"/>
              </w:rPr>
            </w:pPr>
          </w:p>
        </w:tc>
        <w:tc>
          <w:tcPr>
            <w:tcW w:w="4210" w:type="dxa"/>
            <w:vAlign w:val="center"/>
          </w:tcPr>
          <w:p>
            <w:pPr>
              <w:pStyle w:val="40"/>
              <w:spacing w:before="38" w:line="360" w:lineRule="auto"/>
              <w:ind w:left="104" w:leftChars="0"/>
              <w:jc w:val="center"/>
              <w:rPr>
                <w:rFonts w:hint="default"/>
                <w:color w:val="auto"/>
                <w:sz w:val="21"/>
                <w:szCs w:val="21"/>
                <w:highlight w:val="none"/>
                <w:lang w:val="en-US" w:eastAsia="zh-CN"/>
              </w:rPr>
            </w:pPr>
            <w:r>
              <w:rPr>
                <w:rFonts w:hint="eastAsia"/>
                <w:color w:val="auto"/>
                <w:sz w:val="21"/>
                <w:szCs w:val="21"/>
                <w:highlight w:val="none"/>
                <w:lang w:val="en-US" w:eastAsia="zh-CN"/>
              </w:rPr>
              <w:t>贵州页岩气勘探开发有限责任公司</w:t>
            </w:r>
          </w:p>
        </w:tc>
        <w:tc>
          <w:tcPr>
            <w:tcW w:w="2990" w:type="dxa"/>
            <w:vAlign w:val="center"/>
          </w:tcPr>
          <w:p>
            <w:pPr>
              <w:pStyle w:val="40"/>
              <w:spacing w:before="38" w:line="360" w:lineRule="auto"/>
              <w:ind w:left="479" w:leftChars="0" w:right="479"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总会计师</w:t>
            </w:r>
          </w:p>
        </w:tc>
      </w:tr>
    </w:tbl>
    <w:p>
      <w:pPr>
        <w:numPr>
          <w:ilvl w:val="0"/>
          <w:numId w:val="11"/>
        </w:numPr>
        <w:spacing w:line="360" w:lineRule="auto"/>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董事、监事、高管变动情况</w:t>
      </w:r>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2064"/>
        <w:gridCol w:w="1836"/>
        <w:gridCol w:w="30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b/>
                <w:bCs/>
                <w:color w:val="auto"/>
                <w:highlight w:val="none"/>
              </w:rPr>
            </w:pPr>
            <w:r>
              <w:rPr>
                <w:b/>
                <w:bCs/>
                <w:color w:val="auto"/>
                <w:highlight w:val="none"/>
              </w:rPr>
              <w:t>姓</w:t>
            </w:r>
            <w:r>
              <w:rPr>
                <w:rFonts w:hint="eastAsia"/>
                <w:b/>
                <w:bCs/>
                <w:color w:val="auto"/>
                <w:highlight w:val="none"/>
                <w:lang w:val="en-US" w:eastAsia="zh-CN"/>
              </w:rPr>
              <w:t xml:space="preserve">  </w:t>
            </w:r>
            <w:r>
              <w:rPr>
                <w:b/>
                <w:bCs/>
                <w:color w:val="auto"/>
                <w:highlight w:val="none"/>
              </w:rPr>
              <w:t>名</w:t>
            </w:r>
          </w:p>
        </w:tc>
        <w:tc>
          <w:tcPr>
            <w:tcW w:w="2064" w:type="dxa"/>
            <w:noWrap w:val="0"/>
            <w:vAlign w:val="center"/>
          </w:tcPr>
          <w:p>
            <w:pPr>
              <w:jc w:val="center"/>
              <w:rPr>
                <w:b/>
                <w:bCs/>
                <w:color w:val="auto"/>
                <w:highlight w:val="none"/>
              </w:rPr>
            </w:pPr>
            <w:r>
              <w:rPr>
                <w:b/>
                <w:bCs/>
                <w:color w:val="auto"/>
                <w:highlight w:val="none"/>
              </w:rPr>
              <w:t>担任职务</w:t>
            </w:r>
          </w:p>
        </w:tc>
        <w:tc>
          <w:tcPr>
            <w:tcW w:w="1836" w:type="dxa"/>
            <w:noWrap w:val="0"/>
            <w:vAlign w:val="center"/>
          </w:tcPr>
          <w:p>
            <w:pPr>
              <w:jc w:val="center"/>
              <w:rPr>
                <w:b/>
                <w:bCs/>
                <w:color w:val="auto"/>
                <w:highlight w:val="none"/>
              </w:rPr>
            </w:pPr>
            <w:r>
              <w:rPr>
                <w:b/>
                <w:bCs/>
                <w:color w:val="auto"/>
                <w:highlight w:val="none"/>
              </w:rPr>
              <w:t>变动类型</w:t>
            </w:r>
          </w:p>
        </w:tc>
        <w:tc>
          <w:tcPr>
            <w:tcW w:w="3084" w:type="dxa"/>
            <w:noWrap w:val="0"/>
            <w:vAlign w:val="center"/>
          </w:tcPr>
          <w:p>
            <w:pPr>
              <w:jc w:val="center"/>
              <w:rPr>
                <w:b/>
                <w:bCs/>
                <w:color w:val="auto"/>
                <w:highlight w:val="none"/>
              </w:rPr>
            </w:pPr>
            <w:r>
              <w:rPr>
                <w:b/>
                <w:bCs/>
                <w:color w:val="auto"/>
                <w:highlight w:val="none"/>
              </w:rPr>
              <w:t>变动原因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lang w:val="en-US" w:eastAsia="zh-CN"/>
              </w:rPr>
              <w:t>郭厚亮</w:t>
            </w:r>
          </w:p>
        </w:tc>
        <w:tc>
          <w:tcPr>
            <w:tcW w:w="206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副董事长</w:t>
            </w:r>
          </w:p>
        </w:tc>
        <w:tc>
          <w:tcPr>
            <w:tcW w:w="1836"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聘任</w:t>
            </w:r>
          </w:p>
        </w:tc>
        <w:tc>
          <w:tcPr>
            <w:tcW w:w="3084" w:type="dxa"/>
            <w:noWrap w:val="0"/>
            <w:vAlign w:val="center"/>
          </w:tcPr>
          <w:p>
            <w:pPr>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董事调整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王  浩</w:t>
            </w:r>
          </w:p>
        </w:tc>
        <w:tc>
          <w:tcPr>
            <w:tcW w:w="206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董</w:t>
            </w:r>
            <w:r>
              <w:rPr>
                <w:rFonts w:hint="eastAsia"/>
                <w:color w:val="auto"/>
                <w:highlight w:val="none"/>
                <w:lang w:val="en-US" w:eastAsia="zh-CN"/>
              </w:rPr>
              <w:t xml:space="preserve">    </w:t>
            </w:r>
            <w:r>
              <w:rPr>
                <w:color w:val="auto"/>
                <w:highlight w:val="none"/>
              </w:rPr>
              <w:t>事</w:t>
            </w:r>
          </w:p>
        </w:tc>
        <w:tc>
          <w:tcPr>
            <w:tcW w:w="1836"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聘任</w:t>
            </w:r>
          </w:p>
        </w:tc>
        <w:tc>
          <w:tcPr>
            <w:tcW w:w="308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董事调整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陈可均</w:t>
            </w:r>
          </w:p>
        </w:tc>
        <w:tc>
          <w:tcPr>
            <w:tcW w:w="2064" w:type="dxa"/>
            <w:noWrap w:val="0"/>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职工董事</w:t>
            </w:r>
          </w:p>
        </w:tc>
        <w:tc>
          <w:tcPr>
            <w:tcW w:w="1836" w:type="dxa"/>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选举</w:t>
            </w:r>
          </w:p>
        </w:tc>
        <w:tc>
          <w:tcPr>
            <w:tcW w:w="3084"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职工</w:t>
            </w:r>
            <w:r>
              <w:rPr>
                <w:color w:val="auto"/>
                <w:highlight w:val="none"/>
              </w:rPr>
              <w:t>董事</w:t>
            </w:r>
            <w:r>
              <w:rPr>
                <w:rFonts w:hint="eastAsia"/>
                <w:color w:val="auto"/>
                <w:highlight w:val="none"/>
                <w:lang w:val="en-US" w:eastAsia="zh-CN"/>
              </w:rPr>
              <w:t>选举</w:t>
            </w:r>
            <w:r>
              <w:rPr>
                <w:color w:val="auto"/>
                <w:highlight w:val="none"/>
              </w:rPr>
              <w:t>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马梦萧</w:t>
            </w:r>
          </w:p>
        </w:tc>
        <w:tc>
          <w:tcPr>
            <w:tcW w:w="2064"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总会计师</w:t>
            </w:r>
          </w:p>
        </w:tc>
        <w:tc>
          <w:tcPr>
            <w:tcW w:w="1836" w:type="dxa"/>
            <w:noWrap w:val="0"/>
            <w:vAlign w:val="center"/>
          </w:tcPr>
          <w:p>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聘任</w:t>
            </w:r>
          </w:p>
        </w:tc>
        <w:tc>
          <w:tcPr>
            <w:tcW w:w="3084"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工作需要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付  洁</w:t>
            </w:r>
          </w:p>
        </w:tc>
        <w:tc>
          <w:tcPr>
            <w:tcW w:w="206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监事会主席</w:t>
            </w:r>
          </w:p>
        </w:tc>
        <w:tc>
          <w:tcPr>
            <w:tcW w:w="1836" w:type="dxa"/>
            <w:noWrap w:val="0"/>
            <w:vAlign w:val="center"/>
          </w:tcPr>
          <w:p>
            <w:pPr>
              <w:jc w:val="center"/>
              <w:rPr>
                <w:rFonts w:hint="eastAsia"/>
                <w:color w:val="auto"/>
                <w:highlight w:val="none"/>
                <w:lang w:val="en-US" w:eastAsia="zh-CN"/>
              </w:rPr>
            </w:pPr>
            <w:r>
              <w:rPr>
                <w:rFonts w:hint="eastAsia"/>
                <w:color w:val="auto"/>
                <w:highlight w:val="none"/>
                <w:lang w:val="en-US" w:eastAsia="zh-CN"/>
              </w:rPr>
              <w:t>聘任（9月）</w:t>
            </w:r>
          </w:p>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解聘（12月）</w:t>
            </w:r>
          </w:p>
        </w:tc>
        <w:tc>
          <w:tcPr>
            <w:tcW w:w="308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工作需要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闫祉宇</w:t>
            </w:r>
          </w:p>
        </w:tc>
        <w:tc>
          <w:tcPr>
            <w:tcW w:w="2064"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监    事</w:t>
            </w:r>
          </w:p>
        </w:tc>
        <w:tc>
          <w:tcPr>
            <w:tcW w:w="1836" w:type="dxa"/>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解聘</w:t>
            </w:r>
          </w:p>
        </w:tc>
        <w:tc>
          <w:tcPr>
            <w:tcW w:w="308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工作需要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486"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范德胜</w:t>
            </w:r>
          </w:p>
        </w:tc>
        <w:tc>
          <w:tcPr>
            <w:tcW w:w="206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监    事</w:t>
            </w:r>
          </w:p>
        </w:tc>
        <w:tc>
          <w:tcPr>
            <w:tcW w:w="1836"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解聘</w:t>
            </w:r>
          </w:p>
        </w:tc>
        <w:tc>
          <w:tcPr>
            <w:tcW w:w="3084"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工作需要</w:t>
            </w:r>
          </w:p>
        </w:tc>
      </w:tr>
    </w:tbl>
    <w:p>
      <w:pPr>
        <w:pStyle w:val="6"/>
        <w:spacing w:before="120" w:line="360" w:lineRule="auto"/>
        <w:ind w:left="0"/>
        <w:jc w:val="both"/>
        <w:outlineLvl w:val="0"/>
        <w:rPr>
          <w:rFonts w:hint="eastAsia" w:cs="宋体"/>
          <w:b/>
          <w:bCs/>
          <w:color w:val="auto"/>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1907" w:h="16839"/>
          <w:pgMar w:top="1440" w:right="1797" w:bottom="1440" w:left="1797" w:header="680" w:footer="992" w:gutter="0"/>
          <w:pgNumType w:fmt="decimal" w:start="1"/>
          <w:cols w:space="425" w:num="1"/>
          <w:docGrid w:linePitch="398" w:charSpace="0"/>
        </w:sectPr>
      </w:pPr>
      <w:bookmarkStart w:id="44" w:name="_Toc21854"/>
      <w:bookmarkStart w:id="45" w:name="_Toc23611"/>
      <w:bookmarkStart w:id="46" w:name="_Toc9962"/>
      <w:bookmarkStart w:id="47" w:name="_Toc129711705"/>
      <w:bookmarkStart w:id="48" w:name="_Toc27010"/>
      <w:bookmarkStart w:id="49" w:name="_Toc1396"/>
    </w:p>
    <w:p>
      <w:pPr>
        <w:pStyle w:val="6"/>
        <w:spacing w:before="120" w:line="360" w:lineRule="auto"/>
        <w:ind w:left="0"/>
        <w:jc w:val="center"/>
        <w:outlineLvl w:val="0"/>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第五节 公司治理、内部控制和投资者保护</w:t>
      </w:r>
      <w:bookmarkEnd w:id="44"/>
      <w:bookmarkEnd w:id="45"/>
      <w:bookmarkEnd w:id="46"/>
      <w:bookmarkEnd w:id="47"/>
      <w:bookmarkEnd w:id="48"/>
      <w:bookmarkEnd w:id="49"/>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187"/>
        <w:gridCol w:w="134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7187" w:type="dxa"/>
            <w:noWrap w:val="0"/>
            <w:vAlign w:val="center"/>
          </w:tcPr>
          <w:p>
            <w:pPr>
              <w:jc w:val="center"/>
              <w:rPr>
                <w:rFonts w:hint="eastAsia" w:ascii="宋体" w:hAnsi="宋体" w:cs="宋体"/>
                <w:b/>
                <w:bCs/>
                <w:color w:val="auto"/>
                <w:kern w:val="0"/>
                <w:highlight w:val="none"/>
              </w:rPr>
            </w:pPr>
            <w:r>
              <w:rPr>
                <w:rFonts w:hint="eastAsia" w:ascii="宋体" w:hAnsi="宋体" w:cs="宋体"/>
                <w:b/>
                <w:bCs/>
                <w:color w:val="auto"/>
                <w:kern w:val="0"/>
                <w:highlight w:val="none"/>
              </w:rPr>
              <w:t>事项</w:t>
            </w:r>
          </w:p>
        </w:tc>
        <w:tc>
          <w:tcPr>
            <w:tcW w:w="1340" w:type="dxa"/>
            <w:noWrap w:val="0"/>
            <w:vAlign w:val="center"/>
          </w:tcPr>
          <w:p>
            <w:pPr>
              <w:jc w:val="center"/>
              <w:rPr>
                <w:rFonts w:hint="eastAsia" w:ascii="宋体" w:hAnsi="宋体" w:cs="宋体"/>
                <w:b/>
                <w:bCs/>
                <w:color w:val="auto"/>
                <w:kern w:val="0"/>
                <w:highlight w:val="none"/>
              </w:rPr>
            </w:pPr>
            <w:r>
              <w:rPr>
                <w:rFonts w:hint="eastAsia" w:ascii="宋体" w:hAnsi="宋体" w:cs="宋体"/>
                <w:b/>
                <w:bCs/>
                <w:color w:val="auto"/>
                <w:kern w:val="0"/>
                <w:highlight w:val="none"/>
              </w:rPr>
              <w:t>是或否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7187" w:type="dxa"/>
            <w:noWrap w:val="0"/>
            <w:vAlign w:val="top"/>
          </w:tcPr>
          <w:p>
            <w:pPr>
              <w:rPr>
                <w:rFonts w:hint="eastAsia" w:ascii="宋体" w:hAnsi="宋体" w:cs="宋体"/>
                <w:color w:val="auto"/>
                <w:kern w:val="0"/>
                <w:highlight w:val="none"/>
              </w:rPr>
            </w:pPr>
            <w:r>
              <w:rPr>
                <w:rFonts w:hint="eastAsia" w:ascii="宋体" w:hAnsi="宋体" w:cs="宋体"/>
                <w:color w:val="auto"/>
                <w:spacing w:val="-5"/>
                <w:kern w:val="0"/>
                <w:highlight w:val="none"/>
              </w:rPr>
              <w:t>年度内是否建立新的公司治理制度</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7187" w:type="dxa"/>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投资机构是否派驻董事</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7187" w:type="dxa"/>
            <w:noWrap w:val="0"/>
            <w:vAlign w:val="top"/>
          </w:tcPr>
          <w:p>
            <w:pPr>
              <w:rPr>
                <w:rFonts w:hint="eastAsia" w:ascii="宋体" w:hAnsi="宋体" w:eastAsia="宋体" w:cs="宋体"/>
                <w:color w:val="auto"/>
                <w:spacing w:val="-5"/>
                <w:kern w:val="0"/>
                <w:highlight w:val="none"/>
              </w:rPr>
            </w:pPr>
            <w:r>
              <w:rPr>
                <w:rFonts w:hint="eastAsia" w:ascii="宋体" w:hAnsi="宋体" w:eastAsia="宋体" w:cs="宋体"/>
                <w:color w:val="auto"/>
                <w:spacing w:val="-5"/>
                <w:kern w:val="0"/>
                <w:highlight w:val="none"/>
              </w:rPr>
              <w:t>监事会对本年监督事项是否存在异议</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7187" w:type="dxa"/>
            <w:noWrap w:val="0"/>
            <w:vAlign w:val="top"/>
          </w:tcPr>
          <w:p>
            <w:pPr>
              <w:rPr>
                <w:rFonts w:hint="eastAsia" w:ascii="宋体" w:hAnsi="宋体" w:eastAsia="宋体" w:cs="宋体"/>
                <w:color w:val="auto"/>
                <w:spacing w:val="-5"/>
                <w:kern w:val="0"/>
                <w:highlight w:val="none"/>
                <w:lang w:eastAsia="zh-CN"/>
              </w:rPr>
            </w:pPr>
            <w:r>
              <w:rPr>
                <w:rFonts w:hint="eastAsia" w:ascii="宋体" w:hAnsi="宋体" w:eastAsia="宋体" w:cs="宋体"/>
                <w:color w:val="auto"/>
                <w:spacing w:val="-5"/>
                <w:kern w:val="0"/>
                <w:highlight w:val="none"/>
              </w:rPr>
              <w:t>管理层是否引入职业经理人</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187" w:type="dxa"/>
            <w:noWrap w:val="0"/>
            <w:vAlign w:val="top"/>
          </w:tcPr>
          <w:p>
            <w:pPr>
              <w:rPr>
                <w:rFonts w:hint="default" w:ascii="宋体" w:hAnsi="宋体" w:eastAsia="宋体" w:cs="宋体"/>
                <w:color w:val="auto"/>
                <w:kern w:val="0"/>
                <w:highlight w:val="none"/>
                <w:lang w:val="en-US" w:eastAsia="zh-CN"/>
              </w:rPr>
            </w:pPr>
            <w:r>
              <w:rPr>
                <w:rFonts w:hint="eastAsia" w:ascii="宋体" w:hAnsi="宋体" w:eastAsia="宋体" w:cs="宋体"/>
                <w:color w:val="auto"/>
                <w:spacing w:val="-5"/>
                <w:kern w:val="0"/>
                <w:highlight w:val="none"/>
              </w:rPr>
              <w:t>会计核算体系、财务管理、风险控制及其他重大内部管理制度本年是否发现重大缺陷</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187" w:type="dxa"/>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是否建立年度报告重大差错责任追究制度</w:t>
            </w:r>
          </w:p>
        </w:tc>
        <w:tc>
          <w:tcPr>
            <w:tcW w:w="1340" w:type="dxa"/>
            <w:noWrap w:val="0"/>
            <w:vAlign w:val="top"/>
          </w:tcPr>
          <w:p>
            <w:pPr>
              <w:jc w:val="center"/>
              <w:rPr>
                <w:rFonts w:hint="eastAsia" w:ascii="宋体" w:hAnsi="宋体" w:cs="宋体"/>
                <w:color w:val="auto"/>
                <w:kern w:val="0"/>
                <w:highlight w:val="none"/>
              </w:rPr>
            </w:pP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√是 </w:instrText>
            </w:r>
            <w:r>
              <w:rPr>
                <w:rFonts w:hint="eastAsia" w:ascii="宋体" w:hAnsi="宋体" w:cs="宋体"/>
                <w:color w:val="auto"/>
                <w:kern w:val="0"/>
                <w:highlight w:val="none"/>
              </w:rPr>
              <w:fldChar w:fldCharType="end"/>
            </w:r>
            <w:r>
              <w:rPr>
                <w:rFonts w:hint="eastAsia" w:ascii="宋体" w:hAnsi="宋体" w:cs="宋体"/>
                <w:color w:val="auto"/>
                <w:kern w:val="0"/>
                <w:highlight w:val="none"/>
              </w:rPr>
              <w:fldChar w:fldCharType="begin"/>
            </w:r>
            <w:r>
              <w:rPr>
                <w:rFonts w:hint="eastAsia" w:ascii="宋体" w:hAnsi="宋体" w:cs="宋体"/>
                <w:color w:val="auto"/>
                <w:kern w:val="0"/>
                <w:highlight w:val="none"/>
              </w:rPr>
              <w:instrText xml:space="preserve"> MACROBUTTON  SnrToggleCheckbox □否 </w:instrText>
            </w:r>
            <w:r>
              <w:rPr>
                <w:rFonts w:hint="eastAsia" w:ascii="宋体" w:hAnsi="宋体" w:cs="宋体"/>
                <w:color w:val="auto"/>
                <w:kern w:val="0"/>
                <w:highlight w:val="none"/>
              </w:rPr>
              <w:fldChar w:fldCharType="end"/>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一、公司治理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（一）制度与评估</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1.公司治理基本状况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公司按照《公司法》《证券法》《公司章程》以及《非上市公众公司监督管理办法》及其他相关法律、法规的要求，不断完善法人治理结构，建立行之有效的内控管理体系，确保公司规范运作。</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公司逐步建立了《股东大会议事规则》《董事会议事规则》《监事会议事规则》《担保管理办法》《投资管理办法（试行）》《总经理办公会议事规则》《董事会秘书工作制度》《信息披露</w:t>
      </w:r>
      <w:r>
        <w:rPr>
          <w:rFonts w:hint="eastAsia" w:asciiTheme="minorEastAsia" w:hAnsiTheme="minorEastAsia" w:eastAsiaTheme="minorEastAsia" w:cstheme="minorEastAsia"/>
          <w:color w:val="auto"/>
          <w:sz w:val="24"/>
          <w:szCs w:val="24"/>
          <w:highlight w:val="none"/>
        </w:rPr>
        <w:t>管理办法》等内部管理制度，公司法人治理结构得到了进一步健</w:t>
      </w:r>
      <w:r>
        <w:rPr>
          <w:rFonts w:hint="eastAsia" w:asciiTheme="minorEastAsia" w:hAnsiTheme="minorEastAsia" w:eastAsiaTheme="minorEastAsia" w:cstheme="minorEastAsia"/>
          <w:color w:val="auto"/>
          <w:kern w:val="2"/>
          <w:sz w:val="24"/>
          <w:szCs w:val="24"/>
          <w:highlight w:val="none"/>
          <w:lang w:val="en-US" w:eastAsia="zh-CN" w:bidi="ar-SA"/>
        </w:rPr>
        <w:t xml:space="preserve">全与完善。 </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告期内，公司股东大会、董事会、监事会会议召集程序、决议程序、表决内容均符合法律法规和《公司章程》以及议事规则的规定，运作规范；公司重要决策的制定遵守《公司章程》和相关议事规则的规定，通过相关会议审议通过；公司股东、董事、监事均按照要求出席相关会议，并履行相关权利义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截至报告期末，上述机构和人员依法运作，未出现违法、违规现象和重大缺陷，能够切实履行应尽的职责和义务。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2.公司治理机制是否给所有股东提供合适的保护和平等权利的评估意见</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公司严格遵守《公司法》《公司章程》《股东大会议事规则》等要求。股东大会的召集、召开程序、出席股东大会的人员资格及股东大会的表决程序均符合《公司法》《公司章程》和《股东大会议事规则》及其他相关法律法规的规定。公司治理机制注重保护股东权益，能给公司大小股东提供合适的保护，并保证股东充分行使知情权、参与权、质询权和表决权等权利。董事会经过评估认为，公司已建立较为完善的治理机制，符合《公司法》《证券法》《非上市公众公司监督管理办法》等法律、法规及规范性文件的要求，能够有效保障所有股东的合法及平等权利。</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3.公司重大决策是否履行规定程序的评估意见</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报告期内，公司重大事项均按照《公司章程》及内部控制制度进行决策，履行了相应法律程序。公司内部治理机构和成员依法运作，能够切实履行应尽的职责和义务，未出现违法违规现象。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（二）三会运作情况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1.三会召开次数</w:t>
      </w:r>
    </w:p>
    <w:tbl>
      <w:tblPr>
        <w:tblStyle w:val="22"/>
        <w:tblW w:w="85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40"/>
        <w:gridCol w:w="2140"/>
        <w:gridCol w:w="2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39" w:type="dxa"/>
            <w:noWrap w:val="0"/>
            <w:vAlign w:val="center"/>
          </w:tcPr>
          <w:p>
            <w:pPr>
              <w:jc w:val="center"/>
              <w:rPr>
                <w:b/>
                <w:bCs/>
                <w:color w:val="auto"/>
                <w:highlight w:val="none"/>
              </w:rPr>
            </w:pPr>
            <w:r>
              <w:rPr>
                <w:b/>
                <w:bCs/>
                <w:color w:val="auto"/>
                <w:highlight w:val="none"/>
              </w:rPr>
              <w:t>项目</w:t>
            </w:r>
          </w:p>
        </w:tc>
        <w:tc>
          <w:tcPr>
            <w:tcW w:w="2140" w:type="dxa"/>
            <w:noWrap w:val="0"/>
            <w:vAlign w:val="center"/>
          </w:tcPr>
          <w:p>
            <w:pPr>
              <w:jc w:val="center"/>
              <w:rPr>
                <w:b/>
                <w:bCs/>
                <w:color w:val="auto"/>
                <w:highlight w:val="none"/>
              </w:rPr>
            </w:pPr>
            <w:r>
              <w:rPr>
                <w:b/>
                <w:bCs/>
                <w:color w:val="auto"/>
                <w:highlight w:val="none"/>
              </w:rPr>
              <w:t>股东大会</w:t>
            </w:r>
          </w:p>
        </w:tc>
        <w:tc>
          <w:tcPr>
            <w:tcW w:w="2140" w:type="dxa"/>
            <w:noWrap w:val="0"/>
            <w:vAlign w:val="center"/>
          </w:tcPr>
          <w:p>
            <w:pPr>
              <w:jc w:val="center"/>
              <w:rPr>
                <w:b/>
                <w:bCs/>
                <w:color w:val="auto"/>
                <w:highlight w:val="none"/>
              </w:rPr>
            </w:pPr>
            <w:r>
              <w:rPr>
                <w:b/>
                <w:bCs/>
                <w:color w:val="auto"/>
                <w:highlight w:val="none"/>
              </w:rPr>
              <w:t>董事会</w:t>
            </w:r>
          </w:p>
        </w:tc>
        <w:tc>
          <w:tcPr>
            <w:tcW w:w="2140" w:type="dxa"/>
            <w:noWrap w:val="0"/>
            <w:vAlign w:val="center"/>
          </w:tcPr>
          <w:p>
            <w:pPr>
              <w:jc w:val="center"/>
              <w:rPr>
                <w:b/>
                <w:bCs/>
                <w:color w:val="auto"/>
                <w:highlight w:val="none"/>
              </w:rPr>
            </w:pPr>
            <w:r>
              <w:rPr>
                <w:b/>
                <w:bCs/>
                <w:color w:val="auto"/>
                <w:highlight w:val="none"/>
              </w:rPr>
              <w:t>监事会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9" w:type="dxa"/>
            <w:noWrap w:val="0"/>
            <w:vAlign w:val="center"/>
          </w:tcPr>
          <w:p>
            <w:pPr>
              <w:jc w:val="center"/>
              <w:rPr>
                <w:color w:val="auto"/>
                <w:highlight w:val="none"/>
              </w:rPr>
            </w:pPr>
            <w:r>
              <w:rPr>
                <w:color w:val="auto"/>
                <w:highlight w:val="none"/>
              </w:rPr>
              <w:t>召开次数</w:t>
            </w:r>
          </w:p>
        </w:tc>
        <w:tc>
          <w:tcPr>
            <w:tcW w:w="2140" w:type="dxa"/>
            <w:noWrap w:val="0"/>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2140" w:type="dxa"/>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2140" w:type="dxa"/>
            <w:noWrap w:val="0"/>
            <w:vAlign w:val="center"/>
          </w:tcPr>
          <w:p>
            <w:pPr>
              <w:jc w:val="center"/>
              <w:rPr>
                <w:rFonts w:hint="eastAsia" w:eastAsia="宋体"/>
                <w:color w:val="auto"/>
                <w:highlight w:val="none"/>
                <w:lang w:eastAsia="zh-CN"/>
              </w:rPr>
            </w:pPr>
            <w:r>
              <w:rPr>
                <w:rFonts w:hint="eastAsia"/>
                <w:color w:val="auto"/>
                <w:highlight w:val="none"/>
                <w:lang w:val="en-US" w:eastAsia="zh-CN"/>
              </w:rPr>
              <w:t>2</w:t>
            </w:r>
          </w:p>
        </w:tc>
      </w:tr>
    </w:tbl>
    <w:p>
      <w:pPr>
        <w:pStyle w:val="6"/>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2.股东大会的召集、召开、表决情况</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39"/>
        <w:gridCol w:w="1278"/>
        <w:gridCol w:w="1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39" w:type="dxa"/>
            <w:noWrap w:val="0"/>
            <w:vAlign w:val="top"/>
          </w:tcPr>
          <w:p>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事项</w:t>
            </w:r>
          </w:p>
        </w:tc>
        <w:tc>
          <w:tcPr>
            <w:tcW w:w="1278" w:type="dxa"/>
            <w:noWrap w:val="0"/>
            <w:vAlign w:val="top"/>
          </w:tcPr>
          <w:p>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是或否</w:t>
            </w:r>
          </w:p>
        </w:tc>
        <w:tc>
          <w:tcPr>
            <w:tcW w:w="1601" w:type="dxa"/>
            <w:noWrap w:val="0"/>
            <w:vAlign w:val="top"/>
          </w:tcPr>
          <w:p>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具体情况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股东大会是否未按规定设置会场</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202</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年年度股东大会是否未在上一会计年度结束后6个月内举行</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202</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年年度股东大会通知是否未提前20日发出</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202</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年公司临时股东大会通知是否未均提前15日发出</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监事会、单独或合计持股10%以上的股东是否向董事会提议过召开临时股东大会</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9" w:type="dxa"/>
            <w:noWrap w:val="0"/>
            <w:vAlign w:val="top"/>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股东大会是否实施过征集投票权</w:t>
            </w:r>
          </w:p>
        </w:tc>
        <w:tc>
          <w:tcPr>
            <w:tcW w:w="1278" w:type="dxa"/>
            <w:noWrap w:val="0"/>
            <w:vAlign w:val="center"/>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否</w:t>
            </w:r>
          </w:p>
        </w:tc>
        <w:tc>
          <w:tcPr>
            <w:tcW w:w="1601" w:type="dxa"/>
            <w:noWrap w:val="0"/>
            <w:vAlign w:val="center"/>
          </w:tcPr>
          <w:p>
            <w:pPr>
              <w:spacing w:line="360" w:lineRule="auto"/>
              <w:jc w:val="center"/>
              <w:rPr>
                <w:rFonts w:hint="eastAsia" w:ascii="宋体" w:hAnsi="宋体" w:cs="宋体"/>
                <w:color w:val="auto"/>
                <w:kern w:val="0"/>
                <w:highlight w:val="none"/>
              </w:rPr>
            </w:pP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3.三会召集、召开、表决的特殊情况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4.三会程序是否符合法律法规要求的评估意见</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告期内，公司三会会议的召集、召开程序、决议内容均符合《公司法》《公司章程》和相关议事规则的规定，公司股东、董事、监事能按要求出席相关会议，履行相关权利义务。三会决议内容完整，要件齐备，会议决议均能够正常签署，会议决议能够得到执行。公司董事、监事、高级管理人员都能认真、切实履行《公司法》《公司章程》规定的职责，对公司的重大决策事项作出决议，从而保证公司的正常发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二、内部控制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szCs w:val="24"/>
          <w:highlight w:val="none"/>
        </w:rPr>
      </w:pPr>
      <w:bookmarkStart w:id="50" w:name="_Toc129711706"/>
      <w:r>
        <w:rPr>
          <w:rFonts w:hint="eastAsia" w:ascii="宋体" w:hAnsi="宋体" w:cs="宋体"/>
          <w:b/>
          <w:color w:val="auto"/>
          <w:sz w:val="24"/>
          <w:szCs w:val="24"/>
          <w:highlight w:val="none"/>
        </w:rPr>
        <w:t>（一）监事会就年度内监督事项的意见</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监事会在报告期内的监督活动中未发现公司存在重大风险事项，监事会对报告期内的监督事项无异议。</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（二）公司保持独立性、自主经营能力的说明</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公司坚持在资产、人员、业务、机构、财务方面的独立。 </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资产独立：公司由有限公司整体变更设立而来，承继了有限公司的全部资产，具有独立完整的资产结构。公司变更设立后，已依法办理完成其他相关资产的变更登记手续。 </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人员独立：公司董事、监事及高级管理人员严格按照《公司法》《公司章程》的有关规定选举和聘任；公司高级管理人员、财务人员、其他核心人员等均是公司专职人员，且在公司领薪；公司的人事及工资管理与股东控制的其他公司及关联公司严格分离，公司的劳动、人事及工资管理完全独立。 </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业务独立：公司拥有完整的业务体系，建立了与业务体系配套的管理制度和相应的职能机构，能够独立开展业务，与实际控制人以及其他关联方不存在同业竞争关系。</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机构独立：公司机构独立，已建立了股东大会、董事会、监事会等完善的法人治理结构。自成立以来，公司逐步建立了符合自身生产经营需要的组织机构且运行良好，公司各部门独立履行职能。 </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独立：公司成立以来，设立了独立的财务部门，并配备了相关的财务人员，建立了符合国家相关法律法规的会计制度和财务管理制度；公司按照《公司章程》规定独立进行财务决策，不存在控股股东干预公司资金使用的情况；公司在银行单独开立账户，并依法独立纳税。</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（三）对重大内部管理制度的评价</w:t>
      </w:r>
    </w:p>
    <w:tbl>
      <w:tblPr>
        <w:tblStyle w:val="22"/>
        <w:tblW w:w="0" w:type="auto"/>
        <w:tblInd w:w="0" w:type="dxa"/>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Layout w:type="fixed"/>
        <w:tblCellMar>
          <w:top w:w="0" w:type="dxa"/>
          <w:left w:w="108" w:type="dxa"/>
          <w:bottom w:w="0" w:type="dxa"/>
          <w:right w:w="108" w:type="dxa"/>
        </w:tblCellMar>
      </w:tblPr>
      <w:tblGrid>
        <w:gridCol w:w="7168"/>
        <w:gridCol w:w="1359"/>
      </w:tblGrid>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7168"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事项</w:t>
            </w:r>
          </w:p>
        </w:tc>
        <w:tc>
          <w:tcPr>
            <w:tcW w:w="1359"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是或否</w:t>
            </w:r>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7168"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公司是否存在公章的盖章时间早于相关决策审批机构授权审批时间的情形</w:t>
            </w:r>
            <w:r>
              <w:rPr>
                <w:rFonts w:hint="eastAsia" w:ascii="宋体" w:hAnsi="宋体" w:cs="宋体"/>
                <w:color w:val="auto"/>
                <w:kern w:val="0"/>
                <w:highlight w:val="none"/>
                <w:lang w:eastAsia="zh-CN"/>
              </w:rPr>
              <w:t>。</w:t>
            </w:r>
          </w:p>
        </w:tc>
        <w:tc>
          <w:tcPr>
            <w:tcW w:w="1359"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否</w:t>
            </w:r>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7168" w:type="dxa"/>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公司出纳人员是否兼管稽核、会计档案保管和收入、费用、债权债务账目的登记工作</w:t>
            </w:r>
            <w:r>
              <w:rPr>
                <w:rFonts w:hint="eastAsia" w:ascii="宋体" w:hAnsi="宋体" w:cs="宋体"/>
                <w:color w:val="auto"/>
                <w:kern w:val="0"/>
                <w:highlight w:val="none"/>
                <w:lang w:eastAsia="zh-CN"/>
              </w:rPr>
              <w:t>。</w:t>
            </w:r>
          </w:p>
        </w:tc>
        <w:tc>
          <w:tcPr>
            <w:tcW w:w="1359"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否</w:t>
            </w:r>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8527" w:type="dxa"/>
            <w:gridSpan w:val="2"/>
            <w:tcBorders>
              <w:top w:val="single" w:color="auto" w:sz="4" w:space="0"/>
              <w:left w:val="single" w:color="auto" w:sz="8" w:space="0"/>
              <w:bottom w:val="single" w:color="auto" w:sz="8"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 xml:space="preserve">公司的一系列内部管理制度均根据《公司法》《证券法》及其他法律法规并结合公司自身情况而制定，制度执行情况良好，本年度内未发生管理制度重大缺陷的情况。 </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 xml:space="preserve">会计核算体系：报告期内，公司严格按照国家法律法规关于会计核算的规定，从公司自身情况出发，制定会计核算的具体制度，并按照要求进行独立核算，保证公司正常开展会计核算工作。 </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 xml:space="preserve">财务管理体系：报告期内，公司严格贯彻和落实各项公司财务管理制度，在国家政策及制度的指引下，做到有序工作、严格管理，继续完善公司财务管理体系。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风险控制体系：报告期内，公司紧紧围绕企业风险控制制度，在有效分析市场风险、政策风险、经营风险、法律风险等前提下，采取事前防范、事中控制等措施，从企业规范的角度继续完善风险控制体系。</w:t>
            </w:r>
          </w:p>
        </w:tc>
      </w:tr>
    </w:tbl>
    <w:p>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（四）年度报告差错责任追究制度相关情况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三、投资者保护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（一）公司股东大会实行累积投票制和网络投票安排的情况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（二）特别表决权股份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br w:type="page"/>
      </w:r>
    </w:p>
    <w:p>
      <w:pPr>
        <w:pStyle w:val="6"/>
        <w:spacing w:before="120" w:line="360" w:lineRule="auto"/>
        <w:ind w:left="0"/>
        <w:jc w:val="center"/>
        <w:outlineLvl w:val="0"/>
        <w:rPr>
          <w:rFonts w:hint="eastAsia" w:ascii="黑体" w:hAnsi="黑体" w:eastAsia="黑体" w:cs="黑体"/>
          <w:b/>
          <w:bCs/>
          <w:color w:val="auto"/>
          <w:kern w:val="2"/>
          <w:sz w:val="28"/>
          <w:szCs w:val="28"/>
          <w:highlight w:val="none"/>
          <w:lang w:val="en-US" w:eastAsia="zh-CN" w:bidi="ar-SA"/>
        </w:rPr>
      </w:pPr>
      <w:bookmarkStart w:id="51" w:name="_Toc29481"/>
      <w:bookmarkStart w:id="52" w:name="_Toc5277"/>
      <w:bookmarkStart w:id="53" w:name="_Toc32380"/>
      <w:bookmarkStart w:id="54" w:name="_Toc16847"/>
      <w:bookmarkStart w:id="55" w:name="_Toc2550"/>
      <w:r>
        <w:rPr>
          <w:rFonts w:hint="eastAsia" w:ascii="黑体" w:hAnsi="黑体" w:eastAsia="黑体" w:cs="黑体"/>
          <w:b/>
          <w:bCs/>
          <w:color w:val="auto"/>
          <w:kern w:val="2"/>
          <w:sz w:val="28"/>
          <w:szCs w:val="28"/>
          <w:highlight w:val="none"/>
          <w:lang w:val="en-US" w:eastAsia="zh-CN" w:bidi="ar-SA"/>
        </w:rPr>
        <w:t>第六节 重要事项</w:t>
      </w:r>
      <w:bookmarkEnd w:id="50"/>
      <w:bookmarkEnd w:id="51"/>
      <w:bookmarkEnd w:id="52"/>
      <w:bookmarkEnd w:id="53"/>
      <w:bookmarkEnd w:id="54"/>
      <w:bookmarkEnd w:id="55"/>
    </w:p>
    <w:p>
      <w:pPr>
        <w:pStyle w:val="15"/>
        <w:keepNext w:val="0"/>
        <w:keepLines w:val="0"/>
        <w:pageBreakBefore w:val="0"/>
        <w:kinsoku/>
        <w:wordWrap/>
        <w:overflowPunct/>
        <w:topLinePunct w:val="0"/>
        <w:bidi w:val="0"/>
        <w:spacing w:line="400" w:lineRule="exact"/>
        <w:ind w:firstLine="482" w:firstLineChars="200"/>
        <w:jc w:val="left"/>
        <w:rPr>
          <w:rFonts w:hint="default"/>
          <w:color w:val="auto"/>
          <w:highlight w:val="none"/>
          <w:lang w:val="en-US" w:eastAsia="zh-CN"/>
        </w:rPr>
      </w:pPr>
      <w:r>
        <w:rPr>
          <w:rFonts w:hint="eastAsia" w:ascii="宋体" w:hAnsi="宋体" w:cs="宋体"/>
          <w:b/>
          <w:color w:val="auto"/>
          <w:kern w:val="2"/>
          <w:sz w:val="24"/>
          <w:szCs w:val="24"/>
          <w:highlight w:val="none"/>
          <w:lang w:val="en-US" w:eastAsia="zh-CN" w:bidi="ar-SA"/>
        </w:rPr>
        <w:t>（一）股东及股份基本情况</w:t>
      </w:r>
    </w:p>
    <w:p>
      <w:pPr>
        <w:pStyle w:val="6"/>
        <w:keepNext w:val="0"/>
        <w:keepLines w:val="0"/>
        <w:pageBreakBefore w:val="0"/>
        <w:kinsoku/>
        <w:wordWrap/>
        <w:overflowPunct/>
        <w:topLinePunct w:val="0"/>
        <w:bidi w:val="0"/>
        <w:spacing w:line="400" w:lineRule="exact"/>
        <w:ind w:left="0"/>
        <w:jc w:val="left"/>
        <w:rPr>
          <w:rFonts w:hint="eastAsia"/>
          <w:color w:val="auto"/>
          <w:highlight w:val="none"/>
          <w:lang w:eastAsia="zh-CN"/>
        </w:rPr>
      </w:pPr>
      <w:r>
        <w:rPr>
          <w:rFonts w:hint="eastAsia" w:cs="宋体"/>
          <w:color w:val="auto"/>
          <w:sz w:val="21"/>
          <w:szCs w:val="21"/>
          <w:highlight w:val="none"/>
          <w:lang w:eastAsia="zh-CN"/>
        </w:rPr>
        <w:t>单位：万元</w:t>
      </w:r>
    </w:p>
    <w:tbl>
      <w:tblPr>
        <w:tblStyle w:val="22"/>
        <w:tblW w:w="8498"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51"/>
        <w:gridCol w:w="2705"/>
        <w:gridCol w:w="2049"/>
        <w:gridCol w:w="1417"/>
        <w:gridCol w:w="15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4" w:hRule="exact"/>
        </w:trPr>
        <w:tc>
          <w:tcPr>
            <w:tcW w:w="751" w:type="dxa"/>
            <w:noWrap w:val="0"/>
            <w:vAlign w:val="center"/>
          </w:tcPr>
          <w:p>
            <w:pPr>
              <w:pStyle w:val="40"/>
              <w:keepNext w:val="0"/>
              <w:keepLines w:val="0"/>
              <w:pageBreakBefore w:val="0"/>
              <w:kinsoku/>
              <w:wordWrap/>
              <w:overflowPunct/>
              <w:topLinePunct w:val="0"/>
              <w:bidi w:val="0"/>
              <w:spacing w:line="400" w:lineRule="exact"/>
              <w:ind w:left="103" w:right="103"/>
              <w:jc w:val="left"/>
              <w:rPr>
                <w:rFonts w:hint="eastAsia"/>
                <w:b/>
                <w:bCs/>
                <w:color w:val="auto"/>
                <w:sz w:val="21"/>
                <w:szCs w:val="21"/>
                <w:highlight w:val="none"/>
              </w:rPr>
            </w:pPr>
            <w:r>
              <w:rPr>
                <w:rFonts w:hint="eastAsia"/>
                <w:b/>
                <w:bCs/>
                <w:color w:val="auto"/>
                <w:sz w:val="21"/>
                <w:szCs w:val="21"/>
                <w:highlight w:val="none"/>
              </w:rPr>
              <w:t>序号</w:t>
            </w:r>
          </w:p>
        </w:tc>
        <w:tc>
          <w:tcPr>
            <w:tcW w:w="2705"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b/>
                <w:bCs/>
                <w:color w:val="auto"/>
                <w:sz w:val="21"/>
                <w:szCs w:val="21"/>
                <w:highlight w:val="none"/>
                <w:lang w:eastAsia="en-US"/>
              </w:rPr>
            </w:pPr>
            <w:r>
              <w:rPr>
                <w:rFonts w:hint="eastAsia" w:ascii="宋体" w:hAnsi="宋体" w:eastAsia="宋体" w:cs="宋体"/>
                <w:b/>
                <w:bCs/>
                <w:color w:val="auto"/>
                <w:sz w:val="21"/>
                <w:szCs w:val="21"/>
                <w:highlight w:val="none"/>
                <w:lang w:eastAsia="en-US"/>
              </w:rPr>
              <w:t>股东名称</w:t>
            </w:r>
          </w:p>
        </w:tc>
        <w:tc>
          <w:tcPr>
            <w:tcW w:w="2049"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b/>
                <w:bCs/>
                <w:color w:val="auto"/>
                <w:kern w:val="2"/>
                <w:sz w:val="21"/>
                <w:szCs w:val="21"/>
                <w:highlight w:val="none"/>
                <w:lang w:eastAsia="en-US"/>
              </w:rPr>
            </w:pPr>
            <w:r>
              <w:rPr>
                <w:rFonts w:hint="eastAsia" w:ascii="宋体" w:hAnsi="宋体" w:eastAsia="宋体" w:cs="宋体"/>
                <w:b/>
                <w:bCs/>
                <w:color w:val="auto"/>
                <w:sz w:val="21"/>
                <w:szCs w:val="21"/>
                <w:highlight w:val="none"/>
                <w:lang w:eastAsia="en-US"/>
              </w:rPr>
              <w:t>出资额</w:t>
            </w:r>
          </w:p>
        </w:tc>
        <w:tc>
          <w:tcPr>
            <w:tcW w:w="1417"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b/>
                <w:bCs/>
                <w:color w:val="auto"/>
                <w:kern w:val="2"/>
                <w:sz w:val="21"/>
                <w:szCs w:val="21"/>
                <w:highlight w:val="none"/>
                <w:lang w:eastAsia="en-US"/>
              </w:rPr>
            </w:pPr>
            <w:r>
              <w:rPr>
                <w:rFonts w:hint="eastAsia" w:ascii="宋体" w:hAnsi="宋体" w:eastAsia="宋体" w:cs="宋体"/>
                <w:b/>
                <w:bCs/>
                <w:color w:val="auto"/>
                <w:sz w:val="21"/>
                <w:szCs w:val="21"/>
                <w:highlight w:val="none"/>
                <w:lang w:eastAsia="en-US"/>
              </w:rPr>
              <w:t>持股比例（%）</w:t>
            </w:r>
          </w:p>
        </w:tc>
        <w:tc>
          <w:tcPr>
            <w:tcW w:w="1576"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cs="宋体"/>
                <w:b/>
                <w:bCs/>
                <w:color w:val="auto"/>
                <w:kern w:val="2"/>
                <w:sz w:val="21"/>
                <w:szCs w:val="21"/>
                <w:highlight w:val="none"/>
              </w:rPr>
            </w:pPr>
            <w:r>
              <w:rPr>
                <w:rFonts w:hint="eastAsia" w:ascii="宋体" w:hAnsi="宋体" w:eastAsia="宋体" w:cs="宋体"/>
                <w:b/>
                <w:bCs/>
                <w:color w:val="auto"/>
                <w:sz w:val="21"/>
                <w:szCs w:val="21"/>
                <w:highlight w:val="none"/>
              </w:rPr>
              <w:t>变动情况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2" w:hRule="exact"/>
        </w:trPr>
        <w:tc>
          <w:tcPr>
            <w:tcW w:w="751" w:type="dxa"/>
            <w:noWrap w:val="0"/>
            <w:vAlign w:val="top"/>
          </w:tcPr>
          <w:p>
            <w:pPr>
              <w:pStyle w:val="40"/>
              <w:keepNext w:val="0"/>
              <w:keepLines w:val="0"/>
              <w:pageBreakBefore w:val="0"/>
              <w:kinsoku/>
              <w:wordWrap/>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1</w:t>
            </w:r>
          </w:p>
        </w:tc>
        <w:tc>
          <w:tcPr>
            <w:tcW w:w="2705"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国家电力投资集团有限公司</w:t>
            </w:r>
          </w:p>
        </w:tc>
        <w:tc>
          <w:tcPr>
            <w:tcW w:w="2049"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319,312.00</w:t>
            </w:r>
          </w:p>
        </w:tc>
        <w:tc>
          <w:tcPr>
            <w:tcW w:w="1417"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68.05</w:t>
            </w:r>
          </w:p>
        </w:tc>
        <w:tc>
          <w:tcPr>
            <w:tcW w:w="1576"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1" w:hRule="exact"/>
        </w:trPr>
        <w:tc>
          <w:tcPr>
            <w:tcW w:w="751" w:type="dxa"/>
            <w:noWrap w:val="0"/>
            <w:vAlign w:val="top"/>
          </w:tcPr>
          <w:p>
            <w:pPr>
              <w:pStyle w:val="40"/>
              <w:keepNext w:val="0"/>
              <w:keepLines w:val="0"/>
              <w:pageBreakBefore w:val="0"/>
              <w:kinsoku/>
              <w:wordWrap/>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2</w:t>
            </w:r>
          </w:p>
        </w:tc>
        <w:tc>
          <w:tcPr>
            <w:tcW w:w="2705"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贵州</w:t>
            </w:r>
            <w:r>
              <w:rPr>
                <w:rFonts w:hint="eastAsia" w:ascii="宋体" w:hAnsi="宋体" w:eastAsia="宋体" w:cs="宋体"/>
                <w:color w:val="auto"/>
                <w:sz w:val="21"/>
                <w:szCs w:val="21"/>
                <w:highlight w:val="none"/>
                <w:lang w:val="en-US" w:eastAsia="zh-CN"/>
              </w:rPr>
              <w:t>能源</w:t>
            </w:r>
            <w:r>
              <w:rPr>
                <w:rFonts w:hint="eastAsia" w:ascii="宋体" w:hAnsi="宋体" w:eastAsia="宋体" w:cs="宋体"/>
                <w:color w:val="auto"/>
                <w:sz w:val="21"/>
                <w:szCs w:val="21"/>
                <w:highlight w:val="none"/>
              </w:rPr>
              <w:t>集团有限公司</w:t>
            </w:r>
          </w:p>
        </w:tc>
        <w:tc>
          <w:tcPr>
            <w:tcW w:w="2049"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118,310.74</w:t>
            </w:r>
          </w:p>
        </w:tc>
        <w:tc>
          <w:tcPr>
            <w:tcW w:w="1417"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25.21</w:t>
            </w:r>
          </w:p>
        </w:tc>
        <w:tc>
          <w:tcPr>
            <w:tcW w:w="1576"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exact"/>
        </w:trPr>
        <w:tc>
          <w:tcPr>
            <w:tcW w:w="751" w:type="dxa"/>
            <w:noWrap w:val="0"/>
            <w:vAlign w:val="top"/>
          </w:tcPr>
          <w:p>
            <w:pPr>
              <w:pStyle w:val="40"/>
              <w:keepNext w:val="0"/>
              <w:keepLines w:val="0"/>
              <w:pageBreakBefore w:val="0"/>
              <w:kinsoku/>
              <w:wordWrap/>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3</w:t>
            </w:r>
          </w:p>
        </w:tc>
        <w:tc>
          <w:tcPr>
            <w:tcW w:w="2705"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自然人股东</w:t>
            </w:r>
          </w:p>
        </w:tc>
        <w:tc>
          <w:tcPr>
            <w:tcW w:w="2049"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31,608.80</w:t>
            </w:r>
          </w:p>
        </w:tc>
        <w:tc>
          <w:tcPr>
            <w:tcW w:w="1417" w:type="dxa"/>
            <w:noWrap w:val="0"/>
            <w:vAlign w:val="center"/>
          </w:tcPr>
          <w:p>
            <w:pPr>
              <w:pStyle w:val="2"/>
              <w:keepNext w:val="0"/>
              <w:keepLines w:val="0"/>
              <w:pageBreakBefore w:val="0"/>
              <w:widowControl w:val="0"/>
              <w:kinsoku/>
              <w:wordWrap/>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6.74</w:t>
            </w:r>
          </w:p>
        </w:tc>
        <w:tc>
          <w:tcPr>
            <w:tcW w:w="1576" w:type="dxa"/>
            <w:noWrap w:val="0"/>
            <w:vAlign w:val="center"/>
          </w:tcPr>
          <w:p>
            <w:pPr>
              <w:pStyle w:val="29"/>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无</w:t>
            </w:r>
          </w:p>
        </w:tc>
      </w:tr>
    </w:tbl>
    <w:p>
      <w:pPr>
        <w:pStyle w:val="6"/>
        <w:keepNext w:val="0"/>
        <w:keepLines w:val="0"/>
        <w:pageBreakBefore w:val="0"/>
        <w:kinsoku/>
        <w:wordWrap/>
        <w:overflowPunct/>
        <w:topLinePunct w:val="0"/>
        <w:bidi w:val="0"/>
        <w:spacing w:line="400" w:lineRule="exact"/>
        <w:ind w:firstLine="482" w:firstLineChars="20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（二）控股股东基本情况</w:t>
      </w:r>
    </w:p>
    <w:tbl>
      <w:tblPr>
        <w:tblStyle w:val="22"/>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562"/>
        <w:gridCol w:w="3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180" w:type="dxa"/>
            <w:noWrap w:val="0"/>
            <w:vAlign w:val="top"/>
          </w:tcPr>
          <w:p>
            <w:pPr>
              <w:pStyle w:val="40"/>
              <w:keepNext w:val="0"/>
              <w:keepLines w:val="0"/>
              <w:pageBreakBefore w:val="0"/>
              <w:kinsoku/>
              <w:wordWrap/>
              <w:overflowPunct/>
              <w:topLinePunct w:val="0"/>
              <w:bidi w:val="0"/>
              <w:spacing w:line="400" w:lineRule="exact"/>
              <w:ind w:left="324" w:right="325"/>
              <w:jc w:val="left"/>
              <w:rPr>
                <w:rFonts w:hint="eastAsia"/>
                <w:color w:val="auto"/>
                <w:sz w:val="21"/>
                <w:szCs w:val="21"/>
                <w:highlight w:val="none"/>
              </w:rPr>
            </w:pPr>
            <w:r>
              <w:rPr>
                <w:rFonts w:hint="eastAsia"/>
                <w:color w:val="auto"/>
                <w:sz w:val="21"/>
                <w:szCs w:val="21"/>
                <w:highlight w:val="none"/>
              </w:rPr>
              <w:t>序号</w:t>
            </w:r>
          </w:p>
        </w:tc>
        <w:tc>
          <w:tcPr>
            <w:tcW w:w="3562" w:type="dxa"/>
            <w:noWrap w:val="0"/>
            <w:vAlign w:val="top"/>
          </w:tcPr>
          <w:p>
            <w:pPr>
              <w:pStyle w:val="40"/>
              <w:keepNext w:val="0"/>
              <w:keepLines w:val="0"/>
              <w:pageBreakBefore w:val="0"/>
              <w:kinsoku/>
              <w:wordWrap/>
              <w:overflowPunct/>
              <w:topLinePunct w:val="0"/>
              <w:bidi w:val="0"/>
              <w:spacing w:line="400" w:lineRule="exact"/>
              <w:ind w:left="1055"/>
              <w:jc w:val="left"/>
              <w:rPr>
                <w:rFonts w:hint="eastAsia"/>
                <w:color w:val="auto"/>
                <w:sz w:val="21"/>
                <w:szCs w:val="21"/>
                <w:highlight w:val="none"/>
              </w:rPr>
            </w:pPr>
            <w:r>
              <w:rPr>
                <w:rFonts w:hint="eastAsia"/>
                <w:color w:val="auto"/>
                <w:sz w:val="21"/>
                <w:szCs w:val="21"/>
                <w:highlight w:val="none"/>
              </w:rPr>
              <w:t>主要股东名称</w:t>
            </w:r>
          </w:p>
        </w:tc>
        <w:tc>
          <w:tcPr>
            <w:tcW w:w="3850" w:type="dxa"/>
            <w:noWrap w:val="0"/>
            <w:vAlign w:val="top"/>
          </w:tcPr>
          <w:p>
            <w:pPr>
              <w:pStyle w:val="40"/>
              <w:keepNext w:val="0"/>
              <w:keepLines w:val="0"/>
              <w:pageBreakBefore w:val="0"/>
              <w:kinsoku/>
              <w:wordWrap/>
              <w:overflowPunct/>
              <w:topLinePunct w:val="0"/>
              <w:bidi w:val="0"/>
              <w:spacing w:line="400" w:lineRule="exact"/>
              <w:ind w:left="719"/>
              <w:jc w:val="left"/>
              <w:rPr>
                <w:rFonts w:hint="eastAsia"/>
                <w:color w:val="auto"/>
                <w:sz w:val="21"/>
                <w:szCs w:val="21"/>
                <w:highlight w:val="none"/>
                <w:lang w:eastAsia="zh-CN"/>
              </w:rPr>
            </w:pPr>
            <w:r>
              <w:rPr>
                <w:rFonts w:hint="eastAsia"/>
                <w:color w:val="auto"/>
                <w:sz w:val="21"/>
                <w:szCs w:val="21"/>
                <w:highlight w:val="none"/>
                <w:lang w:eastAsia="zh-CN"/>
              </w:rPr>
              <w:t>控股股东、实际控制人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180" w:type="dxa"/>
            <w:noWrap w:val="0"/>
            <w:vAlign w:val="top"/>
          </w:tcPr>
          <w:p>
            <w:pPr>
              <w:pStyle w:val="40"/>
              <w:keepNext w:val="0"/>
              <w:keepLines w:val="0"/>
              <w:pageBreakBefore w:val="0"/>
              <w:kinsoku/>
              <w:wordWrap/>
              <w:overflowPunct/>
              <w:topLinePunct w:val="0"/>
              <w:bidi w:val="0"/>
              <w:spacing w:line="400" w:lineRule="exact"/>
              <w:jc w:val="left"/>
              <w:rPr>
                <w:rFonts w:hint="eastAsia"/>
                <w:color w:val="auto"/>
                <w:sz w:val="21"/>
                <w:szCs w:val="21"/>
                <w:highlight w:val="none"/>
              </w:rPr>
            </w:pPr>
            <w:r>
              <w:rPr>
                <w:rFonts w:hint="eastAsia"/>
                <w:color w:val="auto"/>
                <w:w w:val="99"/>
                <w:sz w:val="21"/>
                <w:szCs w:val="21"/>
                <w:highlight w:val="none"/>
              </w:rPr>
              <w:t>1</w:t>
            </w:r>
          </w:p>
        </w:tc>
        <w:tc>
          <w:tcPr>
            <w:tcW w:w="3562" w:type="dxa"/>
            <w:noWrap w:val="0"/>
            <w:vAlign w:val="top"/>
          </w:tcPr>
          <w:p>
            <w:pPr>
              <w:pStyle w:val="40"/>
              <w:keepNext w:val="0"/>
              <w:keepLines w:val="0"/>
              <w:pageBreakBefore w:val="0"/>
              <w:kinsoku/>
              <w:wordWrap/>
              <w:overflowPunct/>
              <w:topLinePunct w:val="0"/>
              <w:bidi w:val="0"/>
              <w:spacing w:line="400" w:lineRule="exact"/>
              <w:ind w:left="103"/>
              <w:jc w:val="left"/>
              <w:rPr>
                <w:rFonts w:hint="eastAsia"/>
                <w:color w:val="auto"/>
                <w:sz w:val="21"/>
                <w:szCs w:val="21"/>
                <w:highlight w:val="none"/>
                <w:lang w:eastAsia="zh-CN"/>
              </w:rPr>
            </w:pPr>
            <w:r>
              <w:rPr>
                <w:rFonts w:hint="eastAsia"/>
                <w:color w:val="auto"/>
                <w:sz w:val="21"/>
                <w:szCs w:val="21"/>
                <w:highlight w:val="none"/>
                <w:lang w:eastAsia="zh-CN"/>
              </w:rPr>
              <w:t>国家电力投资集团有限公司</w:t>
            </w:r>
          </w:p>
        </w:tc>
        <w:tc>
          <w:tcPr>
            <w:tcW w:w="3850" w:type="dxa"/>
            <w:noWrap w:val="0"/>
            <w:vAlign w:val="top"/>
          </w:tcPr>
          <w:p>
            <w:pPr>
              <w:pStyle w:val="40"/>
              <w:keepNext w:val="0"/>
              <w:keepLines w:val="0"/>
              <w:pageBreakBefore w:val="0"/>
              <w:kinsoku/>
              <w:wordWrap/>
              <w:overflowPunct/>
              <w:topLinePunct w:val="0"/>
              <w:bidi w:val="0"/>
              <w:spacing w:line="400" w:lineRule="exact"/>
              <w:ind w:left="102"/>
              <w:jc w:val="left"/>
              <w:rPr>
                <w:rFonts w:hint="eastAsia"/>
                <w:color w:val="auto"/>
                <w:sz w:val="21"/>
                <w:szCs w:val="21"/>
                <w:highlight w:val="none"/>
                <w:lang w:eastAsia="zh-CN"/>
              </w:rPr>
            </w:pPr>
            <w:r>
              <w:rPr>
                <w:rFonts w:hint="eastAsia"/>
                <w:color w:val="auto"/>
                <w:sz w:val="21"/>
                <w:szCs w:val="21"/>
                <w:highlight w:val="none"/>
                <w:lang w:eastAsia="zh-CN"/>
              </w:rPr>
              <w:t>国务院国有资产监督管理委员会</w:t>
            </w:r>
          </w:p>
        </w:tc>
      </w:tr>
    </w:tbl>
    <w:p>
      <w:pPr>
        <w:pStyle w:val="6"/>
        <w:keepNext w:val="0"/>
        <w:keepLines w:val="0"/>
        <w:pageBreakBefore w:val="0"/>
        <w:kinsoku/>
        <w:wordWrap/>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（三）主要股东股权质押情况</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center"/>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lang w:val="zh-CN"/>
        </w:rPr>
        <w:t>截至本报告出具之日，</w:t>
      </w:r>
      <w:r>
        <w:rPr>
          <w:rFonts w:hint="eastAsia" w:ascii="宋体" w:hAnsi="宋体" w:cs="宋体"/>
          <w:color w:val="auto"/>
          <w:kern w:val="0"/>
          <w:sz w:val="24"/>
          <w:szCs w:val="24"/>
          <w:highlight w:val="none"/>
        </w:rPr>
        <w:t>持有</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rPr>
        <w:t>5%以上股份的股东其</w:t>
      </w:r>
      <w:r>
        <w:rPr>
          <w:rFonts w:hint="eastAsia" w:ascii="宋体" w:hAnsi="宋体" w:cs="宋体"/>
          <w:color w:val="auto"/>
          <w:kern w:val="0"/>
          <w:sz w:val="24"/>
          <w:szCs w:val="24"/>
          <w:highlight w:val="none"/>
          <w:lang w:val="zh-CN"/>
        </w:rPr>
        <w:t>股权不存在质押、冻结的情况。</w:t>
      </w:r>
    </w:p>
    <w:p>
      <w:pPr>
        <w:pStyle w:val="6"/>
        <w:keepNext w:val="0"/>
        <w:keepLines w:val="0"/>
        <w:pageBreakBefore w:val="0"/>
        <w:kinsoku/>
        <w:wordWrap/>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（四）股东提名董事、监事情况</w:t>
      </w:r>
    </w:p>
    <w:p>
      <w:pPr>
        <w:pStyle w:val="6"/>
        <w:keepNext w:val="0"/>
        <w:keepLines w:val="0"/>
        <w:pageBreakBefore w:val="0"/>
        <w:kinsoku/>
        <w:wordWrap/>
        <w:overflowPunct/>
        <w:topLinePunct w:val="0"/>
        <w:bidi w:val="0"/>
        <w:spacing w:line="400" w:lineRule="exact"/>
        <w:ind w:left="0" w:firstLine="480" w:firstLineChars="20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2024年度，股东国家电力投资集团有限公司提名王浩为董事，选举陈可均为职工董事；股东贵州能源集团有限公司提名郭厚亮为董事，并经过选举担任副董事长，提名付洁为监事，并经过选举担任监事会主席。</w:t>
      </w:r>
    </w:p>
    <w:p>
      <w:pPr>
        <w:pStyle w:val="6"/>
        <w:keepNext w:val="0"/>
        <w:keepLines w:val="0"/>
        <w:pageBreakBefore w:val="0"/>
        <w:kinsoku/>
        <w:wordWrap/>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（五）主要股东股权转让情况</w:t>
      </w:r>
    </w:p>
    <w:p>
      <w:pPr>
        <w:pStyle w:val="6"/>
        <w:keepNext w:val="0"/>
        <w:keepLines w:val="0"/>
        <w:pageBreakBefore w:val="0"/>
        <w:kinsoku/>
        <w:wordWrap/>
        <w:overflowPunct/>
        <w:topLinePunct w:val="0"/>
        <w:bidi w:val="0"/>
        <w:spacing w:line="400" w:lineRule="exact"/>
        <w:ind w:lef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报告期内，本公司无主要股东股权转让情况。</w:t>
      </w:r>
    </w:p>
    <w:p>
      <w:pPr>
        <w:pStyle w:val="6"/>
        <w:keepNext w:val="0"/>
        <w:keepLines w:val="0"/>
        <w:pageBreakBefore w:val="0"/>
        <w:kinsoku/>
        <w:wordWrap/>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二、增加或减少注册资本、分立合并事项</w:t>
      </w:r>
    </w:p>
    <w:p>
      <w:pPr>
        <w:pStyle w:val="6"/>
        <w:keepNext w:val="0"/>
        <w:keepLines w:val="0"/>
        <w:pageBreakBefore w:val="0"/>
        <w:kinsoku/>
        <w:wordWrap/>
        <w:overflowPunct/>
        <w:topLinePunct w:val="0"/>
        <w:bidi w:val="0"/>
        <w:spacing w:line="400" w:lineRule="exact"/>
        <w:ind w:lef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无。</w:t>
      </w:r>
    </w:p>
    <w:p>
      <w:pPr>
        <w:pStyle w:val="6"/>
        <w:keepNext w:val="0"/>
        <w:keepLines w:val="0"/>
        <w:pageBreakBefore w:val="0"/>
        <w:numPr>
          <w:ilvl w:val="0"/>
          <w:numId w:val="12"/>
        </w:numPr>
        <w:kinsoku/>
        <w:wordWrap/>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关联交易事项</w:t>
      </w:r>
      <w:r>
        <w:rPr>
          <w:rFonts w:hint="eastAsia" w:cs="宋体"/>
          <w:color w:val="auto"/>
          <w:kern w:val="0"/>
          <w:sz w:val="24"/>
          <w:szCs w:val="24"/>
          <w:highlight w:val="none"/>
          <w:lang w:val="en-US" w:eastAsia="zh-CN" w:bidi="ar-SA"/>
        </w:rPr>
        <w:t>（请计财部核实）</w:t>
      </w:r>
    </w:p>
    <w:p>
      <w:pPr>
        <w:pStyle w:val="6"/>
        <w:keepNext w:val="0"/>
        <w:keepLines w:val="0"/>
        <w:pageBreakBefore w:val="0"/>
        <w:kinsoku/>
        <w:wordWrap/>
        <w:overflowPunct/>
        <w:topLinePunct w:val="0"/>
        <w:bidi w:val="0"/>
        <w:spacing w:line="400" w:lineRule="exact"/>
        <w:ind w:left="0"/>
        <w:jc w:val="left"/>
        <w:rPr>
          <w:rFonts w:hint="default" w:eastAsiaTheme="minorEastAsia"/>
          <w:color w:val="auto"/>
          <w:highlight w:val="none"/>
          <w:lang w:val="en-US"/>
        </w:rPr>
        <w:sectPr>
          <w:pgSz w:w="11907" w:h="16839"/>
          <w:pgMar w:top="1440" w:right="1797" w:bottom="1440" w:left="1797" w:header="680" w:footer="992" w:gutter="0"/>
          <w:cols w:space="425" w:num="1"/>
          <w:docGrid w:linePitch="312" w:charSpace="0"/>
        </w:sectPr>
      </w:pPr>
      <w:r>
        <w:rPr>
          <w:rFonts w:hint="eastAsia" w:cs="宋体"/>
          <w:color w:val="auto"/>
          <w:sz w:val="21"/>
          <w:szCs w:val="21"/>
          <w:highlight w:val="none"/>
          <w:lang w:eastAsia="zh-CN"/>
        </w:rPr>
        <w:t>单</w:t>
      </w:r>
      <w:r>
        <w:rPr>
          <w:rFonts w:hint="eastAsia" w:cs="宋体"/>
          <w:color w:val="auto"/>
          <w:sz w:val="21"/>
          <w:szCs w:val="21"/>
          <w:highlight w:val="none"/>
          <w:lang w:val="en-US" w:eastAsia="zh-CN"/>
        </w:rPr>
        <w:t>位：元</w:t>
      </w:r>
    </w:p>
    <w:tbl>
      <w:tblPr>
        <w:tblStyle w:val="22"/>
        <w:tblpPr w:leftFromText="180" w:rightFromText="180" w:vertAnchor="text" w:horzAnchor="page" w:tblpX="1668"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5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widowControl/>
              <w:jc w:val="center"/>
              <w:rPr>
                <w:rFonts w:hint="eastAsia" w:ascii="宋体" w:hAnsi="宋体" w:cs="宋体"/>
                <w:color w:val="auto"/>
                <w:kern w:val="0"/>
                <w:highlight w:val="none"/>
              </w:rPr>
            </w:pPr>
            <w:r>
              <w:rPr>
                <w:rFonts w:hint="eastAsia" w:ascii="宋体" w:hAnsi="宋体" w:cs="宋体"/>
                <w:color w:val="auto"/>
                <w:kern w:val="0"/>
                <w:highlight w:val="none"/>
              </w:rPr>
              <w:t>具体事项类型</w:t>
            </w:r>
          </w:p>
        </w:tc>
        <w:tc>
          <w:tcPr>
            <w:tcW w:w="3142" w:type="dxa"/>
            <w:shd w:val="clear" w:color="auto" w:fill="auto"/>
            <w:noWrap w:val="0"/>
            <w:tcMar>
              <w:top w:w="75" w:type="dxa"/>
              <w:left w:w="75" w:type="dxa"/>
              <w:bottom w:w="75" w:type="dxa"/>
              <w:right w:w="75" w:type="dxa"/>
            </w:tcMar>
            <w:vAlign w:val="center"/>
          </w:tcPr>
          <w:p>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发生金额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keepNext w:val="0"/>
              <w:keepLines w:val="0"/>
              <w:widowControl/>
              <w:suppressLineNumbers w:val="0"/>
              <w:jc w:val="center"/>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采购商品/接受劳务情况</w:t>
            </w:r>
          </w:p>
        </w:tc>
        <w:tc>
          <w:tcPr>
            <w:tcW w:w="3142" w:type="dxa"/>
            <w:shd w:val="clear" w:color="auto" w:fill="auto"/>
            <w:noWrap w:val="0"/>
            <w:tcMar>
              <w:top w:w="75" w:type="dxa"/>
              <w:left w:w="75" w:type="dxa"/>
              <w:bottom w:w="75" w:type="dxa"/>
              <w:right w:w="75" w:type="dxa"/>
            </w:tcMar>
            <w:vAlign w:val="center"/>
          </w:tcPr>
          <w:p>
            <w:pPr>
              <w:keepNext w:val="0"/>
              <w:keepLines w:val="0"/>
              <w:widowControl/>
              <w:suppressLineNumbers w:val="0"/>
              <w:jc w:val="right"/>
              <w:textAlignment w:val="center"/>
              <w:rPr>
                <w:rFonts w:hint="default" w:ascii="宋体" w:hAnsi="宋体" w:eastAsia="宋体" w:cs="宋体"/>
                <w:color w:val="auto"/>
                <w:kern w:val="0"/>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373,759,663.07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keepNext w:val="0"/>
              <w:keepLines w:val="0"/>
              <w:widowControl/>
              <w:suppressLineNumbers w:val="0"/>
              <w:jc w:val="center"/>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出售商品</w:t>
            </w:r>
            <w:r>
              <w:rPr>
                <w:rStyle w:val="48"/>
                <w:rFonts w:eastAsia="宋体"/>
                <w:color w:val="auto"/>
                <w:highlight w:val="none"/>
                <w:lang w:val="en-US" w:eastAsia="zh-CN" w:bidi="ar"/>
              </w:rPr>
              <w:t>/</w:t>
            </w:r>
            <w:r>
              <w:rPr>
                <w:rStyle w:val="32"/>
                <w:color w:val="auto"/>
                <w:highlight w:val="none"/>
                <w:lang w:val="en-US" w:eastAsia="zh-CN" w:bidi="ar"/>
              </w:rPr>
              <w:t>提供劳务情况</w:t>
            </w:r>
          </w:p>
        </w:tc>
        <w:tc>
          <w:tcPr>
            <w:tcW w:w="3142" w:type="dxa"/>
            <w:shd w:val="clear" w:color="auto" w:fill="auto"/>
            <w:noWrap w:val="0"/>
            <w:tcMar>
              <w:top w:w="75" w:type="dxa"/>
              <w:left w:w="75" w:type="dxa"/>
              <w:bottom w:w="75" w:type="dxa"/>
              <w:right w:w="75" w:type="dxa"/>
            </w:tcMar>
            <w:vAlign w:val="center"/>
          </w:tcPr>
          <w:p>
            <w:pPr>
              <w:keepNext w:val="0"/>
              <w:keepLines w:val="0"/>
              <w:widowControl/>
              <w:suppressLineNumbers w:val="0"/>
              <w:jc w:val="righ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248,791,284.17</w:t>
            </w:r>
          </w:p>
        </w:tc>
      </w:tr>
    </w:tbl>
    <w:p>
      <w:pPr>
        <w:pStyle w:val="6"/>
        <w:spacing w:before="120" w:after="53" w:line="360" w:lineRule="auto"/>
        <w:ind w:left="0" w:firstLine="480" w:firstLineChars="200"/>
        <w:rPr>
          <w:rFonts w:hint="eastAsia" w:ascii="宋体" w:hAnsi="宋体" w:eastAsia="宋体" w:cs="宋体"/>
          <w:color w:val="auto"/>
          <w:kern w:val="0"/>
          <w:sz w:val="24"/>
          <w:szCs w:val="24"/>
          <w:highlight w:val="none"/>
          <w:lang w:val="en-US" w:eastAsia="zh-CN" w:bidi="ar-SA"/>
        </w:rPr>
      </w:pPr>
    </w:p>
    <w:p>
      <w:pPr>
        <w:pStyle w:val="6"/>
        <w:spacing w:before="120" w:after="53" w:line="360" w:lineRule="auto"/>
        <w:ind w:left="0" w:firstLine="480" w:firstLineChars="200"/>
        <w:rPr>
          <w:rFonts w:hint="eastAsia" w:ascii="宋体" w:hAnsi="宋体" w:eastAsia="宋体" w:cs="宋体"/>
          <w:color w:val="auto"/>
          <w:kern w:val="0"/>
          <w:sz w:val="24"/>
          <w:szCs w:val="24"/>
          <w:highlight w:val="none"/>
          <w:lang w:val="en-US" w:eastAsia="zh-CN" w:bidi="ar-SA"/>
        </w:rPr>
      </w:pPr>
    </w:p>
    <w:p>
      <w:pPr>
        <w:pStyle w:val="6"/>
        <w:spacing w:before="120" w:after="53" w:line="360" w:lineRule="auto"/>
        <w:rPr>
          <w:rFonts w:hint="eastAsia" w:ascii="宋体" w:hAnsi="宋体" w:eastAsia="宋体" w:cs="宋体"/>
          <w:color w:val="auto"/>
          <w:kern w:val="0"/>
          <w:sz w:val="24"/>
          <w:szCs w:val="24"/>
          <w:highlight w:val="none"/>
          <w:lang w:val="en-US" w:eastAsia="zh-CN" w:bidi="ar-SA"/>
        </w:rPr>
      </w:pPr>
    </w:p>
    <w:p>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注：以上为本期发生的关联交易金额。</w:t>
      </w:r>
    </w:p>
    <w:p>
      <w:pPr>
        <w:pStyle w:val="6"/>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重大诉讼、仲裁事项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报告期内，贵州金元及所属单位共发生3起重大诉讼</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1.中水公司</w:t>
      </w:r>
      <w:r>
        <w:rPr>
          <w:rFonts w:hint="eastAsia" w:ascii="宋体" w:hAnsi="宋体" w:eastAsia="宋体" w:cs="宋体"/>
          <w:color w:val="auto"/>
          <w:kern w:val="0"/>
          <w:sz w:val="24"/>
          <w:szCs w:val="24"/>
          <w:highlight w:val="none"/>
          <w:lang w:val="en-US" w:eastAsia="zh-CN"/>
        </w:rPr>
        <w:t>诉</w:t>
      </w:r>
      <w:r>
        <w:rPr>
          <w:rFonts w:hint="eastAsia" w:ascii="宋体" w:hAnsi="宋体" w:eastAsia="宋体" w:cs="宋体"/>
          <w:color w:val="auto"/>
          <w:kern w:val="0"/>
          <w:sz w:val="24"/>
          <w:szCs w:val="24"/>
          <w:highlight w:val="none"/>
          <w:lang w:val="zh-CN"/>
        </w:rPr>
        <w:t>安晟能源、青龙煤矿（第三人）股东代表诉讼案件，</w:t>
      </w:r>
      <w:r>
        <w:rPr>
          <w:rFonts w:hint="eastAsia" w:ascii="宋体" w:hAnsi="宋体" w:eastAsia="宋体" w:cs="宋体"/>
          <w:color w:val="auto"/>
          <w:kern w:val="0"/>
          <w:sz w:val="24"/>
          <w:szCs w:val="24"/>
          <w:highlight w:val="none"/>
          <w:lang w:val="en-US" w:eastAsia="zh-CN"/>
        </w:rPr>
        <w:t>2024年2月立案，涉案</w:t>
      </w:r>
      <w:r>
        <w:rPr>
          <w:rFonts w:hint="eastAsia" w:ascii="宋体" w:hAnsi="宋体" w:eastAsia="宋体" w:cs="宋体"/>
          <w:color w:val="auto"/>
          <w:kern w:val="0"/>
          <w:sz w:val="24"/>
          <w:szCs w:val="24"/>
          <w:highlight w:val="none"/>
          <w:lang w:val="zh-CN"/>
        </w:rPr>
        <w:t>金额8.47亿元。</w:t>
      </w:r>
      <w:r>
        <w:rPr>
          <w:rFonts w:hint="eastAsia" w:ascii="宋体" w:hAnsi="宋体" w:eastAsia="宋体" w:cs="宋体"/>
          <w:color w:val="auto"/>
          <w:kern w:val="0"/>
          <w:sz w:val="24"/>
          <w:szCs w:val="24"/>
          <w:highlight w:val="none"/>
          <w:lang w:val="en-US" w:eastAsia="zh-CN"/>
        </w:rPr>
        <w:t>2025年2月收到贵阳市中院一审判决：安晟能源向黔西能源返还欠款。黔西能源和中水公司已上诉，贵州省高院已受理并于4月24日开庭审理，待判决。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能发</w:t>
      </w:r>
      <w:r>
        <w:rPr>
          <w:rFonts w:hint="eastAsia" w:ascii="宋体" w:hAnsi="宋体" w:eastAsia="宋体" w:cs="宋体"/>
          <w:color w:val="auto"/>
          <w:kern w:val="0"/>
          <w:sz w:val="24"/>
          <w:szCs w:val="24"/>
          <w:highlight w:val="none"/>
          <w:lang w:val="zh-CN"/>
        </w:rPr>
        <w:t>公司</w:t>
      </w:r>
      <w:r>
        <w:rPr>
          <w:rFonts w:hint="eastAsia" w:ascii="宋体" w:hAnsi="宋体" w:eastAsia="宋体" w:cs="宋体"/>
          <w:color w:val="auto"/>
          <w:kern w:val="0"/>
          <w:sz w:val="24"/>
          <w:szCs w:val="24"/>
          <w:highlight w:val="none"/>
          <w:lang w:val="en-US" w:eastAsia="zh-CN"/>
        </w:rPr>
        <w:t>诉</w:t>
      </w:r>
      <w:r>
        <w:rPr>
          <w:rFonts w:hint="eastAsia" w:ascii="宋体" w:hAnsi="宋体" w:eastAsia="宋体" w:cs="宋体"/>
          <w:color w:val="auto"/>
          <w:kern w:val="0"/>
          <w:sz w:val="24"/>
          <w:szCs w:val="24"/>
          <w:highlight w:val="none"/>
          <w:lang w:val="zh-CN"/>
        </w:rPr>
        <w:t>安晟能源、</w:t>
      </w:r>
      <w:r>
        <w:rPr>
          <w:rFonts w:hint="eastAsia" w:ascii="宋体" w:hAnsi="宋体" w:eastAsia="宋体" w:cs="宋体"/>
          <w:color w:val="auto"/>
          <w:kern w:val="0"/>
          <w:sz w:val="24"/>
          <w:szCs w:val="24"/>
          <w:highlight w:val="none"/>
          <w:lang w:val="en-US" w:eastAsia="zh-CN"/>
        </w:rPr>
        <w:t>发耳煤矿</w:t>
      </w:r>
      <w:r>
        <w:rPr>
          <w:rFonts w:hint="eastAsia" w:ascii="宋体" w:hAnsi="宋体" w:eastAsia="宋体" w:cs="宋体"/>
          <w:color w:val="auto"/>
          <w:kern w:val="0"/>
          <w:sz w:val="24"/>
          <w:szCs w:val="24"/>
          <w:highlight w:val="none"/>
          <w:lang w:val="zh-CN"/>
        </w:rPr>
        <w:t>（第三人）股东代表诉讼案件，</w:t>
      </w:r>
      <w:r>
        <w:rPr>
          <w:rFonts w:hint="eastAsia" w:ascii="宋体" w:hAnsi="宋体" w:eastAsia="宋体" w:cs="宋体"/>
          <w:color w:val="auto"/>
          <w:kern w:val="0"/>
          <w:sz w:val="24"/>
          <w:szCs w:val="24"/>
          <w:highlight w:val="none"/>
          <w:lang w:val="en-US" w:eastAsia="zh-CN"/>
        </w:rPr>
        <w:t>2024年6月立案，涉案</w:t>
      </w:r>
      <w:r>
        <w:rPr>
          <w:rFonts w:hint="eastAsia" w:ascii="宋体" w:hAnsi="宋体" w:eastAsia="宋体" w:cs="宋体"/>
          <w:color w:val="auto"/>
          <w:kern w:val="0"/>
          <w:sz w:val="24"/>
          <w:szCs w:val="24"/>
          <w:highlight w:val="none"/>
          <w:lang w:val="zh-CN"/>
        </w:rPr>
        <w:t>金额</w:t>
      </w:r>
      <w:r>
        <w:rPr>
          <w:rFonts w:hint="eastAsia" w:ascii="宋体" w:hAnsi="宋体" w:eastAsia="宋体" w:cs="宋体"/>
          <w:color w:val="auto"/>
          <w:kern w:val="0"/>
          <w:sz w:val="24"/>
          <w:szCs w:val="24"/>
          <w:highlight w:val="none"/>
          <w:lang w:val="en-US" w:eastAsia="zh-CN"/>
        </w:rPr>
        <w:t>3.08</w:t>
      </w:r>
      <w:r>
        <w:rPr>
          <w:rFonts w:hint="eastAsia" w:ascii="宋体" w:hAnsi="宋体" w:eastAsia="宋体" w:cs="宋体"/>
          <w:color w:val="auto"/>
          <w:kern w:val="0"/>
          <w:sz w:val="24"/>
          <w:szCs w:val="24"/>
          <w:highlight w:val="none"/>
          <w:lang w:val="zh-CN"/>
        </w:rPr>
        <w:t>亿元</w:t>
      </w:r>
      <w:r>
        <w:rPr>
          <w:rFonts w:hint="eastAsia" w:ascii="宋体" w:hAnsi="宋体" w:eastAsia="宋体" w:cs="宋体"/>
          <w:color w:val="auto"/>
          <w:kern w:val="0"/>
          <w:sz w:val="24"/>
          <w:szCs w:val="24"/>
          <w:highlight w:val="none"/>
          <w:lang w:val="en-US" w:eastAsia="zh-CN"/>
        </w:rPr>
        <w:t>。因能发公司将发耳煤矿的股权转让至能发新能源公司，2025年3月4日，收到贵阳市观山湖区法院裁定：驳回能发公司起诉，案件受理费158万元全额退还，保全申请费5000元不予退还。已上诉至贵阳市中院，开庭时间未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rPr>
        <w:t>3.中冶京诚工程技术有限公司诉绥阳公司、贵州金元建设工程施工合同纠纷</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2024年7月立案，涉案金额7841万元。2024年8月已达成和解，绥阳公司分期支付工程款，贵州金元不承担责任，已结案。</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五、聘任和解聘会计师事务所情况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公司聘请</w:t>
      </w:r>
      <w:r>
        <w:rPr>
          <w:rFonts w:hint="eastAsia" w:ascii="宋体" w:hAnsi="宋体" w:eastAsia="宋体" w:cs="宋体"/>
          <w:color w:val="auto"/>
          <w:sz w:val="24"/>
          <w:szCs w:val="24"/>
          <w:highlight w:val="none"/>
          <w:lang w:val="en-US" w:eastAsia="zh-CN"/>
        </w:rPr>
        <w:t>立信会计师事务所（特殊普通合伙）</w:t>
      </w:r>
      <w:r>
        <w:rPr>
          <w:rFonts w:hint="eastAsia" w:ascii="宋体" w:hAnsi="宋体" w:eastAsia="宋体" w:cs="宋体"/>
          <w:color w:val="auto"/>
          <w:kern w:val="0"/>
          <w:sz w:val="24"/>
          <w:szCs w:val="24"/>
          <w:highlight w:val="none"/>
          <w:lang w:val="en-US" w:eastAsia="zh-CN" w:bidi="ar-SA"/>
        </w:rPr>
        <w:t>按中国会计准则对本公司2024年度的经营状况进行审计。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六、逾期未偿还债务情况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报告期末，公司无逾期未偿还债务。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七、对外投资情况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报告期内，公司不存在未经股东大会、董事会审议通过的对外投资事项。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八、收购及出售资产、吸收合并事项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报告期内，公司对外转让桃花、尖峰、墨子湾、令里、加平、南东</w:t>
      </w:r>
      <w:r>
        <w:rPr>
          <w:rFonts w:hint="eastAsia" w:cs="宋体"/>
          <w:color w:val="auto"/>
          <w:kern w:val="0"/>
          <w:sz w:val="24"/>
          <w:szCs w:val="24"/>
          <w:highlight w:val="none"/>
          <w:lang w:val="en-US" w:eastAsia="zh-CN" w:bidi="ar-SA"/>
        </w:rPr>
        <w:t>等6个</w:t>
      </w:r>
      <w:r>
        <w:rPr>
          <w:rFonts w:hint="eastAsia" w:ascii="宋体" w:hAnsi="宋体" w:eastAsia="宋体" w:cs="宋体"/>
          <w:color w:val="auto"/>
          <w:kern w:val="0"/>
          <w:sz w:val="24"/>
          <w:szCs w:val="24"/>
          <w:highlight w:val="none"/>
          <w:lang w:val="en-US" w:eastAsia="zh-CN" w:bidi="ar-SA"/>
        </w:rPr>
        <w:t>水电</w:t>
      </w:r>
      <w:r>
        <w:rPr>
          <w:rFonts w:hint="eastAsia" w:cs="宋体"/>
          <w:color w:val="auto"/>
          <w:kern w:val="0"/>
          <w:sz w:val="24"/>
          <w:szCs w:val="24"/>
          <w:highlight w:val="none"/>
          <w:lang w:val="en-US" w:eastAsia="zh-CN" w:bidi="ar-SA"/>
        </w:rPr>
        <w:t>站</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总装机4.45</w:t>
      </w:r>
      <w:r>
        <w:rPr>
          <w:rFonts w:hint="eastAsia" w:ascii="宋体" w:hAnsi="宋体" w:eastAsia="宋体" w:cs="宋体"/>
          <w:color w:val="auto"/>
          <w:kern w:val="0"/>
          <w:sz w:val="24"/>
          <w:szCs w:val="24"/>
          <w:highlight w:val="none"/>
          <w:lang w:val="en-US" w:eastAsia="zh-CN" w:bidi="ar-SA"/>
        </w:rPr>
        <w:t>MW）资产</w:t>
      </w:r>
      <w:r>
        <w:rPr>
          <w:rFonts w:hint="eastAsia" w:cs="宋体"/>
          <w:color w:val="auto"/>
          <w:kern w:val="0"/>
          <w:sz w:val="24"/>
          <w:szCs w:val="24"/>
          <w:highlight w:val="none"/>
          <w:lang w:val="en-US" w:eastAsia="zh-CN" w:bidi="ar-SA"/>
        </w:rPr>
        <w:t>，明英电站因下游宣威水电站开发淹没获得补偿，通过贵州能源集团增资并控股能发公司51%。</w:t>
      </w:r>
      <w:r>
        <w:rPr>
          <w:rFonts w:hint="eastAsia" w:ascii="宋体" w:hAnsi="宋体" w:eastAsia="宋体" w:cs="宋体"/>
          <w:color w:val="auto"/>
          <w:kern w:val="0"/>
          <w:sz w:val="24"/>
          <w:szCs w:val="24"/>
          <w:highlight w:val="none"/>
          <w:lang w:val="en-US" w:eastAsia="zh-CN" w:bidi="ar-SA"/>
        </w:rPr>
        <w:t>公司无</w:t>
      </w:r>
      <w:r>
        <w:rPr>
          <w:rFonts w:hint="eastAsia" w:cs="宋体"/>
          <w:color w:val="auto"/>
          <w:kern w:val="0"/>
          <w:sz w:val="24"/>
          <w:szCs w:val="24"/>
          <w:highlight w:val="none"/>
          <w:lang w:val="en-US" w:eastAsia="zh-CN" w:bidi="ar-SA"/>
        </w:rPr>
        <w:t>其他</w:t>
      </w:r>
      <w:r>
        <w:rPr>
          <w:rFonts w:hint="eastAsia" w:ascii="宋体" w:hAnsi="宋体" w:eastAsia="宋体" w:cs="宋体"/>
          <w:color w:val="auto"/>
          <w:kern w:val="0"/>
          <w:sz w:val="24"/>
          <w:szCs w:val="24"/>
          <w:highlight w:val="none"/>
          <w:lang w:val="en-US" w:eastAsia="zh-CN" w:bidi="ar-SA"/>
        </w:rPr>
        <w:t>重大收购及吸收合并事项。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九、股东及其关联方占用或转移公司资金、资产及其他资源的情况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报告期内，公司不存在股东及其关联方占用或转移公司资金、资产及其他资源的情况。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十、经股东大会审议通过的收购、出售资产、对外投资事项以及报告期内发生的企业合并事项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报告期内，不存在经股东大会审议通过的收购、出售资产、对外投资事项以及报告期内发生的企业合并事项。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十一、</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权益分派情况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报告期内的利润分配与公积金转增股本情况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报告期内贵州金元母公司无利润分配及公积金转增股本情况。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报告期内未执行完毕的利润分配与公积金转增股本的情况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报告期内贵州金元母公司无未执行完毕的利润分配及公积金转增股本情况。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权益分派预案</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报告期内贵州金元母公司无权益分配预案。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br w:type="page"/>
      </w:r>
    </w:p>
    <w:bookmarkEnd w:id="40"/>
    <w:p>
      <w:pPr>
        <w:pStyle w:val="6"/>
        <w:spacing w:before="120"/>
        <w:ind w:left="0"/>
        <w:jc w:val="center"/>
        <w:outlineLvl w:val="0"/>
        <w:rPr>
          <w:rFonts w:hint="eastAsia" w:ascii="黑体" w:hAnsi="黑体" w:eastAsia="黑体" w:cs="黑体"/>
          <w:b/>
          <w:bCs/>
          <w:color w:val="auto"/>
          <w:highlight w:val="none"/>
          <w:lang w:val="en-US" w:eastAsia="zh-CN"/>
        </w:rPr>
      </w:pPr>
      <w:bookmarkStart w:id="56" w:name="_Toc3303"/>
      <w:bookmarkStart w:id="57" w:name="_Toc15623"/>
      <w:bookmarkStart w:id="58" w:name="_Toc10869"/>
      <w:bookmarkStart w:id="59" w:name="_Toc21919"/>
      <w:bookmarkStart w:id="60" w:name="_Toc24192"/>
      <w:r>
        <w:rPr>
          <w:rFonts w:hint="eastAsia" w:ascii="黑体" w:hAnsi="黑体" w:eastAsia="黑体" w:cs="黑体"/>
          <w:b/>
          <w:bCs/>
          <w:color w:val="auto"/>
          <w:highlight w:val="none"/>
          <w:lang w:val="en-US" w:eastAsia="zh-CN"/>
        </w:rPr>
        <w:t>第七节 会计财务报告</w:t>
      </w:r>
      <w:bookmarkEnd w:id="56"/>
      <w:bookmarkEnd w:id="57"/>
      <w:bookmarkEnd w:id="58"/>
      <w:bookmarkEnd w:id="59"/>
      <w:bookmarkEnd w:id="60"/>
    </w:p>
    <w:p>
      <w:pPr>
        <w:rPr>
          <w:color w:val="auto"/>
          <w:highlight w:val="none"/>
        </w:rPr>
      </w:pPr>
    </w:p>
    <w:p>
      <w:pPr>
        <w:pStyle w:val="41"/>
        <w:ind w:firstLine="0"/>
        <w:jc w:val="center"/>
        <w:outlineLvl w:val="0"/>
        <w:rPr>
          <w:b/>
          <w:color w:val="auto"/>
          <w:sz w:val="36"/>
          <w:highlight w:val="none"/>
        </w:rPr>
      </w:pPr>
    </w:p>
    <w:p>
      <w:pPr>
        <w:pStyle w:val="41"/>
        <w:ind w:firstLine="0"/>
        <w:jc w:val="center"/>
        <w:outlineLvl w:val="0"/>
        <w:rPr>
          <w:b/>
          <w:color w:val="auto"/>
          <w:sz w:val="36"/>
          <w:highlight w:val="none"/>
        </w:rPr>
      </w:pPr>
      <w:r>
        <w:rPr>
          <w:rFonts w:hint="eastAsia"/>
          <w:b/>
          <w:color w:val="auto"/>
          <w:sz w:val="36"/>
          <w:highlight w:val="none"/>
        </w:rPr>
        <w:t>审计报告</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righ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信会师报字[2025]第ZG25875号</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jc w:val="both"/>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国家电投集团贵州金元股份有限公司：</w:t>
      </w:r>
    </w:p>
    <w:p>
      <w:pPr>
        <w:adjustRightInd w:val="0"/>
        <w:snapToGrid w:val="0"/>
        <w:ind w:firstLine="567"/>
        <w:jc w:val="both"/>
        <w:rPr>
          <w:rFonts w:ascii="Times New Roman" w:hAnsi="Times New Roman" w:eastAsia="宋体" w:cs="Times New Roman"/>
          <w:color w:val="auto"/>
          <w:sz w:val="28"/>
          <w:highlight w:val="none"/>
        </w:rPr>
      </w:pPr>
    </w:p>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审计意见</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我们审计了国家电投集团贵州金元股份有限公司（以下简称贵州金元）财务报表，包括2024年12月31日的合并及母公司资产负债表，2024年度的合并及母公司利润表、合并及母公司现金流量表、合并及母公司所有者权益变动表以及相关财务报表附注。</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我们认为，后附的财务报表在所有重大方面按照企业会计准则的规定编制，公允反映了贵州金元2024年12月31日的合并及母公司财务状况以及2024年度的合并及母公司经营成果和现金流量。</w:t>
      </w:r>
    </w:p>
    <w:p>
      <w:pPr>
        <w:adjustRightInd w:val="0"/>
        <w:snapToGrid w:val="0"/>
        <w:ind w:firstLine="567"/>
        <w:jc w:val="both"/>
        <w:rPr>
          <w:rFonts w:ascii="Times New Roman" w:hAnsi="Times New Roman" w:eastAsia="宋体" w:cs="Times New Roman"/>
          <w:color w:val="auto"/>
          <w:sz w:val="28"/>
          <w:highlight w:val="none"/>
        </w:rPr>
      </w:pPr>
    </w:p>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形成审计意见的基础</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我们按照中国注册会计师审计准则的规定执行了审计工作。审计报告的</w:t>
      </w:r>
      <w:r>
        <w:rPr>
          <w:rFonts w:hint="eastAsia" w:ascii="宋体" w:hAnsi="宋体" w:eastAsia="宋体" w:cs="Times New Roman"/>
          <w:color w:val="auto"/>
          <w:sz w:val="28"/>
          <w:highlight w:val="none"/>
        </w:rPr>
        <w:t>“</w:t>
      </w:r>
      <w:r>
        <w:rPr>
          <w:rFonts w:hint="eastAsia" w:ascii="Times New Roman" w:hAnsi="Times New Roman" w:eastAsia="宋体" w:cs="Times New Roman"/>
          <w:color w:val="auto"/>
          <w:sz w:val="28"/>
          <w:highlight w:val="none"/>
        </w:rPr>
        <w:t>注册会计师对财务报表审计的责任</w:t>
      </w:r>
      <w:r>
        <w:rPr>
          <w:rFonts w:hint="eastAsia" w:ascii="宋体" w:hAnsi="宋体" w:eastAsia="宋体" w:cs="Times New Roman"/>
          <w:color w:val="auto"/>
          <w:sz w:val="28"/>
          <w:highlight w:val="none"/>
        </w:rPr>
        <w:t>”</w:t>
      </w:r>
      <w:r>
        <w:rPr>
          <w:rFonts w:hint="eastAsia" w:ascii="Times New Roman" w:hAnsi="Times New Roman" w:eastAsia="宋体" w:cs="Times New Roman"/>
          <w:color w:val="auto"/>
          <w:sz w:val="28"/>
          <w:highlight w:val="none"/>
        </w:rPr>
        <w:t>部分进一步阐述了我们在这些准则下的责任。按照中国注册会计师职业道德守则，我们独立于贵州金元，并履行了职业道德方面的其他责任。我们相信，我们获取的审计证据是充分、适当的，为发表审计意见提供了基础。</w:t>
      </w:r>
    </w:p>
    <w:p>
      <w:pPr>
        <w:adjustRightInd w:val="0"/>
        <w:snapToGrid w:val="0"/>
        <w:ind w:firstLine="567"/>
        <w:jc w:val="both"/>
        <w:rPr>
          <w:rFonts w:ascii="Times New Roman" w:hAnsi="Times New Roman" w:eastAsia="宋体" w:cs="Times New Roman"/>
          <w:color w:val="auto"/>
          <w:sz w:val="28"/>
          <w:highlight w:val="none"/>
        </w:rPr>
      </w:pPr>
    </w:p>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管理层和治理层对财务报表的责任</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贵州金元管理层（以下简称管理层）负责按照企业会计准则的规定编制财务报表，使其实现公允反映，并设计、执行和维护必要的内部控制，以使财务报表不存在由于舞弊或错误导致的重大错报。</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在编制财务报表时，管理层负责评估贵州金元的持续经营能力，披露与持续经营相关的事项（如适用），并运用持续经营假设，除非计划进行清算、终止运营或别无其他现实的选择。</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治理层负责监督贵州金元的财务报告过程。</w:t>
      </w:r>
    </w:p>
    <w:p>
      <w:pPr>
        <w:adjustRightInd w:val="0"/>
        <w:snapToGrid w:val="0"/>
        <w:ind w:firstLine="567"/>
        <w:jc w:val="both"/>
        <w:rPr>
          <w:rFonts w:ascii="Times New Roman" w:hAnsi="Times New Roman" w:eastAsia="宋体" w:cs="Times New Roman"/>
          <w:color w:val="auto"/>
          <w:sz w:val="28"/>
          <w:highlight w:val="none"/>
        </w:rPr>
      </w:pPr>
    </w:p>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注册会计师对财务报表审计的责任</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在按照审计准则执行审计工作的过程中，我们运用职业判断，并保持职业怀疑。同时，我们也执行以下工作：</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（二）了解与审计相关的内部控制，以设计恰当的审计程序，但目的并非对内部控制的有效性发表意见。</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（三）评价管理层选用会计政策的恰当性和作出会计估计及相关披露的合理性。</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四）对管理层使用持续经营假设的恰当性得出结论。同时，根据获取的审计证据，就可能导致对贵州金元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州金元不能持续经营。</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（五）评价财务报表的总体列报（包括披露）、结构和内容，并评价财务报表是否公允反映相关交易和事项。</w:t>
      </w: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（六）就贵州金元中实体或业务活动的财务信息获取充分、适当的审计证据，以对合并财务报表发表审计意见。我们负责指导、监督和执行集团审计，并对审计意见承担全部责任。</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我们与治理层就计划的审计范围、时间安排和重大审计发现等事项进行沟通，包括沟通我们在审计中识别出的值得关注的内部控制缺陷。</w:t>
      </w: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hint="eastAsia"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hint="eastAsia"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567"/>
        <w:jc w:val="both"/>
        <w:rPr>
          <w:rFonts w:ascii="Times New Roman" w:hAnsi="Times New Roman" w:eastAsia="宋体" w:cs="Times New Roman"/>
          <w:color w:val="auto"/>
          <w:sz w:val="28"/>
          <w:highlight w:val="none"/>
        </w:rPr>
      </w:pPr>
    </w:p>
    <w:p>
      <w:pPr>
        <w:adjustRightInd w:val="0"/>
        <w:snapToGrid w:val="0"/>
        <w:ind w:firstLine="275" w:firstLineChars="98"/>
        <w:jc w:val="both"/>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立信会计师事务所                  中国注册会计师：</w:t>
      </w:r>
    </w:p>
    <w:p>
      <w:pPr>
        <w:adjustRightInd w:val="0"/>
        <w:snapToGrid w:val="0"/>
        <w:ind w:firstLine="275" w:firstLineChars="98"/>
        <w:jc w:val="both"/>
        <w:rPr>
          <w:rFonts w:ascii="Times New Roman" w:hAnsi="Times New Roman" w:eastAsia="宋体" w:cs="Times New Roman"/>
          <w:color w:val="auto"/>
          <w:sz w:val="28"/>
          <w:highlight w:val="none"/>
        </w:rPr>
      </w:pPr>
      <w:r>
        <w:rPr>
          <w:rFonts w:hint="eastAsia" w:ascii="Times New Roman" w:hAnsi="Times New Roman" w:eastAsia="宋体" w:cs="Times New Roman"/>
          <w:b/>
          <w:color w:val="auto"/>
          <w:sz w:val="28"/>
          <w:highlight w:val="none"/>
        </w:rPr>
        <w:t>（特殊普通合伙）</w:t>
      </w:r>
    </w:p>
    <w:p>
      <w:pPr>
        <w:adjustRightInd w:val="0"/>
        <w:snapToGrid w:val="0"/>
        <w:ind w:firstLine="274" w:firstLineChars="98"/>
        <w:jc w:val="both"/>
        <w:rPr>
          <w:rFonts w:ascii="Times New Roman" w:hAnsi="Times New Roman" w:eastAsia="宋体" w:cs="Times New Roman"/>
          <w:color w:val="auto"/>
          <w:sz w:val="28"/>
          <w:highlight w:val="none"/>
        </w:rPr>
      </w:pPr>
    </w:p>
    <w:p>
      <w:pPr>
        <w:adjustRightInd w:val="0"/>
        <w:snapToGrid w:val="0"/>
        <w:ind w:firstLine="274" w:firstLineChars="98"/>
        <w:jc w:val="both"/>
        <w:rPr>
          <w:rFonts w:hint="eastAsia" w:ascii="Times New Roman" w:hAnsi="Times New Roman" w:eastAsia="宋体" w:cs="Times New Roman"/>
          <w:color w:val="auto"/>
          <w:sz w:val="28"/>
          <w:highlight w:val="none"/>
        </w:rPr>
      </w:pPr>
    </w:p>
    <w:p>
      <w:pPr>
        <w:adjustRightInd w:val="0"/>
        <w:snapToGrid w:val="0"/>
        <w:ind w:firstLine="274" w:firstLineChars="98"/>
        <w:jc w:val="both"/>
        <w:rPr>
          <w:rFonts w:hint="eastAsia" w:ascii="Times New Roman" w:hAnsi="Times New Roman" w:eastAsia="宋体" w:cs="Times New Roman"/>
          <w:color w:val="auto"/>
          <w:sz w:val="28"/>
          <w:highlight w:val="none"/>
        </w:rPr>
      </w:pPr>
    </w:p>
    <w:p>
      <w:pPr>
        <w:adjustRightInd w:val="0"/>
        <w:snapToGrid w:val="0"/>
        <w:ind w:firstLine="274" w:firstLineChars="98"/>
        <w:jc w:val="both"/>
        <w:rPr>
          <w:rFonts w:ascii="Times New Roman" w:hAnsi="Times New Roman" w:eastAsia="宋体" w:cs="Times New Roman"/>
          <w:color w:val="auto"/>
          <w:sz w:val="28"/>
          <w:highlight w:val="none"/>
        </w:rPr>
      </w:pPr>
    </w:p>
    <w:p>
      <w:pPr>
        <w:adjustRightInd w:val="0"/>
        <w:snapToGrid w:val="0"/>
        <w:ind w:firstLine="275" w:firstLineChars="98"/>
        <w:jc w:val="both"/>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 xml:space="preserve">                                  中国注册会计师：</w:t>
      </w:r>
    </w:p>
    <w:p>
      <w:pPr>
        <w:adjustRightInd w:val="0"/>
        <w:snapToGrid w:val="0"/>
        <w:ind w:firstLine="274" w:firstLineChars="98"/>
        <w:jc w:val="both"/>
        <w:rPr>
          <w:rFonts w:ascii="Times New Roman" w:hAnsi="Times New Roman" w:eastAsia="宋体" w:cs="Times New Roman"/>
          <w:color w:val="auto"/>
          <w:sz w:val="28"/>
          <w:highlight w:val="none"/>
        </w:rPr>
      </w:pPr>
    </w:p>
    <w:p>
      <w:pPr>
        <w:adjustRightInd w:val="0"/>
        <w:snapToGrid w:val="0"/>
        <w:ind w:firstLine="274" w:firstLineChars="98"/>
        <w:jc w:val="both"/>
        <w:rPr>
          <w:rFonts w:hint="eastAsia" w:ascii="Times New Roman" w:hAnsi="Times New Roman" w:eastAsia="宋体" w:cs="Times New Roman"/>
          <w:color w:val="auto"/>
          <w:sz w:val="28"/>
          <w:highlight w:val="none"/>
        </w:rPr>
      </w:pPr>
    </w:p>
    <w:p>
      <w:pPr>
        <w:adjustRightInd w:val="0"/>
        <w:snapToGrid w:val="0"/>
        <w:ind w:firstLine="274" w:firstLineChars="98"/>
        <w:jc w:val="both"/>
        <w:rPr>
          <w:rFonts w:hint="eastAsia" w:ascii="Times New Roman" w:hAnsi="Times New Roman" w:eastAsia="宋体" w:cs="Times New Roman"/>
          <w:color w:val="auto"/>
          <w:sz w:val="28"/>
          <w:highlight w:val="none"/>
        </w:rPr>
      </w:pPr>
    </w:p>
    <w:p>
      <w:pPr>
        <w:adjustRightInd w:val="0"/>
        <w:snapToGrid w:val="0"/>
        <w:ind w:firstLine="274" w:firstLineChars="98"/>
        <w:jc w:val="both"/>
        <w:rPr>
          <w:rFonts w:ascii="Times New Roman" w:hAnsi="Times New Roman" w:eastAsia="宋体" w:cs="Times New Roman"/>
          <w:color w:val="auto"/>
          <w:sz w:val="28"/>
          <w:highlight w:val="none"/>
        </w:rPr>
      </w:pPr>
    </w:p>
    <w:p>
      <w:pPr>
        <w:adjustRightInd w:val="0"/>
        <w:snapToGrid w:val="0"/>
        <w:ind w:firstLine="554" w:firstLineChars="197"/>
        <w:jc w:val="both"/>
        <w:rPr>
          <w:color w:val="auto"/>
          <w:highlight w:val="none"/>
        </w:rPr>
      </w:pPr>
      <w:r>
        <w:rPr>
          <w:rFonts w:hint="eastAsia" w:ascii="Times New Roman" w:hAnsi="Times New Roman" w:eastAsia="宋体" w:cs="Times New Roman"/>
          <w:b/>
          <w:color w:val="auto"/>
          <w:sz w:val="28"/>
          <w:highlight w:val="none"/>
        </w:rPr>
        <w:t>中国•上海                       2025年4月25日</w:t>
      </w:r>
    </w:p>
    <w:p>
      <w:pPr>
        <w:pStyle w:val="41"/>
        <w:rPr>
          <w:color w:val="auto"/>
          <w:highlight w:val="none"/>
        </w:rPr>
      </w:pPr>
    </w:p>
    <w:p>
      <w:pPr>
        <w:pStyle w:val="41"/>
        <w:rPr>
          <w:color w:val="auto"/>
          <w:highlight w:val="none"/>
        </w:rPr>
        <w:sectPr>
          <w:headerReference r:id="rId13" w:type="first"/>
          <w:footerReference r:id="rId16" w:type="first"/>
          <w:headerReference r:id="rId11" w:type="default"/>
          <w:footerReference r:id="rId14" w:type="default"/>
          <w:headerReference r:id="rId12" w:type="even"/>
          <w:footerReference r:id="rId15" w:type="even"/>
          <w:pgSz w:w="11907" w:h="16839"/>
          <w:pgMar w:top="2268" w:right="1440" w:bottom="1797" w:left="1440" w:header="680" w:footer="992" w:gutter="0"/>
          <w:pgNumType w:start="25"/>
          <w:cols w:space="425" w:num="1"/>
          <w:docGrid w:linePitch="398" w:charSpace="0"/>
        </w:sectPr>
      </w:pPr>
    </w:p>
    <w:p>
      <w:pPr>
        <w:adjustRightInd w:val="0"/>
        <w:snapToGrid w:val="0"/>
        <w:spacing w:line="200" w:lineRule="atLeast"/>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utoSpaceDE w:val="0"/>
        <w:autoSpaceDN w:val="0"/>
        <w:adjustRightInd w:val="0"/>
        <w:snapToGrid w:val="0"/>
        <w:spacing w:line="200" w:lineRule="atLeast"/>
        <w:jc w:val="center"/>
        <w:textAlignment w:val="bottom"/>
        <w:outlineLvl w:val="0"/>
        <w:rPr>
          <w:rFonts w:ascii="Times New Roman" w:hAnsi="Times New Roman" w:cs="Times New Roman"/>
          <w:b/>
          <w:bCs/>
          <w:snapToGrid w:val="0"/>
          <w:color w:val="auto"/>
          <w:sz w:val="18"/>
          <w:szCs w:val="18"/>
          <w:highlight w:val="none"/>
        </w:rPr>
      </w:pPr>
      <w:r>
        <w:rPr>
          <w:rFonts w:hint="eastAsia" w:ascii="Times New Roman" w:hAnsi="Times New Roman" w:cs="Times New Roman"/>
          <w:b/>
          <w:bCs/>
          <w:snapToGrid w:val="0"/>
          <w:color w:val="auto"/>
          <w:sz w:val="18"/>
          <w:szCs w:val="18"/>
          <w:highlight w:val="none"/>
        </w:rPr>
        <w:t>合并</w:t>
      </w:r>
      <w:r>
        <w:rPr>
          <w:rFonts w:ascii="Times New Roman" w:hAnsi="Times New Roman" w:cs="Times New Roman"/>
          <w:b/>
          <w:bCs/>
          <w:snapToGrid w:val="0"/>
          <w:color w:val="auto"/>
          <w:sz w:val="18"/>
          <w:szCs w:val="18"/>
          <w:highlight w:val="none"/>
        </w:rPr>
        <w:t>资产负债表</w:t>
      </w:r>
    </w:p>
    <w:p>
      <w:pPr>
        <w:autoSpaceDE w:val="0"/>
        <w:autoSpaceDN w:val="0"/>
        <w:adjustRightInd w:val="0"/>
        <w:snapToGrid w:val="0"/>
        <w:spacing w:line="200" w:lineRule="atLeast"/>
        <w:jc w:val="center"/>
        <w:textAlignment w:val="bottom"/>
        <w:rPr>
          <w:rFonts w:ascii="Times New Roman" w:hAnsi="Times New Roman" w:cs="Times New Roman"/>
          <w:b/>
          <w:bCs/>
          <w:snapToGrid w:val="0"/>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p>
      <w:pPr>
        <w:adjustRightInd w:val="0"/>
        <w:snapToGrid w:val="0"/>
        <w:spacing w:after="120" w:afterLines="50" w:line="200" w:lineRule="atLeast"/>
        <w:jc w:val="center"/>
        <w:rPr>
          <w:rFonts w:ascii="Times New Roman" w:hAnsi="Times New Roman" w:cs="Times New Roman"/>
          <w:b/>
          <w:bCs/>
          <w:snapToGrid w:val="0"/>
          <w:color w:val="auto"/>
          <w:highlight w:val="none"/>
        </w:rPr>
      </w:pPr>
      <w:r>
        <w:rPr>
          <w:rFonts w:ascii="Times New Roman" w:hAnsi="Times New Roman" w:cs="Times New Roman"/>
          <w:b/>
          <w:bCs/>
          <w:snapToGrid w:val="0"/>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资合并!合并资产 \f 4 \h \* MERGEFORMAT </w:instrText>
      </w:r>
      <w:r>
        <w:rPr>
          <w:rFonts w:ascii="Times New Roman" w:hAnsi="Times New Roman" w:cs="Times New Roman"/>
          <w:color w:val="auto"/>
          <w:highlight w:val="none"/>
        </w:rPr>
        <w:fldChar w:fldCharType="separat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2"/>
        <w:gridCol w:w="1325"/>
        <w:gridCol w:w="166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08"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项目</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附注</w:t>
            </w:r>
          </w:p>
        </w:tc>
        <w:tc>
          <w:tcPr>
            <w:tcW w:w="1616"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期末余额</w:t>
            </w:r>
          </w:p>
        </w:tc>
        <w:tc>
          <w:tcPr>
            <w:tcW w:w="158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rPr>
                <w:rFonts w:ascii="Times New Roman" w:hAnsi="Times New Roman" w:cs="Times New Roman"/>
                <w:color w:val="auto"/>
                <w:sz w:val="15"/>
                <w:szCs w:val="15"/>
                <w:highlight w:val="none"/>
              </w:rPr>
            </w:pPr>
          </w:p>
        </w:tc>
        <w:tc>
          <w:tcPr>
            <w:tcW w:w="1589"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货币资金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1,470,659,019.30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1,068,115,348.52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△结算备付金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△拆出资金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交易性金融资产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☆以公允价值计量且其变动计入当期损益的金融资产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衍生金融资产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应收票据</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109,893,330.14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21,145,366.38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应收账款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5,726,917,640.19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4,851,082,613.23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应收款项融资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预付款项</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八、（四）</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446,267,579.46</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445,305,313.49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▲应收保费</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▲应收分保账款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▲应收分保合同准备金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应收资金集中管理款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其他应收款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八、（五）</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546,267,352.60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1,639,980,920.86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其中：应收股利</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41,552,068.64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18,616,005.38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△买入返售金融资产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存货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八、（六）</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1,247,630,630.33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1,513,748,065.72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其中：原材料</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1,055,925,299.55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1,162,795,733.53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库存商品（产成品）</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184,704,759.19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342,614,162.31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八、（七）</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12,478,726.78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140,752,360.47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△保险合同资产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△分出再保险合同资产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持有待售资产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一年内到期的非流动资产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八、（八）</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1,397,193,305.32</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1,314,808,052.33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流动资产合计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10,957,307,584.12</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10,994,938,041.00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rPr>
                <w:rFonts w:ascii="Times New Roman" w:hAnsi="Times New Roman" w:cs="Times New Roman"/>
                <w:color w:val="auto"/>
                <w:sz w:val="15"/>
                <w:szCs w:val="15"/>
                <w:highlight w:val="none"/>
              </w:rPr>
            </w:pPr>
          </w:p>
        </w:tc>
        <w:tc>
          <w:tcPr>
            <w:tcW w:w="1589"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△发放贷款和垫款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债权投资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八、（九）</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5,556,721,330.61</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☆可供出售金融资产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其他债权投资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3,095,369,600.92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☆持有至到期投资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长期应收款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225,530,898.20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369,532,715.84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长期股权投资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1,741,604,559.28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1,340,675,272.29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其他权益工具投资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904,190,344.55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879,986,019.15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投资性房地产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八、（十四）</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974,998,444.58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999,945,225.79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八、（十五）</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43,967,409,151.61</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41,582,044,069.31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其中：固定资产原价</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74,170,678,792.53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70,923,243,008.86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累计折旧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24,043,476,870.14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23,078,823,003.43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固定资产减值准备</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6,167,045,598.35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6,263,634,511.97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在建工程</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八、（十六）</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4,572,870,572.56</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5,398,525,880.53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生产性生物资产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油气资产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使用权资产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八、（十七）</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3,072,290,227.09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2,660,534,678.98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无形资产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八、（十八）</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1,047,272,775.79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1,403,309,875.18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开发支出</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八、（十九）</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30,489,314.27</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56,496,993.61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商誉</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长期待摊费用</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84,674,858.49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918,236,210.59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递延所得税资产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9,126,510.55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47,907,208.08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848,388,889.45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956,732,919.96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其中：特准储备物资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非流动资产合计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63,035,567,877.03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59,709,296,670.23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资产总计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73,992,875,461.15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70,704,234,711.23</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highlight w:val="none"/>
        </w:rPr>
        <w:fldChar w:fldCharType="end"/>
      </w:r>
      <w:r>
        <w:rPr>
          <w:rFonts w:hint="eastAsia" w:ascii="Times New Roman" w:hAnsi="Times New Roman" w:cs="Times New Roman"/>
          <w:color w:val="auto"/>
          <w:sz w:val="18"/>
          <w:szCs w:val="18"/>
          <w:highlight w:val="none"/>
        </w:rPr>
        <w:t>注：带△科目为金融类企业专用；带▲科目为未执行新保险合同准则企业专用；带#科目为外商投资企业专用；带☆科目为未执行新金融工具准则企业专用。</w:t>
      </w:r>
    </w:p>
    <w:p>
      <w:pPr>
        <w:tabs>
          <w:tab w:val="left" w:pos="1440"/>
          <w:tab w:val="left" w:pos="1620"/>
          <w:tab w:val="left" w:pos="1800"/>
        </w:tabs>
        <w:adjustRightInd w:val="0"/>
        <w:snapToGrid w:val="0"/>
        <w:spacing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后附财务报表附注为财务报表的组成部分。</w:t>
      </w:r>
      <w:r>
        <w:rPr>
          <w:rFonts w:hint="eastAsia" w:ascii="Times New Roman" w:hAnsi="Times New Roman" w:cs="Times New Roman"/>
          <w:color w:val="auto"/>
          <w:sz w:val="18"/>
          <w:szCs w:val="18"/>
          <w:highlight w:val="none"/>
        </w:rPr>
        <w:t>下同。</w:t>
      </w:r>
    </w:p>
    <w:p>
      <w:pPr>
        <w:adjustRightInd w:val="0"/>
        <w:snapToGrid w:val="0"/>
        <w:spacing w:line="240" w:lineRule="atLeast"/>
        <w:rPr>
          <w:color w:val="auto"/>
          <w:highlight w:val="none"/>
        </w:rPr>
      </w:pPr>
      <w:r>
        <w:rPr>
          <w:rFonts w:ascii="Times New Roman" w:hAnsi="Times New Roman" w:cs="Times New Roman"/>
          <w:color w:val="auto"/>
          <w:sz w:val="18"/>
          <w:szCs w:val="18"/>
          <w:highlight w:val="none"/>
        </w:rPr>
        <w:t>企业法定代表人：             主管会计工作负责人：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资产负债表（续）</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color w:val="auto"/>
          <w:kern w:val="0"/>
          <w:sz w:val="20"/>
          <w:szCs w:val="20"/>
          <w:highlight w:val="none"/>
        </w:rPr>
      </w:pPr>
      <w:r>
        <w:rPr>
          <w:rFonts w:ascii="Times New Roman" w:hAnsi="Times New Roman" w:cs="Times New Roman"/>
          <w:b/>
          <w:color w:val="auto"/>
          <w:sz w:val="18"/>
          <w:szCs w:val="18"/>
          <w:highlight w:val="none"/>
        </w:rPr>
        <w:t>（除特别注明外，</w:t>
      </w:r>
      <w:r>
        <w:rPr>
          <w:rFonts w:ascii="Times New Roman" w:hAnsi="Times New Roman" w:cs="Times New Roman"/>
          <w:b/>
          <w:bCs/>
          <w:snapToGrid w:val="0"/>
          <w:color w:val="auto"/>
          <w:sz w:val="18"/>
          <w:szCs w:val="18"/>
          <w:highlight w:val="none"/>
        </w:rPr>
        <w:t>金额单位均为人民币元</w:t>
      </w:r>
      <w:r>
        <w:rPr>
          <w:rFonts w:ascii="Times New Roman" w:hAnsi="Times New Roman" w:cs="Times New Roman"/>
          <w:b/>
          <w:color w:val="auto"/>
          <w:sz w:val="18"/>
          <w:szCs w:val="18"/>
          <w:highlight w:val="non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资合并!合并负债及所有者权益 \f 4 \h \* MERGEFORMAT </w:instrText>
      </w:r>
      <w:r>
        <w:rPr>
          <w:rFonts w:ascii="Times New Roman" w:hAnsi="Times New Roman" w:cs="Times New Roman"/>
          <w:color w:val="auto"/>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1029"/>
        <w:gridCol w:w="180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64"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项目</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附注</w:t>
            </w:r>
          </w:p>
        </w:tc>
        <w:tc>
          <w:tcPr>
            <w:tcW w:w="1754"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期末余额</w:t>
            </w:r>
          </w:p>
        </w:tc>
        <w:tc>
          <w:tcPr>
            <w:tcW w:w="1583"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短期借款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8,301,400,836.00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11,106,638,741.87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△向中央银行借款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△拆入资金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交易性金融负债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☆以公允价值计量且其变动计入当期损益的金融负债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衍生金融负债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应付票据</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1,397,838,096.10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271,568,840.46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应付账款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八、（二十六）</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5,633,788,437.83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5,728,696,919.70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预收款项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八、（二十七）</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3,681,648.78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165,142,574.64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八、（二十八）</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180,332,803.24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45,491,138.68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△卖出回购金融资产款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△吸收存款及同业存放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△代理买卖证券款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△代理承销证券款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△预收保费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应付职工薪酬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八、（二十九）</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335,543,717.13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266,137,835.06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其中：应付工资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244,347,905.73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151,570,933.33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应付福利费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119,905.64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119,905.64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#其中：职工奖励及福利基金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应交税费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727,459,737.58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813,779,058.04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其中：应交税金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673,534,710.33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699,559,379.32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其他应付款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八、（三十一）</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2,742,853,219.94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2,297,435,956.83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其中：应付股利</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12,413,462.89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7,408,138.55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▲应付手续费及佣金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▲应付分保账款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持有待售负债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一年内到期的非流动负债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6,908,418,809.60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6,723,032,443.12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八、（三十三）</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流动负债合计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26,231,317,306.20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27,602,923,508.40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▲保险合同准备金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28,488,713,773.26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26,571,213,197.28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应付债券</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△分出再保险合同负债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租赁负债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1,340,983,020.14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1,397,839,124.32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八、（三十六）</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2,593,204,242.10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2,164,613,904.75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长期应付职工薪酬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八、（三十七）</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41,878,804.78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15,385,092.24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预计负债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八、（三十八）</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59,704,138.99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59,926,138.99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递延收益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八、（三十九）</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67,631,612.20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68,838,121.30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递延所得税负债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31,346,625.69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28,901,459.94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其中：特准储备基金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非流动负债合计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32,623,462,217.16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30,306,717,038.82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58,854,779,523.36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57,909,640,547.22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所有者权益（或股东权益）：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国家资本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国有法人资本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4,376,227,400.00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5,576,227,400.00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集体资本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民营资本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外商资本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#减：已归还投资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实收资本（或股本）净额</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其他权益工具</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八、（四十一）</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资本公积</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1,545,201,426.54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411,548,322.64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减：库存股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其他综合收益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325,925,220.87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301,720,895.47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其中：外币报表折算差额</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专项储备</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八、（四十三）</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13,388,111.97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26,288,187.65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盈余公积</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其中：法定公积金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任意公积金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#储备基金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#企业发展基金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#利润归还投资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△一般风险准备</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未分配利润</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-27,099,250,489.96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-25,806,459,189.66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归属于母公司所有者权益（或股东权益）合计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-736,770,819.87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-388,936,873.19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少数股东权益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15,874,866,757.66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13,183,531,037.20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所有者权益（或股东权益）合计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15,138,095,937.79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12,794,594,164.01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负债和所有者权益（或股东权益）总计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73,992,875,461.15</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70,704,234,711.23</w:t>
            </w:r>
          </w:p>
        </w:tc>
      </w:tr>
    </w:tbl>
    <w:p>
      <w:pPr>
        <w:tabs>
          <w:tab w:val="left" w:pos="1440"/>
          <w:tab w:val="left" w:pos="1620"/>
          <w:tab w:val="left" w:pos="1800"/>
        </w:tabs>
        <w:adjustRightInd w:val="0"/>
        <w:snapToGrid w:val="0"/>
        <w:spacing w:before="80" w:line="200" w:lineRule="atLeast"/>
        <w:rPr>
          <w:rFonts w:ascii="Times New Roman" w:hAnsi="Times New Roman" w:cs="Times New Roman"/>
          <w:color w:val="auto"/>
          <w:sz w:val="15"/>
          <w:szCs w:val="15"/>
          <w:highlight w:val="none"/>
        </w:rPr>
      </w:pPr>
      <w:r>
        <w:rPr>
          <w:rFonts w:ascii="Times New Roman" w:hAnsi="Times New Roman" w:cs="Times New Roman"/>
          <w:color w:val="auto"/>
          <w:highlight w:val="none"/>
        </w:rPr>
        <w:fldChar w:fldCharType="end"/>
      </w:r>
      <w:r>
        <w:rPr>
          <w:rFonts w:ascii="Times New Roman" w:hAnsi="Times New Roman" w:cs="Times New Roman"/>
          <w:color w:val="auto"/>
          <w:sz w:val="15"/>
          <w:szCs w:val="15"/>
          <w:highlight w:val="none"/>
        </w:rPr>
        <w:t>企业法定代表人：             主管会计工作负责人：             会计机构负责人：</w:t>
      </w:r>
      <w:r>
        <w:rPr>
          <w:rFonts w:ascii="Times New Roman" w:hAnsi="Times New Roman" w:cs="Times New Roman"/>
          <w:color w:val="auto"/>
          <w:sz w:val="15"/>
          <w:szCs w:val="15"/>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资产负债表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p>
      <w:pPr>
        <w:autoSpaceDE w:val="0"/>
        <w:autoSpaceDN w:val="0"/>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资!母公司资产 \f 4 \h \* MERGEFORMAT </w:instrText>
      </w:r>
      <w:r>
        <w:rPr>
          <w:rFonts w:ascii="Times New Roman" w:hAnsi="Times New Roman" w:cs="Times New Roman"/>
          <w:color w:val="auto"/>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1149"/>
        <w:gridCol w:w="181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3"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项目</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附注</w:t>
            </w:r>
          </w:p>
        </w:tc>
        <w:tc>
          <w:tcPr>
            <w:tcW w:w="1766"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期末余额</w:t>
            </w:r>
          </w:p>
        </w:tc>
        <w:tc>
          <w:tcPr>
            <w:tcW w:w="1595"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流动资产：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rPr>
                <w:rFonts w:ascii="Times New Roman" w:hAnsi="Times New Roman" w:cs="Times New Roman"/>
                <w:color w:val="auto"/>
                <w:sz w:val="15"/>
                <w:szCs w:val="15"/>
                <w:highlight w:val="none"/>
              </w:rPr>
            </w:pPr>
          </w:p>
        </w:tc>
        <w:tc>
          <w:tcPr>
            <w:tcW w:w="1595"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货币资金</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1,085,140,615.44</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296,288,871.43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△结算备付金</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△拆出资金</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交易性金融资产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☆以公允价值计量且其变动计入当期损益的金融资产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衍生金融资产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应收票据</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90,999,071.23</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2,636,404.08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应收账款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十二、（一）</w:t>
            </w: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103,122,241.74</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265,551,121.42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应收款项融资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预付款项</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67,314,259.40</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68,147,228.13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▲应收保费</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▲应收分保账款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▲应收分保合同准备金</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应收资金集中管理款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其他应收款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十二、（二）</w:t>
            </w: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636,947,290.38</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1,566,903,450.83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其中：应收股利</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391,895,361.70</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368,483,199.46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△买入返售金融资产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存货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1,067,080,123.05</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187,735,216.96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其中：原材料</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282,083,231.29</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187,472,257.58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库存商品（产成品）</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合同资产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△保险合同资产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△分出再保险合同资产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持有待售资产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一年内到期的非流动资产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其他流动资产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282,449,188.48</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212,471,344.74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流动资产合计</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3,333,052,789.72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2,599,733,637.59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非流动资产：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rPr>
                <w:rFonts w:ascii="Times New Roman" w:hAnsi="Times New Roman" w:cs="Times New Roman"/>
                <w:color w:val="auto"/>
                <w:sz w:val="15"/>
                <w:szCs w:val="15"/>
                <w:highlight w:val="none"/>
              </w:rPr>
            </w:pPr>
          </w:p>
        </w:tc>
        <w:tc>
          <w:tcPr>
            <w:tcW w:w="1595"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△发放贷款和垫款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债权投资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14,167,300,422.99</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☆可供出售金融资产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其他债权投资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14,446,212,447.29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☆持有至到期投资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长期应收款</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185,914,396.72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205,450,486.07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长期股权投资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十二、（三）</w:t>
            </w: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14,381,450,493.22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14,353,999,379.80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其他权益工具投资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864,838,793.90</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841,159,914.69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其他非流动金融资产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投资性房地产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14,961,300.00</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16,276,700.00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1,066,819,575.65</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1,049,865,016.55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其中：固定资产原价</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5,456,459,659.63</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5,362,413,256.98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累计折旧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3,774,351,578.96</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3,697,259,735.41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固定资产减值准备</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615,288,505.02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615,288,505.02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在建工程</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114,319,686.42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121,530,861.50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生产性生物资产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油气资产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使用权资产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842,078.76</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1,560,826.53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无形资产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57,798,424.22</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52,661,185.78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开发支出</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5,212,890.31</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30,104,319.00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商誉</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长期待摊费用</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递延所得税资产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246,376.73</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246,376.73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其他非流动资产</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166,083,953.05</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其中：特准储备物资</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非流动资产合计</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31,025,788,391.97</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31,119,067,513.94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资产总计</w:t>
            </w:r>
          </w:p>
        </w:tc>
        <w:tc>
          <w:tcPr>
            <w:tcW w:w="1119"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76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34,358,841,181.69</w:t>
            </w:r>
          </w:p>
        </w:tc>
        <w:tc>
          <w:tcPr>
            <w:tcW w:w="1595"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33,718,801,151.53</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highlight w:val="none"/>
        </w:rPr>
        <w:fldChar w:fldCharType="end"/>
      </w:r>
      <w:r>
        <w:rPr>
          <w:rFonts w:hint="eastAsia" w:ascii="Times New Roman" w:hAnsi="Times New Roman" w:cs="Times New Roman"/>
          <w:color w:val="auto"/>
          <w:sz w:val="18"/>
          <w:szCs w:val="18"/>
          <w:highlight w:val="none"/>
        </w:rPr>
        <w:t>企</w:t>
      </w:r>
      <w:r>
        <w:rPr>
          <w:rFonts w:ascii="Times New Roman" w:hAnsi="Times New Roman" w:cs="Times New Roman"/>
          <w:color w:val="auto"/>
          <w:sz w:val="18"/>
          <w:szCs w:val="18"/>
          <w:highlight w:val="none"/>
        </w:rPr>
        <w:t>业法定代表人：             主管会计工作负责人：             会计机构负责人</w:t>
      </w:r>
      <w:r>
        <w:rPr>
          <w:rFonts w:hint="eastAsia" w:ascii="Times New Roman" w:hAnsi="Times New Roman" w:cs="Times New Roman"/>
          <w:color w:val="auto"/>
          <w:sz w:val="18"/>
          <w:szCs w:val="18"/>
          <w:highlight w:val="none"/>
        </w:rPr>
        <w:t>：</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资产负债表（续）</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资!母公司负债及所有者权益 \f 4 \h \* MERGEFORMAT </w:instrText>
      </w:r>
      <w:r>
        <w:rPr>
          <w:rFonts w:ascii="Times New Roman" w:hAnsi="Times New Roman" w:cs="Times New Roman"/>
          <w:color w:val="auto"/>
          <w:sz w:val="18"/>
          <w:szCs w:val="18"/>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700"/>
        <w:gridCol w:w="180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85"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项目</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附注</w:t>
            </w:r>
          </w:p>
        </w:tc>
        <w:tc>
          <w:tcPr>
            <w:tcW w:w="1754"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期末余额</w:t>
            </w:r>
          </w:p>
        </w:tc>
        <w:tc>
          <w:tcPr>
            <w:tcW w:w="1583"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流动负债：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短期借款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5,845,787,461.12</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7,479,731,469.27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△向中央银行借款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△拆入资金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交易性金融负债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☆以公允价值计量且其变动计入当期损益的金融负债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衍生金融负债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应付票据</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1,002,671,885.78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216,595,878.56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应付账款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680,221,074.80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315,718,791.60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预收款项</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合同负债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1,227,896.42</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1,568,203.63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△卖出回购金融资产款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△吸收存款及同业存放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△代理买卖证券款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△代理承销证券款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△预收保费</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应付职工薪酬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104,671,278.13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88,101,205.02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其中：应付工资</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71,480,599.00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71,480,600.00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应付福利费</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#其中：职工奖励及福利基金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应交税费</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190,090,977.46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192,131,976.85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其中：应交税金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189,489,121.41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191,350,728.89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其他应付款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8,893,464,677.60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11,784,920,471.39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其中：应付股利</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72,053.64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72,053.64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▲应付手续费及佣金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▲应付分保账款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持有待售负债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一年内到期的非流动负债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3,420,500,000.00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2,311,500,000.00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其他流动负债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流动负债合计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20,138,635,251.31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22,575,267,996.32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非流动负债：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▲保险合同准备金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长期借款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7,366,014,683.86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6,510,563,763.80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应付债券</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△分出再保险合同负债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租赁负债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5,000,033.89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6,810,219.52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长期应付款</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2,830,000,000.00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35,552,717.74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长期应付职工薪酬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7,011,483.39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预计负债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59,159,000.00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59,381,000.00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递延收益</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2,815,647.52</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1,481,481.53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递延所得税负债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其他非流动负债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其中：特准储备基金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85"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非流动负债合计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10,270,000,848.66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6,613,789,182.59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负债合计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30,408,636,099.97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29,189,057,178.91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所有者权益（或股东权益）：</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国家资本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国有法人资本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4,376,227,400.00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5,576,227,400.00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集体资本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民营资本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外商资本</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#减：已归还投资</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实收资本（或股本）净额</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其他权益工具</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资本公积</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1,230,602,379.97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249,283.58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减：库存股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其他综合收益</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328,832,262.19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305,153,382.98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其中：外币报表折算差额</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专项储备</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盈余公积</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371,156,099.04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371,156,099.04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其中：法定公积金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371,156,099.04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371,156,099.04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任意公积金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#储备基金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#企业发展基金</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#利润归还投资</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△一般风险准备</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未分配利润</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-21,991,361,059.48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-20,357,790,192.98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所有者权益（或股东权益）合计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3,950,205,081.72</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4,529,743,972.62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负债和所有者权益（或股东权益）总计</w:t>
            </w:r>
          </w:p>
        </w:tc>
        <w:tc>
          <w:tcPr>
            <w:tcW w:w="681"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34,358,841,181.69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33,718,801,151.53</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8"/>
          <w:szCs w:val="18"/>
          <w:highlight w:val="none"/>
        </w:rPr>
        <w:t>企业法定代表人：             主管会计工作负责人：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利润表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利合并!合并利润表 \f 4 \h \* MERGEFORMAT </w:instrText>
      </w:r>
      <w:r>
        <w:rPr>
          <w:rFonts w:ascii="Times New Roman" w:hAnsi="Times New Roman" w:cs="Times New Roman"/>
          <w:color w:val="auto"/>
          <w:sz w:val="18"/>
          <w:szCs w:val="18"/>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0"/>
        <w:gridCol w:w="987"/>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82"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项目</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附注</w:t>
            </w:r>
          </w:p>
        </w:tc>
        <w:tc>
          <w:tcPr>
            <w:tcW w:w="1680"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本期金额</w:t>
            </w:r>
          </w:p>
        </w:tc>
        <w:tc>
          <w:tcPr>
            <w:tcW w:w="1680"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一、营业总收入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16,321,005,879.66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17,221,240,926.74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其中：营业收入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16,321,005,879.66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17,221,240,926.74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△保险服务收入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▲已赚保费</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△手续费及佣金收入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二、营业总成本</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17,406,757,119.62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17,537,803,323.95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其中：营业成本</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14,784,571,562.56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14,514,214,513.67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△手续费及佣金支出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△保险服务费用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△分出保费的分摊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△减：摊回保险服务费用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△承保财务损失</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△减：分出再保险财务收益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▲退保金</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▲赔付支出净额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▲提取保险责任准备金净额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▲保单红利支出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▲分保费用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税金及附加</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212,115,930.00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210,238,598.31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销售费用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94,656,503.60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128,454,513.79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管理费用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650,624,212.18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703,880,076.46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研发费用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129,579,443.34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285,646,093.45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财务费用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1,535,209,467.94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1,695,369,528.27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其中：利息费用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1,555,891,589.30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1,661,311,374.51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66,264,900.15</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53,867,012.53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汇兑净损失（净收益以“-”号填列）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加：其他收益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八、（四十八）</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86,415,816.01</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246,081,713.17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投资收益（损失以“-”号填列）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八、（四十九）</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1,813,604,233.62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657,804,783.43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其中：对联营企业和合营企业的投资收益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44,407,853.19</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151,635,581.26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以摊余成本计量的金融资产终止确认收益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△汇兑收益（损失以“-”号填列）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净敞口套期收益（损失以“-”号填列）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公允价值变动收益（损失以“-”号填列）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-24,724,161.36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-16,471,236.91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信用减值损失（损失以“-”号填列）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八、（五十一）</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-12,183,109.32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1,163,625,490.25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资产减值损失（损失以“-”号填列）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八、（五十二）</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-502,902,323.36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-3,498,021,961.79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资产处置收益（损失以“-”号填列）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八、（五十三）</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130,879,954.49</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161,133,607.26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三、营业利润（亏损以“-”号填列）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405,339,170.12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-1,602,410,001.80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加：营业外收入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八、（五十四）</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55,977,443.16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24,054,067.13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其中：政府补助</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325,473.00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减：营业外支出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八、（五十五）</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251,642,589.40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140,086,772.31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四、利润总额（亏损总额以“-”号填列）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209,674,023.88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-1,718,442,706.98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减：所得税费用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139,575,045.74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176,257,241.84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五、净利润（净亏损以“-”号填列）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70,098,978.14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-1,894,699,948.82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（一）按所有权归属分类：</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-543,673,983.84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-2,591,168,934.88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少数股东损益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613,772,961.98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696,468,986.06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（二）按经营持续性分类：</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持续经营净利润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70,098,978.14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-1,894,699,948.82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终止经营净利润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六、其他综合收益的税后净额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（一）不能重分类进损益的其他综合收益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1．重新计量设定受益计划变动额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2．权益法下不能转损益的其他综合收益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3．其他权益工具投资公允价值变动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4．企业自身信用风险公允价值变动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△5．不能转损益的保险合同金融变动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6．其他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（二）将重分类进损益的其他综合收益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1．权益法下可转损益的其他综合收益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2．其他债权投资公允价值变动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☆3．可供出售金融资产公允价值变动损益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4．金融资产重分类计入其他综合收益的金额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☆5．持有至到期投资重分类为可供出售金融资产损益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6．其他债权投资信用减值准备</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7．现金流量套期储备（现金流量套期损益的有效部分）</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8．外币财务报表折算差额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△9．可转损益的保险合同金融变动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△10．可转损益的分出再保险合同金融变动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11．其他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归属于少数股东的其他综合收益的税后净额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七、综合收益总额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94,303,303.54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-1,853,850,013.14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-519,469,658.44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-2,550,318,999.20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归属于少数股东的综合收益总额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613,772,961.98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696,468,986.06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八、每股收益：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基本每股收益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稀释每股收益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5"/>
          <w:szCs w:val="18"/>
          <w:highlight w:val="none"/>
        </w:rPr>
        <w:t xml:space="preserve">企业法定代表人：            </w:t>
      </w:r>
      <w:r>
        <w:rPr>
          <w:rFonts w:hint="eastAsia" w:ascii="Times New Roman" w:hAnsi="Times New Roman" w:cs="Times New Roman"/>
          <w:color w:val="auto"/>
          <w:sz w:val="15"/>
          <w:szCs w:val="18"/>
          <w:highlight w:val="none"/>
        </w:rPr>
        <w:t xml:space="preserve">         </w:t>
      </w:r>
      <w:r>
        <w:rPr>
          <w:rFonts w:ascii="Times New Roman" w:hAnsi="Times New Roman" w:cs="Times New Roman"/>
          <w:color w:val="auto"/>
          <w:sz w:val="15"/>
          <w:szCs w:val="18"/>
          <w:highlight w:val="none"/>
        </w:rPr>
        <w:t xml:space="preserve"> 主管会计工作负责人：     </w:t>
      </w:r>
      <w:r>
        <w:rPr>
          <w:rFonts w:hint="eastAsia" w:ascii="Times New Roman" w:hAnsi="Times New Roman" w:cs="Times New Roman"/>
          <w:color w:val="auto"/>
          <w:sz w:val="15"/>
          <w:szCs w:val="18"/>
          <w:highlight w:val="none"/>
        </w:rPr>
        <w:t xml:space="preserve">        </w:t>
      </w:r>
      <w:r>
        <w:rPr>
          <w:rFonts w:ascii="Times New Roman" w:hAnsi="Times New Roman" w:cs="Times New Roman"/>
          <w:color w:val="auto"/>
          <w:sz w:val="15"/>
          <w:szCs w:val="18"/>
          <w:highlight w:val="none"/>
        </w:rPr>
        <w:t xml:space="preserve">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利润表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color w:val="auto"/>
          <w:kern w:val="0"/>
          <w:sz w:val="20"/>
          <w:szCs w:val="20"/>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利!母公司利润表 \f 4 \h \* MERGEFORMAT </w:instrText>
      </w:r>
      <w:r>
        <w:rPr>
          <w:rFonts w:ascii="Times New Roman" w:hAnsi="Times New Roman" w:cs="Times New Roman"/>
          <w:color w:val="auto"/>
          <w:sz w:val="18"/>
          <w:szCs w:val="18"/>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998"/>
        <w:gridCol w:w="170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64"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项目</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附注</w:t>
            </w:r>
          </w:p>
        </w:tc>
        <w:tc>
          <w:tcPr>
            <w:tcW w:w="1657"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本期金额</w:t>
            </w:r>
          </w:p>
        </w:tc>
        <w:tc>
          <w:tcPr>
            <w:tcW w:w="1710"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一、营业总收入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2,163,229,295.65</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2,138,114,873.20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其中：营业收入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十二、（四）</w:t>
            </w: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2,163,229,295.65</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2,138,114,873.20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△利息收入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△保险服务收入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▲已赚保费</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△手续费及佣金收入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二、营业总成本</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2,628,024,591.99</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2,760,095,871.49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其中：营业成本</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十二、（四）</w:t>
            </w: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2,015,568,008.61</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1,888,406,954.69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△利息支出</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△手续费及佣金支出</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△保险服务费用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△分出保费的分摊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△减：摊回保险服务费用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△承保财务损失</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△减：分出再保险财务收益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▲退保金</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▲赔付支出净额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▲提取保险责任准备金净额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▲保单红利支出</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▲分保费用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税金及附加</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23,151,913.58</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17,938,448.84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销售费用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管理费用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90,309,371.56</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167,252,050.66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研发费用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42,316,239.42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财务费用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498,995,298.24</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644,182,177.88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其中：利息费用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659,909,414.43</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927,620,049.60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利息收入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310,102,963.65</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311,007,161.30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汇兑净损失（净收益以“-”号填列）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其他</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加：其他收益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5,549,121.56</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4,976,536.38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投资收益（损失以“-”号填列）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十二、（五）</w:t>
            </w: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-45,730,793.60</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383,780,918.42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其中：对联营企业和合营企业的投资收益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8,127,195.20</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12,349,147.59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以摊余成本计量的金融资产终止确认收益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△汇兑收益（损失以“-”号填列）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净敞口套期收益（损失以“-”号填列）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公允价值变动收益（损失以“-”号填列）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-1,315,400.00</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-1,197,445.00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信用减值损失（损失以“-”号填列）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1,500,000.00</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287,736,112.41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资产减值损失（损失以“-”号填列）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-3,337,613,581.40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资产处置收益（损失以“-”号填列）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2,144.29</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9,636,566.27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三、营业利润（亏损以“-”号填列）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-504,790,224.09</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-3,274,661,891.21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加：营业外收入</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793,236.78</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1,431,362.22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其中：政府补助</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减：营业外支出</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69,628,110.76</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16,486,130.45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四、利润总额（亏损总额以“-”号填列）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-573,625,098.07</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-3,289,716,659.44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减：所得税费用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-298,640.61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五、净利润（净亏损以“-”号填列）</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-573,625,098.07</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-3,289,418,018.83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（一）持续经营净利润</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-573,625,098.07</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-3,289,418,018.83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（二）终止经营净利润</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六、其他综合收益的税后净额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23,678,879.21</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40,668,123.50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（一）不能重分类进损益的其他综合收益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23,678,879.21</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40,668,123.50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1．重新计量设定受益计划变动额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2．权益法下不能转损益的其他综合收益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3．其他权益工具投资公允价值变动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23,678,879.21</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40,668,123.50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4．企业自身信用风险公允价值变动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△5．不能转损益的保险合同金融变动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6．其他</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（二）将重分类进损益的其他综合收益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1．权益法下可转损益的其他综合收益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2．其他债权投资公允价值变动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☆3．可供出售金融资产公允价值变动损益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4．金融资产重分类计入其他综合收益的金额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☆5．持有至到期投资重分类为可供出售金融资产损益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6．其他债权投资信用减值准备</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7．现金流量套期储备（现金流量套期损益的有效部分）</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8．外币财务报表折算差额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△9．可转损益的保险合同金融变动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△10．可转损益的分出再保险合同金融变动</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11．其他</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七、综合收益总额</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-549,946,218.86</w:t>
            </w: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-3,248,749,895.33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3"/>
                <w:szCs w:val="13"/>
                <w:highlight w:val="none"/>
              </w:rPr>
            </w:pPr>
            <w:r>
              <w:rPr>
                <w:rFonts w:ascii="Times New Roman" w:hAnsi="Times New Roman" w:cs="Times New Roman"/>
                <w:b/>
                <w:color w:val="auto"/>
                <w:sz w:val="13"/>
                <w:szCs w:val="13"/>
                <w:highlight w:val="none"/>
              </w:rPr>
              <w:t>八、每股收益：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基本每股收益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3"/>
                <w:szCs w:val="13"/>
                <w:highlight w:val="none"/>
              </w:rPr>
            </w:pPr>
            <w:r>
              <w:rPr>
                <w:rFonts w:ascii="Times New Roman" w:hAnsi="Times New Roman" w:cs="Times New Roman"/>
                <w:color w:val="auto"/>
                <w:sz w:val="13"/>
                <w:szCs w:val="13"/>
                <w:highlight w:val="none"/>
              </w:rPr>
              <w:t xml:space="preserve">    稀释每股收益</w:t>
            </w:r>
          </w:p>
        </w:tc>
        <w:tc>
          <w:tcPr>
            <w:tcW w:w="972" w:type="dxa"/>
            <w:vAlign w:val="center"/>
          </w:tcPr>
          <w:p>
            <w:pPr>
              <w:snapToGrid w:val="0"/>
              <w:spacing w:line="160" w:lineRule="atLeast"/>
              <w:jc w:val="center"/>
              <w:rPr>
                <w:rFonts w:ascii="Times New Roman" w:hAnsi="Times New Roman" w:cs="Times New Roman"/>
                <w:color w:val="auto"/>
                <w:sz w:val="13"/>
                <w:szCs w:val="13"/>
                <w:highlight w:val="none"/>
              </w:rPr>
            </w:pPr>
          </w:p>
        </w:tc>
        <w:tc>
          <w:tcPr>
            <w:tcW w:w="1657" w:type="dxa"/>
            <w:vAlign w:val="center"/>
          </w:tcPr>
          <w:p>
            <w:pPr>
              <w:snapToGrid w:val="0"/>
              <w:spacing w:line="160" w:lineRule="atLeast"/>
              <w:jc w:val="right"/>
              <w:rPr>
                <w:rFonts w:ascii="Times New Roman" w:hAnsi="Times New Roman" w:cs="Times New Roman"/>
                <w:color w:val="auto"/>
                <w:sz w:val="13"/>
                <w:szCs w:val="13"/>
                <w:highlight w:val="none"/>
              </w:rPr>
            </w:pPr>
          </w:p>
        </w:tc>
        <w:tc>
          <w:tcPr>
            <w:tcW w:w="1710" w:type="dxa"/>
            <w:vAlign w:val="center"/>
          </w:tcPr>
          <w:p>
            <w:pPr>
              <w:snapToGrid w:val="0"/>
              <w:spacing w:line="160" w:lineRule="atLeast"/>
              <w:jc w:val="right"/>
              <w:rPr>
                <w:rFonts w:ascii="Times New Roman" w:hAnsi="Times New Roman" w:cs="Times New Roman"/>
                <w:color w:val="auto"/>
                <w:sz w:val="13"/>
                <w:szCs w:val="13"/>
                <w:highlight w:val="none"/>
              </w:rPr>
            </w:pP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8"/>
          <w:szCs w:val="18"/>
          <w:highlight w:val="none"/>
        </w:rPr>
        <w:t>企业法定代表人：             主管会计工作负责人：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现金流量表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现合并!合并现金流量表 \f 4 \h \* MERGEFORMAT </w:instrText>
      </w:r>
      <w:r>
        <w:rPr>
          <w:rFonts w:ascii="Times New Roman" w:hAnsi="Times New Roman" w:cs="Times New Roman"/>
          <w:color w:val="auto"/>
          <w:sz w:val="18"/>
          <w:szCs w:val="18"/>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0"/>
        <w:gridCol w:w="714"/>
        <w:gridCol w:w="170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5" w:type="dxa"/>
            <w:vAlign w:val="center"/>
          </w:tcPr>
          <w:p>
            <w:pPr>
              <w:snapToGrid w:val="0"/>
              <w:spacing w:line="16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项目</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附注</w:t>
            </w:r>
          </w:p>
        </w:tc>
        <w:tc>
          <w:tcPr>
            <w:tcW w:w="1659" w:type="dxa"/>
            <w:vAlign w:val="center"/>
          </w:tcPr>
          <w:p>
            <w:pPr>
              <w:snapToGrid w:val="0"/>
              <w:spacing w:line="16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本期金额</w:t>
            </w:r>
          </w:p>
        </w:tc>
        <w:tc>
          <w:tcPr>
            <w:tcW w:w="1714" w:type="dxa"/>
            <w:vAlign w:val="center"/>
          </w:tcPr>
          <w:p>
            <w:pPr>
              <w:snapToGrid w:val="0"/>
              <w:spacing w:line="16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一、经营活动产生的现金流量：</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714" w:type="dxa"/>
            <w:vAlign w:val="center"/>
          </w:tcPr>
          <w:p>
            <w:pPr>
              <w:snapToGrid w:val="0"/>
              <w:spacing w:line="160" w:lineRule="atLeast"/>
              <w:jc w:val="center"/>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销售商品、提供劳务收到的现金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21,993,522,858.53</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22,437,550,496.99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△客户存款和同业存放款项净增加额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△向中央银行借款净增加额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△向其他金融机构拆入资金净增加额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△收到签发保险合同保费取得的现金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△收到分入再保险合同的现金净额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▲收到原保险合同保费取得的现金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▲收到再保业务现金净额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▲保户储金及投资款净增加额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△处置以公允价值计量且其变动计入当期损益的金融资产净增加额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△收取利息、手续费及佣金的现金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△拆入资金净增加额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△回购业务资金净增加额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△代理买卖证券收到的现金净额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收到的税费返还</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48,305,278.02</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90,691,832.60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收到其他与经营活动有关的现金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517,116,452.99</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618,898,285.65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经营活动现金流入小计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22,558,944,589.54</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23,147,140,615.24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购买商品、接受劳务支付的现金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13,649,598,521.16</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15,900,965,016.27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△客户贷款及垫款净增加额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△存放中央银行和同业款项净增加额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△支付签发保险合同赔款的现金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△支付分出再保险合同的现金净额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△保单质押贷款净增加额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▲支付原保险合同赔付款项的现金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△拆出资金净增加额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△支付利息、手续费及佣金的现金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▲支付保单红利的现金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支付给职工及为职工支付的现金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2,461,928,361.21</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2,573,249,777.25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支付的各项税费</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1,083,150,818.68</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1,005,534,273.94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支付其他与经营活动有关的现金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173,482,185.97</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144,005,993.30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经营活动现金流出小计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17,368,159,887.02</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19,623,755,060.76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经营活动产生的现金流量净额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5,190,784,702.52</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3,523,385,554.48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二、投资活动产生的现金流量：</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收回投资收到的现金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取得投资收益收到的现金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149,654,266.88</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136,551,809.90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处置固定资产、无形资产和其他长期资产收回的现金净额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11,394.65</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411,833,518.47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处置子公司及其他营业单位收到的现金净额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730,002,376.96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收到其他与投资活动有关的现金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18,150,881.90</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投资活动现金流入小计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167,816,543.43</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1,278,387,705.33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购建固定资产、无形资产和其他长期资产支付的现金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5,574,434,426.22</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6,142,734,947.35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投资支付的现金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163,096,300.00</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728,799,067.07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▲质押贷款净增加额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取得子公司及其他营业单位支付的现金净额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506,556,523.44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支付其他与投资活动有关的现金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17,839,580.24</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918,921,000.00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投资活动现金流出小计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5,755,370,306.46</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8,297,011,537.86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投资活动产生的现金流量净额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-5,587,553,763.03</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-7,018,623,832.53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三、筹资活动产生的现金流量：</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吸收投资收到的现金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7,243,420,000.00</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70,090,000.00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其中：子公司吸收少数股东投资收到的现金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80,420,000.00</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70,090,000.00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取得借款收到的现金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34,838,090,408.17</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31,062,817,061.43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收到其他与筹资活动有关的现金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2,025,232,870.19</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8,971,089,520.00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筹资活动现金流入小计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44,106,743,278.36</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40,103,996,581.43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偿还债务支付的现金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35,476,665,348.51</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31,332,160,639.03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分配股利、利润或偿付利息支付的现金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2,204,020,727.62</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1,746,587,214.62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其中：子公司支付给少数股东的股利、利润</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247,040,694.23</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16,197,534.25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支付其他与筹资活动有关的现金</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5,512,378,207.94</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5,979,250,196.89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筹资活动现金流出小计</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43,193,064,284.07</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39,057,998,050.54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筹资活动产生的现金流量净额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913,678,994.29</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1,045,998,530.89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四、汇率变动对现金及现金等价物的影响</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五、现金及现金等价物净增加额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516,909,933.78</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-2,449,239,747.16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加：期初现金及现金等价物余额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895,717,263.20</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3,344,957,010.36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5" w:type="dxa"/>
            <w:vAlign w:val="center"/>
          </w:tcPr>
          <w:p>
            <w:pPr>
              <w:snapToGrid w:val="0"/>
              <w:spacing w:line="16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六、期末现金及现金等价物余额</w:t>
            </w:r>
          </w:p>
        </w:tc>
        <w:tc>
          <w:tcPr>
            <w:tcW w:w="695" w:type="dxa"/>
            <w:vAlign w:val="center"/>
          </w:tcPr>
          <w:p>
            <w:pPr>
              <w:snapToGrid w:val="0"/>
              <w:spacing w:line="160" w:lineRule="atLeast"/>
              <w:jc w:val="center"/>
              <w:rPr>
                <w:rFonts w:ascii="Times New Roman" w:hAnsi="Times New Roman" w:cs="Times New Roman"/>
                <w:color w:val="auto"/>
                <w:sz w:val="15"/>
                <w:szCs w:val="15"/>
                <w:highlight w:val="none"/>
              </w:rPr>
            </w:pPr>
          </w:p>
        </w:tc>
        <w:tc>
          <w:tcPr>
            <w:tcW w:w="1659"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1,412,627,196.98</w:t>
            </w:r>
          </w:p>
        </w:tc>
        <w:tc>
          <w:tcPr>
            <w:tcW w:w="1714" w:type="dxa"/>
            <w:vAlign w:val="center"/>
          </w:tcPr>
          <w:p>
            <w:pPr>
              <w:snapToGrid w:val="0"/>
              <w:spacing w:line="16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895,717,263.20</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8"/>
          <w:szCs w:val="18"/>
          <w:highlight w:val="none"/>
        </w:rPr>
        <w:t>企业法定代表人：             主管会计工作负责人：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现金流量表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现!母公司现金流量表 \f 4 \h \* MERGEFORMAT </w:instrText>
      </w:r>
      <w:r>
        <w:rPr>
          <w:rFonts w:ascii="Times New Roman" w:hAnsi="Times New Roman" w:cs="Times New Roman"/>
          <w:color w:val="auto"/>
          <w:sz w:val="18"/>
          <w:szCs w:val="18"/>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858"/>
        <w:gridCol w:w="170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096"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项目</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附注</w:t>
            </w:r>
          </w:p>
        </w:tc>
        <w:tc>
          <w:tcPr>
            <w:tcW w:w="1658"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本期金额</w:t>
            </w:r>
          </w:p>
        </w:tc>
        <w:tc>
          <w:tcPr>
            <w:tcW w:w="1714"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一、经营活动产生的现金流量：</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rPr>
                <w:rFonts w:ascii="Times New Roman" w:hAnsi="Times New Roman" w:cs="Times New Roman"/>
                <w:color w:val="auto"/>
                <w:sz w:val="15"/>
                <w:szCs w:val="15"/>
                <w:highlight w:val="none"/>
              </w:rPr>
            </w:pPr>
          </w:p>
        </w:tc>
        <w:tc>
          <w:tcPr>
            <w:tcW w:w="1714"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销售商品、提供劳务收到的现金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3,241,386,742.57</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3,383,778,767.92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△客户存款和同业存放款项净增加额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△向中央银行借款净增加额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△向其他金融机构拆入资金净增加额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△收到签发保险合同保费取得的现金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△收到分入再保险合同的现金净额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▲收到原保险合同保费取得的现金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▲收到再保业务现金净额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▲保户储金及投资款净增加额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△处置以公允价值计量且其变动计入当期损益的金融资产净增加额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△收取利息、手续费及佣金的现金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△拆入资金净增加额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△回购业务资金净增加额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△代理买卖证券收到的现金净额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收到的税费返还</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13,888.88</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收到其他与经营活动有关的现金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5,450,809,699.45</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9,124,643,275.11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经营活动现金流入小计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8,692,210,330.90</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12,508,422,043.03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购买商品、接受劳务支付的现金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1,658,253,476.62</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1,371,970,680.67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△客户贷款及垫款净增加额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△存放中央银行和同业款项净增加额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△支付签发保险合同赔款的现金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△支付分出再保险合同的现金净额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△保单质押贷款净增加额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▲支付原保险合同赔付款项的现金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△拆出资金净增加额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△支付利息、手续费及佣金的现金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▲支付保单红利的现金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支付给职工及为职工支付的现金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366,116,657.52</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313,404,481.60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支付的各项税费</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74,062,968.71</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83,287,661.51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支付其他与经营活动有关的现金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6,145,318,878.72</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3,077,171,120.34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经营活动现金流出小计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8,243,751,981.57</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4,845,833,944.12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经营活动产生的现金流量净额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448,458,349.33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7,662,588,098.91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二、投资活动产生的现金流量：</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rPr>
                <w:rFonts w:ascii="Times New Roman" w:hAnsi="Times New Roman" w:cs="Times New Roman"/>
                <w:color w:val="auto"/>
                <w:sz w:val="15"/>
                <w:szCs w:val="15"/>
                <w:highlight w:val="none"/>
              </w:rPr>
            </w:pPr>
          </w:p>
        </w:tc>
        <w:tc>
          <w:tcPr>
            <w:tcW w:w="1714"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收回投资收到的现金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2,372,701,231.97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取得投资收益收到的现金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240,417,778.03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347,004,414.62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处置固定资产、无形资产和其他长期资产收回的现金净额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2,144.29</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214,655,574.66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处置子公司及其他营业单位收到的现金净额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收到其他与投资活动有关的现金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4,241,400,385.65</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2,828,951,767.39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投资活动现金流入小计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4,481,820,307.97</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5,763,312,988.64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购建固定资产、无形资产和其他长期资产支付的现金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68,734,609.66</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97,298,218.09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投资支付的现金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161,596,300.00</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6,641,213,048.47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▲质押贷款净增加额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取得子公司及其他营业单位支付的现金净额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支付其他与投资活动有关的现金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3,580,910,600.00</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3,374,080,471.40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投资活动现金流出小计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3,811,241,509.66</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10,112,591,737.96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投资活动产生的现金流量净额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670,578,798.31</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-4,349,278,749.32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三、筹资活动产生的现金流量：</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rPr>
                <w:rFonts w:ascii="Times New Roman" w:hAnsi="Times New Roman" w:cs="Times New Roman"/>
                <w:color w:val="auto"/>
                <w:sz w:val="15"/>
                <w:szCs w:val="15"/>
                <w:highlight w:val="none"/>
              </w:rPr>
            </w:pPr>
          </w:p>
        </w:tc>
        <w:tc>
          <w:tcPr>
            <w:tcW w:w="1714"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吸收投资收到的现金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4,000,000,000.00</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6,605,510,000.00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取得借款收到的现金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27,077,456,783.37</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13,306,003,091.98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收到其他与筹资活动有关的现金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22,004,709,385.62</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24,243,550,431.51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筹资活动现金流入小计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53,082,166,168.99</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44,155,063,523.49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偿还债务支付的现金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28,896,735,539.43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21,916,841,419.38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分配股利、利润或偿付利息支付的现金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1,764,480,368.93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1,527,032,465.99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支付其他与筹资活动有关的现金</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22,657,790,904.96</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24,235,246,238.35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筹资活动现金流出小计</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53,319,006,813.32</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47,679,120,123.72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筹资活动产生的现金流量净额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-236,840,644.33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-3,524,056,600.23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四、汇率变动对现金及现金等价物的影响</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五、现金及现金等价物净增加额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882,196,503.31</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-210,747,250.64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加：期初现金及现金等价物余额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202,944,112.13</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413,691,362.77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六、期末现金及现金等价物余额</w:t>
            </w:r>
          </w:p>
        </w:tc>
        <w:tc>
          <w:tcPr>
            <w:tcW w:w="835"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58"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1,085,140,615.44</w:t>
            </w:r>
          </w:p>
        </w:tc>
        <w:tc>
          <w:tcPr>
            <w:tcW w:w="1714"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202,944,112.13</w:t>
            </w:r>
          </w:p>
        </w:tc>
      </w:tr>
    </w:tbl>
    <w:p>
      <w:pPr>
        <w:tabs>
          <w:tab w:val="left" w:pos="1440"/>
          <w:tab w:val="left" w:pos="1620"/>
          <w:tab w:val="left" w:pos="1800"/>
        </w:tabs>
        <w:adjustRightInd w:val="0"/>
        <w:snapToGrid w:val="0"/>
        <w:spacing w:before="80" w:line="240" w:lineRule="atLeast"/>
        <w:rPr>
          <w:color w:val="auto"/>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8"/>
          <w:szCs w:val="18"/>
          <w:highlight w:val="none"/>
        </w:rPr>
        <w:t>企业法定代表人：             主管会计工作负责人：             会计机构负责人：</w:t>
      </w:r>
      <w:r>
        <w:rPr>
          <w:color w:val="auto"/>
          <w:highlight w:val="none"/>
        </w:rPr>
        <w:t xml:space="preserve"> </w:t>
      </w:r>
    </w:p>
    <w:p>
      <w:pPr>
        <w:pStyle w:val="41"/>
        <w:rPr>
          <w:rFonts w:eastAsiaTheme="minorEastAsia"/>
          <w:color w:val="auto"/>
          <w:highlight w:val="none"/>
        </w:rPr>
        <w:sectPr>
          <w:headerReference r:id="rId17" w:type="default"/>
          <w:footerReference r:id="rId18" w:type="default"/>
          <w:pgSz w:w="11907" w:h="16839"/>
          <w:pgMar w:top="964" w:right="1797" w:bottom="964" w:left="1797" w:header="567" w:footer="567" w:gutter="0"/>
          <w:pgNumType w:start="1"/>
          <w:cols w:space="425" w:num="1"/>
          <w:docGrid w:linePitch="398" w:charSpace="0"/>
        </w:sectPr>
      </w:pP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所有者权益变动表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color w:val="auto"/>
          <w:kern w:val="0"/>
          <w:sz w:val="20"/>
          <w:szCs w:val="20"/>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所合并!合并所有者权益变动表本年 \f 4 \h \* MERGEFORMAT </w:instrText>
      </w:r>
      <w:r>
        <w:rPr>
          <w:rFonts w:ascii="Times New Roman" w:hAnsi="Times New Roman" w:cs="Times New Roman"/>
          <w:color w:val="auto"/>
          <w:highlight w:val="none"/>
        </w:rPr>
        <w:fldChar w:fldCharType="separat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979"/>
        <w:gridCol w:w="564"/>
        <w:gridCol w:w="981"/>
        <w:gridCol w:w="517"/>
        <w:gridCol w:w="930"/>
        <w:gridCol w:w="834"/>
        <w:gridCol w:w="864"/>
        <w:gridCol w:w="1007"/>
        <w:gridCol w:w="863"/>
        <w:gridCol w:w="1008"/>
        <w:gridCol w:w="1254"/>
        <w:gridCol w:w="930"/>
        <w:gridCol w:w="102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08"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项目</w:t>
            </w:r>
          </w:p>
        </w:tc>
        <w:tc>
          <w:tcPr>
            <w:tcW w:w="12693" w:type="dxa"/>
            <w:gridSpan w:val="14"/>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本年金额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08" w:type="dxa"/>
            <w:vMerge w:val="continue"/>
            <w:vAlign w:val="center"/>
          </w:tcPr>
          <w:p>
            <w:pPr>
              <w:rPr>
                <w:color w:val="auto"/>
                <w:highlight w:val="none"/>
              </w:rPr>
            </w:pPr>
          </w:p>
        </w:tc>
        <w:tc>
          <w:tcPr>
            <w:tcW w:w="10570" w:type="dxa"/>
            <w:gridSpan w:val="12"/>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归属于母公司所有者权益</w:t>
            </w:r>
          </w:p>
        </w:tc>
        <w:tc>
          <w:tcPr>
            <w:tcW w:w="1012"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少数股东权益</w:t>
            </w:r>
          </w:p>
        </w:tc>
        <w:tc>
          <w:tcPr>
            <w:tcW w:w="1111"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08" w:type="dxa"/>
            <w:vMerge w:val="continue"/>
            <w:vAlign w:val="center"/>
          </w:tcPr>
          <w:p>
            <w:pPr>
              <w:rPr>
                <w:color w:val="auto"/>
                <w:highlight w:val="none"/>
              </w:rPr>
            </w:pPr>
          </w:p>
        </w:tc>
        <w:tc>
          <w:tcPr>
            <w:tcW w:w="964"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股本</w:t>
            </w:r>
          </w:p>
        </w:tc>
        <w:tc>
          <w:tcPr>
            <w:tcW w:w="2031" w:type="dxa"/>
            <w:gridSpan w:val="3"/>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其他权益工具</w:t>
            </w:r>
          </w:p>
        </w:tc>
        <w:tc>
          <w:tcPr>
            <w:tcW w:w="916"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资本公积</w:t>
            </w:r>
          </w:p>
        </w:tc>
        <w:tc>
          <w:tcPr>
            <w:tcW w:w="822"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减：库存股</w:t>
            </w:r>
          </w:p>
        </w:tc>
        <w:tc>
          <w:tcPr>
            <w:tcW w:w="851"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其他综合收益</w:t>
            </w:r>
          </w:p>
        </w:tc>
        <w:tc>
          <w:tcPr>
            <w:tcW w:w="992"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专项储备</w:t>
            </w:r>
          </w:p>
        </w:tc>
        <w:tc>
          <w:tcPr>
            <w:tcW w:w="850"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盈余公积</w:t>
            </w:r>
          </w:p>
        </w:tc>
        <w:tc>
          <w:tcPr>
            <w:tcW w:w="993"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△一般风险准备</w:t>
            </w:r>
          </w:p>
        </w:tc>
        <w:tc>
          <w:tcPr>
            <w:tcW w:w="1235"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未分配利润</w:t>
            </w:r>
          </w:p>
        </w:tc>
        <w:tc>
          <w:tcPr>
            <w:tcW w:w="916"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小计</w:t>
            </w:r>
          </w:p>
        </w:tc>
        <w:tc>
          <w:tcPr>
            <w:tcW w:w="1012" w:type="dxa"/>
            <w:vMerge w:val="continue"/>
            <w:vAlign w:val="center"/>
          </w:tcPr>
          <w:p>
            <w:pPr>
              <w:rPr>
                <w:color w:val="auto"/>
                <w:highlight w:val="none"/>
              </w:rPr>
            </w:pPr>
          </w:p>
        </w:tc>
        <w:tc>
          <w:tcPr>
            <w:tcW w:w="1111"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08" w:type="dxa"/>
            <w:vMerge w:val="continue"/>
            <w:vAlign w:val="center"/>
          </w:tcPr>
          <w:p>
            <w:pPr>
              <w:rPr>
                <w:color w:val="auto"/>
                <w:highlight w:val="none"/>
              </w:rPr>
            </w:pPr>
          </w:p>
        </w:tc>
        <w:tc>
          <w:tcPr>
            <w:tcW w:w="964" w:type="dxa"/>
            <w:vMerge w:val="continue"/>
            <w:vAlign w:val="center"/>
          </w:tcPr>
          <w:p>
            <w:pPr>
              <w:rPr>
                <w:color w:val="auto"/>
                <w:highlight w:val="none"/>
              </w:rPr>
            </w:pPr>
          </w:p>
        </w:tc>
        <w:tc>
          <w:tcPr>
            <w:tcW w:w="556"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优先股</w:t>
            </w:r>
          </w:p>
        </w:tc>
        <w:tc>
          <w:tcPr>
            <w:tcW w:w="966"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永续债</w:t>
            </w:r>
          </w:p>
        </w:tc>
        <w:tc>
          <w:tcPr>
            <w:tcW w:w="509"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w:t>
            </w:r>
          </w:p>
        </w:tc>
        <w:tc>
          <w:tcPr>
            <w:tcW w:w="916" w:type="dxa"/>
            <w:vMerge w:val="continue"/>
            <w:vAlign w:val="center"/>
          </w:tcPr>
          <w:p>
            <w:pPr>
              <w:rPr>
                <w:color w:val="auto"/>
                <w:highlight w:val="none"/>
              </w:rPr>
            </w:pPr>
          </w:p>
        </w:tc>
        <w:tc>
          <w:tcPr>
            <w:tcW w:w="822"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992" w:type="dxa"/>
            <w:vMerge w:val="continue"/>
            <w:vAlign w:val="center"/>
          </w:tcPr>
          <w:p>
            <w:pPr>
              <w:rPr>
                <w:color w:val="auto"/>
                <w:highlight w:val="none"/>
              </w:rPr>
            </w:pPr>
          </w:p>
        </w:tc>
        <w:tc>
          <w:tcPr>
            <w:tcW w:w="850" w:type="dxa"/>
            <w:vMerge w:val="continue"/>
            <w:vAlign w:val="center"/>
          </w:tcPr>
          <w:p>
            <w:pPr>
              <w:rPr>
                <w:color w:val="auto"/>
                <w:highlight w:val="none"/>
              </w:rPr>
            </w:pPr>
          </w:p>
        </w:tc>
        <w:tc>
          <w:tcPr>
            <w:tcW w:w="993" w:type="dxa"/>
            <w:vMerge w:val="continue"/>
            <w:vAlign w:val="center"/>
          </w:tcPr>
          <w:p>
            <w:pPr>
              <w:rPr>
                <w:color w:val="auto"/>
                <w:highlight w:val="none"/>
              </w:rPr>
            </w:pPr>
          </w:p>
        </w:tc>
        <w:tc>
          <w:tcPr>
            <w:tcW w:w="1235" w:type="dxa"/>
            <w:vMerge w:val="continue"/>
            <w:vAlign w:val="center"/>
          </w:tcPr>
          <w:p>
            <w:pPr>
              <w:rPr>
                <w:color w:val="auto"/>
                <w:highlight w:val="none"/>
              </w:rPr>
            </w:pPr>
          </w:p>
        </w:tc>
        <w:tc>
          <w:tcPr>
            <w:tcW w:w="916" w:type="dxa"/>
            <w:vMerge w:val="continue"/>
            <w:vAlign w:val="center"/>
          </w:tcPr>
          <w:p>
            <w:pPr>
              <w:rPr>
                <w:color w:val="auto"/>
                <w:highlight w:val="none"/>
              </w:rPr>
            </w:pPr>
          </w:p>
        </w:tc>
        <w:tc>
          <w:tcPr>
            <w:tcW w:w="1012" w:type="dxa"/>
            <w:vMerge w:val="continue"/>
            <w:vAlign w:val="center"/>
          </w:tcPr>
          <w:p>
            <w:pPr>
              <w:rPr>
                <w:color w:val="auto"/>
                <w:highlight w:val="none"/>
              </w:rPr>
            </w:pPr>
          </w:p>
        </w:tc>
        <w:tc>
          <w:tcPr>
            <w:tcW w:w="1111"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一、上年年末余额</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411,548,322.64</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301,720,895.47</w:t>
            </w: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26,288,187.65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-25,806,459,189.66</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-388,936,873.19</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13,183,531,037.20</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12,794,594,164.01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加：会计政策变更</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前期差错更正</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其他</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二、本年年初余额</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411,548,322.64</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301,720,895.47</w:t>
            </w: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26,288,187.65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-25,806,459,189.66</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-388,936,873.19</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13,183,531,037.20</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12,794,594,164.01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三、本年增减变动金额（减少以“-”号填列）</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1,133,653,103.90</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24,204,325.40</w:t>
            </w: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-12,900,075.68</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-1,292,791,300.30</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-347,833,946.68</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2,691,335,720.46</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2,343,501,773.78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（一）综合收益总额</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24,204,325.40</w:t>
            </w: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-543,673,983.84</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-519,469,658.44</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613,772,961.98</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94,303,303.54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（二）所有者投入和减少资本</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-66,346,896.10</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933,653,103.90</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2,508,005,768.30</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3,441,658,872.20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1．所有者投入的普通股</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2,484,421,500.92</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2,484,421,500.92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2．其他权益工具持有者投入资本</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3．股份支付计入所有者权益的金额</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-66,346,896.10</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-66,346,896.10</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23,584,267.38</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-42,762,628.72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（三）专项储备提取和使用</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-12,900,075.68</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-12,900,075.68</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1,196,854.12</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-11,703,221.56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1．提取专项储备</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209,158,954.65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209,158,954.65</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31,692,405.61</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240,851,360.26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2．使用专项储备</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-222,059,030.33</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-222,059,030.33</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-30,495,551.49</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-252,554,581.82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（四）利润分配</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-431,639,863.94</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-1,180,757,180.40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1．提取盈余公积</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其中：法定公积金</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任意公积金</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#储备基金</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#企业发展基金</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#利润归还投资</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△2．提取一般风险准备</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3．对所有者（或股东）的分配</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-247,040,694.23</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-247,040,694.23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-184,599,169.71</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-933,716,486.17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（五）所有者权益内部结转</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1．资本公积转增资本（或股本）</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2．盈余公积转增资本（或股本）</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3．弥补亏损</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4．设定受益计划变动额结转留存收益</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5．其他综合收益结转留存收益</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6．其他</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四、本年年末余额</w:t>
            </w:r>
          </w:p>
        </w:tc>
        <w:tc>
          <w:tcPr>
            <w:tcW w:w="96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4,692,315,400.00</w:t>
            </w:r>
          </w:p>
        </w:tc>
        <w:tc>
          <w:tcPr>
            <w:tcW w:w="556"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19,318,660,000.00</w:t>
            </w:r>
          </w:p>
        </w:tc>
        <w:tc>
          <w:tcPr>
            <w:tcW w:w="5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1,545,201,426.54</w:t>
            </w:r>
          </w:p>
        </w:tc>
        <w:tc>
          <w:tcPr>
            <w:tcW w:w="82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325,925,220.87</w:t>
            </w: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13,388,111.97</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23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-27,099,250,489.96</w:t>
            </w:r>
          </w:p>
        </w:tc>
        <w:tc>
          <w:tcPr>
            <w:tcW w:w="916"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-736,770,819.87</w:t>
            </w:r>
          </w:p>
        </w:tc>
        <w:tc>
          <w:tcPr>
            <w:tcW w:w="101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15,874,866,757.66</w:t>
            </w:r>
          </w:p>
        </w:tc>
        <w:tc>
          <w:tcPr>
            <w:tcW w:w="1111"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15,138,095,937.79</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highlight w:val="none"/>
        </w:rPr>
        <w:fldChar w:fldCharType="end"/>
      </w:r>
      <w:r>
        <w:rPr>
          <w:rFonts w:ascii="Times New Roman" w:hAnsi="Times New Roman" w:cs="Times New Roman"/>
          <w:color w:val="auto"/>
          <w:sz w:val="18"/>
          <w:szCs w:val="18"/>
          <w:highlight w:val="none"/>
        </w:rPr>
        <w:t xml:space="preserve">企业法定代表人：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主管会计工作负责人：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所有者权益变动表（续）</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sz w:val="18"/>
          <w:szCs w:val="18"/>
          <w:highlight w:val="none"/>
        </w:rPr>
        <w:fldChar w:fldCharType="begin"/>
      </w:r>
      <w:r>
        <w:rPr>
          <w:rFonts w:ascii="Times New Roman" w:hAnsi="Times New Roman" w:cs="Times New Roman"/>
          <w:color w:val="auto"/>
          <w:sz w:val="18"/>
          <w:szCs w:val="18"/>
          <w:highlight w:val="none"/>
        </w:rPr>
        <w:instrText xml:space="preserve"> LINK Excel.Sheet.12 E:\\雍\\附注排版\\2014年年报格式\\附注过渡表20150130V0910.xlsx 所合并!合并所有者权益变动表上年 \f 4 \h \* MERGEFORMAT </w:instrText>
      </w:r>
      <w:r>
        <w:rPr>
          <w:rFonts w:ascii="Times New Roman" w:hAnsi="Times New Roman" w:cs="Times New Roman"/>
          <w:color w:val="auto"/>
          <w:sz w:val="18"/>
          <w:szCs w:val="18"/>
          <w:highlight w:val="none"/>
        </w:rPr>
        <w:fldChar w:fldCharType="separat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947"/>
        <w:gridCol w:w="576"/>
        <w:gridCol w:w="1007"/>
        <w:gridCol w:w="431"/>
        <w:gridCol w:w="1007"/>
        <w:gridCol w:w="864"/>
        <w:gridCol w:w="863"/>
        <w:gridCol w:w="1008"/>
        <w:gridCol w:w="863"/>
        <w:gridCol w:w="720"/>
        <w:gridCol w:w="1151"/>
        <w:gridCol w:w="1164"/>
        <w:gridCol w:w="103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3"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项目</w:t>
            </w:r>
          </w:p>
        </w:tc>
        <w:tc>
          <w:tcPr>
            <w:tcW w:w="12578" w:type="dxa"/>
            <w:gridSpan w:val="14"/>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3" w:type="dxa"/>
            <w:vMerge w:val="continue"/>
            <w:vAlign w:val="center"/>
          </w:tcPr>
          <w:p>
            <w:pPr>
              <w:rPr>
                <w:color w:val="auto"/>
                <w:highlight w:val="none"/>
              </w:rPr>
            </w:pPr>
          </w:p>
        </w:tc>
        <w:tc>
          <w:tcPr>
            <w:tcW w:w="10443" w:type="dxa"/>
            <w:gridSpan w:val="12"/>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归属于母公司所有者权益</w:t>
            </w:r>
          </w:p>
        </w:tc>
        <w:tc>
          <w:tcPr>
            <w:tcW w:w="1015"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少数股东权益</w:t>
            </w:r>
          </w:p>
        </w:tc>
        <w:tc>
          <w:tcPr>
            <w:tcW w:w="1120"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3" w:type="dxa"/>
            <w:vMerge w:val="continue"/>
            <w:vAlign w:val="center"/>
          </w:tcPr>
          <w:p>
            <w:pPr>
              <w:rPr>
                <w:color w:val="auto"/>
                <w:highlight w:val="none"/>
              </w:rPr>
            </w:pPr>
          </w:p>
        </w:tc>
        <w:tc>
          <w:tcPr>
            <w:tcW w:w="933"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股本</w:t>
            </w:r>
          </w:p>
        </w:tc>
        <w:tc>
          <w:tcPr>
            <w:tcW w:w="1984" w:type="dxa"/>
            <w:gridSpan w:val="3"/>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其他权益工具</w:t>
            </w:r>
          </w:p>
        </w:tc>
        <w:tc>
          <w:tcPr>
            <w:tcW w:w="992"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资本公积</w:t>
            </w:r>
          </w:p>
        </w:tc>
        <w:tc>
          <w:tcPr>
            <w:tcW w:w="851"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减：库存股</w:t>
            </w:r>
          </w:p>
        </w:tc>
        <w:tc>
          <w:tcPr>
            <w:tcW w:w="850"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其他综合收益</w:t>
            </w:r>
          </w:p>
        </w:tc>
        <w:tc>
          <w:tcPr>
            <w:tcW w:w="993"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专项储备</w:t>
            </w:r>
          </w:p>
        </w:tc>
        <w:tc>
          <w:tcPr>
            <w:tcW w:w="850"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盈余公积</w:t>
            </w:r>
          </w:p>
        </w:tc>
        <w:tc>
          <w:tcPr>
            <w:tcW w:w="709"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△一般风险准备</w:t>
            </w:r>
          </w:p>
        </w:tc>
        <w:tc>
          <w:tcPr>
            <w:tcW w:w="1134"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未分配利润</w:t>
            </w:r>
          </w:p>
        </w:tc>
        <w:tc>
          <w:tcPr>
            <w:tcW w:w="1147" w:type="dxa"/>
            <w:vMerge w:val="restart"/>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小计</w:t>
            </w:r>
          </w:p>
        </w:tc>
        <w:tc>
          <w:tcPr>
            <w:tcW w:w="1015" w:type="dxa"/>
            <w:vMerge w:val="continue"/>
            <w:vAlign w:val="center"/>
          </w:tcPr>
          <w:p>
            <w:pPr>
              <w:rPr>
                <w:color w:val="auto"/>
                <w:highlight w:val="none"/>
              </w:rPr>
            </w:pPr>
          </w:p>
        </w:tc>
        <w:tc>
          <w:tcPr>
            <w:tcW w:w="1120"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3" w:type="dxa"/>
            <w:vMerge w:val="continue"/>
            <w:vAlign w:val="center"/>
          </w:tcPr>
          <w:p>
            <w:pPr>
              <w:rPr>
                <w:color w:val="auto"/>
                <w:highlight w:val="none"/>
              </w:rPr>
            </w:pPr>
          </w:p>
        </w:tc>
        <w:tc>
          <w:tcPr>
            <w:tcW w:w="933" w:type="dxa"/>
            <w:vMerge w:val="continue"/>
            <w:vAlign w:val="center"/>
          </w:tcPr>
          <w:p>
            <w:pPr>
              <w:rPr>
                <w:color w:val="auto"/>
                <w:highlight w:val="none"/>
              </w:rPr>
            </w:pPr>
          </w:p>
        </w:tc>
        <w:tc>
          <w:tcPr>
            <w:tcW w:w="567"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优先股</w:t>
            </w:r>
          </w:p>
        </w:tc>
        <w:tc>
          <w:tcPr>
            <w:tcW w:w="992"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永续债</w:t>
            </w:r>
          </w:p>
        </w:tc>
        <w:tc>
          <w:tcPr>
            <w:tcW w:w="425" w:type="dxa"/>
            <w:vAlign w:val="center"/>
          </w:tcPr>
          <w:p>
            <w:pPr>
              <w:snapToGrid w:val="0"/>
              <w:spacing w:line="16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w:t>
            </w:r>
          </w:p>
        </w:tc>
        <w:tc>
          <w:tcPr>
            <w:tcW w:w="992"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850" w:type="dxa"/>
            <w:vMerge w:val="continue"/>
            <w:vAlign w:val="center"/>
          </w:tcPr>
          <w:p>
            <w:pPr>
              <w:rPr>
                <w:color w:val="auto"/>
                <w:highlight w:val="none"/>
              </w:rPr>
            </w:pPr>
          </w:p>
        </w:tc>
        <w:tc>
          <w:tcPr>
            <w:tcW w:w="993" w:type="dxa"/>
            <w:vMerge w:val="continue"/>
            <w:vAlign w:val="center"/>
          </w:tcPr>
          <w:p>
            <w:pPr>
              <w:rPr>
                <w:color w:val="auto"/>
                <w:highlight w:val="none"/>
              </w:rPr>
            </w:pPr>
          </w:p>
        </w:tc>
        <w:tc>
          <w:tcPr>
            <w:tcW w:w="850"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1134" w:type="dxa"/>
            <w:vMerge w:val="continue"/>
            <w:vAlign w:val="center"/>
          </w:tcPr>
          <w:p>
            <w:pPr>
              <w:rPr>
                <w:color w:val="auto"/>
                <w:highlight w:val="none"/>
              </w:rPr>
            </w:pPr>
          </w:p>
        </w:tc>
        <w:tc>
          <w:tcPr>
            <w:tcW w:w="1147" w:type="dxa"/>
            <w:vMerge w:val="continue"/>
            <w:vAlign w:val="center"/>
          </w:tcPr>
          <w:p>
            <w:pPr>
              <w:rPr>
                <w:color w:val="auto"/>
                <w:highlight w:val="none"/>
              </w:rPr>
            </w:pPr>
          </w:p>
        </w:tc>
        <w:tc>
          <w:tcPr>
            <w:tcW w:w="1015" w:type="dxa"/>
            <w:vMerge w:val="continue"/>
            <w:vAlign w:val="center"/>
          </w:tcPr>
          <w:p>
            <w:pPr>
              <w:rPr>
                <w:color w:val="auto"/>
                <w:highlight w:val="none"/>
              </w:rPr>
            </w:pPr>
          </w:p>
        </w:tc>
        <w:tc>
          <w:tcPr>
            <w:tcW w:w="1120"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一、上年年末余额</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15,963,150,000.00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571,868,390.58</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260,870,959.79</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7,026,428.75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-22,513,002,165.56</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649,218,524.27</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12,663,945,799.54</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13,313,164,323.81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加：会计政策变更</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15,979,882.66</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15,979,882.66</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35,549,361.24</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51,529,243.90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前期差错更正</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其他</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二、本年年初余额</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15,963,150,000.00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571,868,390.58</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260,870,959.79</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7,026,428.75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-22,497,022,282.90</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665,198,406.93</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12,699,495,160.78</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13,364,693,567.71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三、本年增减变动金额（减少以“-”号填列）</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-160,320,067.94</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40,849,935.68</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19,261,758.90</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-3,309,436,906.76</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-1,054,135,280.12</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484,035,876.42</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-570,099,403.70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（一）综合收益总额</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40,849,935.68</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-2,591,168,934.88</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-2,550,318,999.20</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696,468,986.06</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-1,853,850,013.14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（二）所有者投入和减少资本</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-160,320,067.94</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2,195,189,932.06</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16,383,783.65</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2,211,573,715.71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1．所有者投入的普通股</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2,006,039,520.00</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2,006,039,520.00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2．其他权益工具持有者投入资本</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-770,230,000.00</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1,585,280,000.00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3．股份支付计入所有者权益的金额</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-160,320,067.94</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-160,320,067.94</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-1,219,425,736.35</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-1,379,745,804.29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（三）专项储备提取和使用</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19,261,758.90</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19,261,758.90</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16,918,361.47</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36,180,120.37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1．提取专项储备</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271,567,724.08</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271,567,724.08</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16,918,361.47</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288,486,085.55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2．使用专项储备</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-252,305,965.18</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-252,305,965.18</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-252,305,965.18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（四）利润分配</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-245,735,254.76</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-964,003,226.64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1．提取盈余公积</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其中：法定公积金</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任意公积金</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#储备基金</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#企业发展基金</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#利润归还投资</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△2．提取一般风险准备</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3．对所有者（或股东）的分配</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-164,397,534.25</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-164,397,534.25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-81,337,720.51</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-799,605,692.39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（五）所有者权益内部结转</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1．资本公积转增资本（或股本）</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2．盈余公积转增资本（或股本）</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3．弥补亏损</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4．设定受益计划变动额结转留存收益</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5．其他综合收益结转留存收益</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6．其他</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vAlign w:val="center"/>
          </w:tcPr>
          <w:p>
            <w:pPr>
              <w:snapToGrid w:val="0"/>
              <w:spacing w:line="16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四、本年年末余额</w:t>
            </w:r>
          </w:p>
        </w:tc>
        <w:tc>
          <w:tcPr>
            <w:tcW w:w="93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567"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425"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992"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411,548,322.64</w:t>
            </w:r>
          </w:p>
        </w:tc>
        <w:tc>
          <w:tcPr>
            <w:tcW w:w="851"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301,720,895.47</w:t>
            </w:r>
          </w:p>
        </w:tc>
        <w:tc>
          <w:tcPr>
            <w:tcW w:w="993"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26,288,187.65</w:t>
            </w:r>
          </w:p>
        </w:tc>
        <w:tc>
          <w:tcPr>
            <w:tcW w:w="85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466,989,510.71</w:t>
            </w:r>
          </w:p>
        </w:tc>
        <w:tc>
          <w:tcPr>
            <w:tcW w:w="709" w:type="dxa"/>
            <w:vAlign w:val="center"/>
          </w:tcPr>
          <w:p>
            <w:pPr>
              <w:snapToGrid w:val="0"/>
              <w:spacing w:line="160" w:lineRule="atLeast"/>
              <w:jc w:val="right"/>
              <w:rPr>
                <w:rFonts w:ascii="Times New Roman" w:hAnsi="Times New Roman" w:cs="Times New Roman"/>
                <w:color w:val="auto"/>
                <w:sz w:val="10"/>
                <w:szCs w:val="10"/>
                <w:highlight w:val="none"/>
              </w:rPr>
            </w:pPr>
          </w:p>
        </w:tc>
        <w:tc>
          <w:tcPr>
            <w:tcW w:w="1134"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-25,806,459,189.66</w:t>
            </w:r>
          </w:p>
        </w:tc>
        <w:tc>
          <w:tcPr>
            <w:tcW w:w="1147"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-388,936,873.19</w:t>
            </w:r>
          </w:p>
        </w:tc>
        <w:tc>
          <w:tcPr>
            <w:tcW w:w="1015"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13,183,531,037.20</w:t>
            </w:r>
          </w:p>
        </w:tc>
        <w:tc>
          <w:tcPr>
            <w:tcW w:w="1120" w:type="dxa"/>
            <w:vAlign w:val="center"/>
          </w:tcPr>
          <w:p>
            <w:pPr>
              <w:snapToGrid w:val="0"/>
              <w:spacing w:line="16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12,794,594,164.01</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fldChar w:fldCharType="end"/>
      </w:r>
      <w:r>
        <w:rPr>
          <w:rFonts w:ascii="Times New Roman" w:hAnsi="Times New Roman" w:cs="Times New Roman"/>
          <w:color w:val="auto"/>
          <w:sz w:val="18"/>
          <w:szCs w:val="18"/>
          <w:highlight w:val="none"/>
        </w:rPr>
        <w:t xml:space="preserve">企业法定代表人：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主管会计工作负责人：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所有者权益变动表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color w:val="auto"/>
          <w:szCs w:val="22"/>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所!母公司所有者权益变动表本年 \f 4 \h  \* MERGEFORMAT </w:instrText>
      </w:r>
      <w:r>
        <w:rPr>
          <w:rFonts w:ascii="Times New Roman" w:hAnsi="Times New Roman" w:cs="Times New Roman"/>
          <w:color w:val="auto"/>
          <w:highlight w:val="none"/>
        </w:rPr>
        <w:fldChar w:fldCharType="separat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1582"/>
        <w:gridCol w:w="686"/>
        <w:gridCol w:w="981"/>
        <w:gridCol w:w="543"/>
        <w:gridCol w:w="930"/>
        <w:gridCol w:w="980"/>
        <w:gridCol w:w="1146"/>
        <w:gridCol w:w="857"/>
        <w:gridCol w:w="860"/>
        <w:gridCol w:w="1066"/>
        <w:gridCol w:w="11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83"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项目</w:t>
            </w:r>
          </w:p>
        </w:tc>
        <w:tc>
          <w:tcPr>
            <w:tcW w:w="11918" w:type="dxa"/>
            <w:gridSpan w:val="12"/>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本年金额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83" w:type="dxa"/>
            <w:vMerge w:val="continue"/>
            <w:vAlign w:val="center"/>
          </w:tcPr>
          <w:p>
            <w:pPr>
              <w:rPr>
                <w:color w:val="auto"/>
                <w:highlight w:val="none"/>
              </w:rPr>
            </w:pPr>
          </w:p>
        </w:tc>
        <w:tc>
          <w:tcPr>
            <w:tcW w:w="1558"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股本</w:t>
            </w:r>
          </w:p>
        </w:tc>
        <w:tc>
          <w:tcPr>
            <w:tcW w:w="2177" w:type="dxa"/>
            <w:gridSpan w:val="3"/>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其他权益工具</w:t>
            </w:r>
          </w:p>
        </w:tc>
        <w:tc>
          <w:tcPr>
            <w:tcW w:w="916"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资本公积</w:t>
            </w:r>
          </w:p>
        </w:tc>
        <w:tc>
          <w:tcPr>
            <w:tcW w:w="965"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减：库存股</w:t>
            </w:r>
          </w:p>
        </w:tc>
        <w:tc>
          <w:tcPr>
            <w:tcW w:w="1129"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其他综合收益</w:t>
            </w:r>
          </w:p>
        </w:tc>
        <w:tc>
          <w:tcPr>
            <w:tcW w:w="844"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专项储备</w:t>
            </w:r>
          </w:p>
        </w:tc>
        <w:tc>
          <w:tcPr>
            <w:tcW w:w="847"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盈余公积</w:t>
            </w:r>
          </w:p>
        </w:tc>
        <w:tc>
          <w:tcPr>
            <w:tcW w:w="1050"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△一般风险准备</w:t>
            </w:r>
          </w:p>
        </w:tc>
        <w:tc>
          <w:tcPr>
            <w:tcW w:w="1157"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未分配利润</w:t>
            </w:r>
          </w:p>
        </w:tc>
        <w:tc>
          <w:tcPr>
            <w:tcW w:w="1275"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83" w:type="dxa"/>
            <w:vMerge w:val="continue"/>
            <w:vAlign w:val="center"/>
          </w:tcPr>
          <w:p>
            <w:pPr>
              <w:rPr>
                <w:color w:val="auto"/>
                <w:highlight w:val="none"/>
              </w:rPr>
            </w:pPr>
          </w:p>
        </w:tc>
        <w:tc>
          <w:tcPr>
            <w:tcW w:w="1558" w:type="dxa"/>
            <w:vMerge w:val="continue"/>
            <w:vAlign w:val="center"/>
          </w:tcPr>
          <w:p>
            <w:pPr>
              <w:rPr>
                <w:color w:val="auto"/>
                <w:highlight w:val="none"/>
              </w:rPr>
            </w:pPr>
          </w:p>
        </w:tc>
        <w:tc>
          <w:tcPr>
            <w:tcW w:w="676"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优先股</w:t>
            </w:r>
          </w:p>
        </w:tc>
        <w:tc>
          <w:tcPr>
            <w:tcW w:w="966"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永续债</w:t>
            </w:r>
          </w:p>
        </w:tc>
        <w:tc>
          <w:tcPr>
            <w:tcW w:w="535"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w:t>
            </w:r>
          </w:p>
        </w:tc>
        <w:tc>
          <w:tcPr>
            <w:tcW w:w="916" w:type="dxa"/>
            <w:vMerge w:val="continue"/>
            <w:vAlign w:val="center"/>
          </w:tcPr>
          <w:p>
            <w:pPr>
              <w:rPr>
                <w:color w:val="auto"/>
                <w:highlight w:val="none"/>
              </w:rPr>
            </w:pPr>
          </w:p>
        </w:tc>
        <w:tc>
          <w:tcPr>
            <w:tcW w:w="965" w:type="dxa"/>
            <w:vMerge w:val="continue"/>
            <w:vAlign w:val="center"/>
          </w:tcPr>
          <w:p>
            <w:pPr>
              <w:rPr>
                <w:color w:val="auto"/>
                <w:highlight w:val="none"/>
              </w:rPr>
            </w:pPr>
          </w:p>
        </w:tc>
        <w:tc>
          <w:tcPr>
            <w:tcW w:w="1129" w:type="dxa"/>
            <w:vMerge w:val="continue"/>
            <w:vAlign w:val="center"/>
          </w:tcPr>
          <w:p>
            <w:pPr>
              <w:rPr>
                <w:color w:val="auto"/>
                <w:highlight w:val="none"/>
              </w:rPr>
            </w:pPr>
          </w:p>
        </w:tc>
        <w:tc>
          <w:tcPr>
            <w:tcW w:w="844" w:type="dxa"/>
            <w:vMerge w:val="continue"/>
            <w:vAlign w:val="center"/>
          </w:tcPr>
          <w:p>
            <w:pPr>
              <w:rPr>
                <w:color w:val="auto"/>
                <w:highlight w:val="none"/>
              </w:rPr>
            </w:pPr>
          </w:p>
        </w:tc>
        <w:tc>
          <w:tcPr>
            <w:tcW w:w="847" w:type="dxa"/>
            <w:vMerge w:val="continue"/>
            <w:vAlign w:val="center"/>
          </w:tcPr>
          <w:p>
            <w:pPr>
              <w:rPr>
                <w:color w:val="auto"/>
                <w:highlight w:val="none"/>
              </w:rPr>
            </w:pPr>
          </w:p>
        </w:tc>
        <w:tc>
          <w:tcPr>
            <w:tcW w:w="1050" w:type="dxa"/>
            <w:vMerge w:val="continue"/>
            <w:vAlign w:val="center"/>
          </w:tcPr>
          <w:p>
            <w:pPr>
              <w:rPr>
                <w:color w:val="auto"/>
                <w:highlight w:val="none"/>
              </w:rPr>
            </w:pPr>
          </w:p>
        </w:tc>
        <w:tc>
          <w:tcPr>
            <w:tcW w:w="1157" w:type="dxa"/>
            <w:vMerge w:val="continue"/>
            <w:vAlign w:val="center"/>
          </w:tcPr>
          <w:p>
            <w:pPr>
              <w:rPr>
                <w:color w:val="auto"/>
                <w:highlight w:val="none"/>
              </w:rPr>
            </w:pPr>
          </w:p>
        </w:tc>
        <w:tc>
          <w:tcPr>
            <w:tcW w:w="1275"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一、上年年末余额</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249,283.58</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305,153,382.98</w:t>
            </w: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-20,357,790,192.98</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4,529,743,972.62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加：会计政策变更</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前期差错更正</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其他</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二、本年年初余额</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249,283.58</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305,153,382.98</w:t>
            </w: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-20,357,790,192.98</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4,529,743,972.62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三、本年增减变动金额（减少以“-”号填列）</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1,230,353,096.39</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23,678,879.21</w:t>
            </w: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-1,633,570,866.50</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-579,538,890.90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（一）综合收益总额</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23,678,879.21</w:t>
            </w: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-573,625,098.07</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-549,946,218.86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（二）所有者投入和减少资本</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30,353,096.39</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-310,828,451.97</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719,524,644.42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1．所有者投入的普通股</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2．其他权益工具持有者投入资本</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3．股份支付计入所有者权益的金额</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30,353,096.39</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-310,828,451.97</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-280,475,355.58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（三）专项储备提取和使用</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1．提取专项储备</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19,492,729.42</w:t>
            </w: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19,492,729.42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2．使用专项储备</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-19,492,729.42</w:t>
            </w: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-19,492,729.42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（四）利润分配</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1．提取盈余公积</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其中：法定公积金</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任意公积金</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#储备基金</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#企业发展基金</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#利润归还投资</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△2．提取一般风险准备</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3．对所有者（或股东）的分配</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-749,117,316.46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（五）所有者权益内部结转</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1．资本公积转增资本（或股本）</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2．盈余公积转增资本（或股本）</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3．弥补亏损</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4．设定受益计划变动额结转留存收益</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5．其他综合收益结转留存收益</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6．其他</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1,200,000,000.00</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四、本年年末余额</w:t>
            </w:r>
          </w:p>
        </w:tc>
        <w:tc>
          <w:tcPr>
            <w:tcW w:w="1558"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4,692,315,400.00</w:t>
            </w:r>
          </w:p>
        </w:tc>
        <w:tc>
          <w:tcPr>
            <w:tcW w:w="67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19,318,660,000.00</w:t>
            </w:r>
          </w:p>
        </w:tc>
        <w:tc>
          <w:tcPr>
            <w:tcW w:w="53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1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1,230,602,379.97</w:t>
            </w:r>
          </w:p>
        </w:tc>
        <w:tc>
          <w:tcPr>
            <w:tcW w:w="96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2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328,832,262.19</w:t>
            </w:r>
          </w:p>
        </w:tc>
        <w:tc>
          <w:tcPr>
            <w:tcW w:w="844"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50"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-21,991,361,059.48</w:t>
            </w:r>
          </w:p>
        </w:tc>
        <w:tc>
          <w:tcPr>
            <w:tcW w:w="127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3,950,205,081.72</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highlight w:val="none"/>
        </w:rPr>
        <w:fldChar w:fldCharType="end"/>
      </w:r>
      <w:r>
        <w:rPr>
          <w:rFonts w:ascii="Times New Roman" w:hAnsi="Times New Roman" w:cs="Times New Roman"/>
          <w:color w:val="auto"/>
          <w:sz w:val="18"/>
          <w:szCs w:val="18"/>
          <w:highlight w:val="none"/>
        </w:rPr>
        <w:t xml:space="preserve">企业法定代表人：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主管会计工作负责人：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母公司</w:t>
      </w:r>
      <w:r>
        <w:rPr>
          <w:rFonts w:ascii="Times New Roman" w:hAnsi="Times New Roman" w:cs="Times New Roman"/>
          <w:b/>
          <w:color w:val="auto"/>
          <w:sz w:val="18"/>
          <w:szCs w:val="18"/>
          <w:highlight w:val="none"/>
        </w:rPr>
        <w:t>所有者权益变动表（续）</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所!母公司所有者权益变动表上年 \f 4 \h \* MERGEFORMAT </w:instrText>
      </w:r>
      <w:r>
        <w:rPr>
          <w:rFonts w:ascii="Times New Roman" w:hAnsi="Times New Roman" w:cs="Times New Roman"/>
          <w:color w:val="auto"/>
          <w:highlight w:val="none"/>
        </w:rPr>
        <w:fldChar w:fldCharType="separat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590"/>
        <w:gridCol w:w="691"/>
        <w:gridCol w:w="981"/>
        <w:gridCol w:w="546"/>
        <w:gridCol w:w="852"/>
        <w:gridCol w:w="987"/>
        <w:gridCol w:w="1150"/>
        <w:gridCol w:w="858"/>
        <w:gridCol w:w="860"/>
        <w:gridCol w:w="1084"/>
        <w:gridCol w:w="116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14"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项目</w:t>
            </w:r>
          </w:p>
        </w:tc>
        <w:tc>
          <w:tcPr>
            <w:tcW w:w="11887" w:type="dxa"/>
            <w:gridSpan w:val="12"/>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14" w:type="dxa"/>
            <w:vMerge w:val="continue"/>
            <w:vAlign w:val="center"/>
          </w:tcPr>
          <w:p>
            <w:pPr>
              <w:rPr>
                <w:color w:val="auto"/>
                <w:highlight w:val="none"/>
              </w:rPr>
            </w:pPr>
          </w:p>
        </w:tc>
        <w:tc>
          <w:tcPr>
            <w:tcW w:w="1566"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股本</w:t>
            </w:r>
          </w:p>
        </w:tc>
        <w:tc>
          <w:tcPr>
            <w:tcW w:w="2185" w:type="dxa"/>
            <w:gridSpan w:val="3"/>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其他权益工具</w:t>
            </w:r>
          </w:p>
        </w:tc>
        <w:tc>
          <w:tcPr>
            <w:tcW w:w="839"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资本公积</w:t>
            </w:r>
          </w:p>
        </w:tc>
        <w:tc>
          <w:tcPr>
            <w:tcW w:w="972"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减：库存股</w:t>
            </w:r>
          </w:p>
        </w:tc>
        <w:tc>
          <w:tcPr>
            <w:tcW w:w="1133"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其他综合收益</w:t>
            </w:r>
          </w:p>
        </w:tc>
        <w:tc>
          <w:tcPr>
            <w:tcW w:w="845"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专项储备</w:t>
            </w:r>
          </w:p>
        </w:tc>
        <w:tc>
          <w:tcPr>
            <w:tcW w:w="847"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盈余公积</w:t>
            </w:r>
          </w:p>
        </w:tc>
        <w:tc>
          <w:tcPr>
            <w:tcW w:w="1068"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△一般风险准备</w:t>
            </w:r>
          </w:p>
        </w:tc>
        <w:tc>
          <w:tcPr>
            <w:tcW w:w="1152"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未分配利润</w:t>
            </w:r>
          </w:p>
        </w:tc>
        <w:tc>
          <w:tcPr>
            <w:tcW w:w="1280" w:type="dxa"/>
            <w:vMerge w:val="restart"/>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14" w:type="dxa"/>
            <w:vMerge w:val="continue"/>
            <w:vAlign w:val="center"/>
          </w:tcPr>
          <w:p>
            <w:pPr>
              <w:rPr>
                <w:color w:val="auto"/>
                <w:highlight w:val="none"/>
              </w:rPr>
            </w:pPr>
          </w:p>
        </w:tc>
        <w:tc>
          <w:tcPr>
            <w:tcW w:w="1566" w:type="dxa"/>
            <w:vMerge w:val="continue"/>
            <w:vAlign w:val="center"/>
          </w:tcPr>
          <w:p>
            <w:pPr>
              <w:rPr>
                <w:color w:val="auto"/>
                <w:highlight w:val="none"/>
              </w:rPr>
            </w:pPr>
          </w:p>
        </w:tc>
        <w:tc>
          <w:tcPr>
            <w:tcW w:w="681"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优先股</w:t>
            </w:r>
          </w:p>
        </w:tc>
        <w:tc>
          <w:tcPr>
            <w:tcW w:w="966"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永续债</w:t>
            </w:r>
          </w:p>
        </w:tc>
        <w:tc>
          <w:tcPr>
            <w:tcW w:w="538" w:type="dxa"/>
            <w:vAlign w:val="center"/>
          </w:tcPr>
          <w:p>
            <w:pPr>
              <w:snapToGrid w:val="0"/>
              <w:spacing w:line="180" w:lineRule="atLeast"/>
              <w:jc w:val="center"/>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其他</w:t>
            </w:r>
          </w:p>
        </w:tc>
        <w:tc>
          <w:tcPr>
            <w:tcW w:w="839" w:type="dxa"/>
            <w:vMerge w:val="continue"/>
            <w:vAlign w:val="center"/>
          </w:tcPr>
          <w:p>
            <w:pPr>
              <w:rPr>
                <w:color w:val="auto"/>
                <w:highlight w:val="none"/>
              </w:rPr>
            </w:pPr>
          </w:p>
        </w:tc>
        <w:tc>
          <w:tcPr>
            <w:tcW w:w="972" w:type="dxa"/>
            <w:vMerge w:val="continue"/>
            <w:vAlign w:val="center"/>
          </w:tcPr>
          <w:p>
            <w:pPr>
              <w:rPr>
                <w:color w:val="auto"/>
                <w:highlight w:val="none"/>
              </w:rPr>
            </w:pPr>
          </w:p>
        </w:tc>
        <w:tc>
          <w:tcPr>
            <w:tcW w:w="1133" w:type="dxa"/>
            <w:vMerge w:val="continue"/>
            <w:vAlign w:val="center"/>
          </w:tcPr>
          <w:p>
            <w:pPr>
              <w:rPr>
                <w:color w:val="auto"/>
                <w:highlight w:val="none"/>
              </w:rPr>
            </w:pPr>
          </w:p>
        </w:tc>
        <w:tc>
          <w:tcPr>
            <w:tcW w:w="845" w:type="dxa"/>
            <w:vMerge w:val="continue"/>
            <w:vAlign w:val="center"/>
          </w:tcPr>
          <w:p>
            <w:pPr>
              <w:rPr>
                <w:color w:val="auto"/>
                <w:highlight w:val="none"/>
              </w:rPr>
            </w:pPr>
          </w:p>
        </w:tc>
        <w:tc>
          <w:tcPr>
            <w:tcW w:w="847" w:type="dxa"/>
            <w:vMerge w:val="continue"/>
            <w:vAlign w:val="center"/>
          </w:tcPr>
          <w:p>
            <w:pPr>
              <w:rPr>
                <w:color w:val="auto"/>
                <w:highlight w:val="none"/>
              </w:rPr>
            </w:pPr>
          </w:p>
        </w:tc>
        <w:tc>
          <w:tcPr>
            <w:tcW w:w="1068" w:type="dxa"/>
            <w:vMerge w:val="continue"/>
            <w:vAlign w:val="center"/>
          </w:tcPr>
          <w:p>
            <w:pPr>
              <w:rPr>
                <w:color w:val="auto"/>
                <w:highlight w:val="none"/>
              </w:rPr>
            </w:pPr>
          </w:p>
        </w:tc>
        <w:tc>
          <w:tcPr>
            <w:tcW w:w="1152" w:type="dxa"/>
            <w:vMerge w:val="continue"/>
            <w:vAlign w:val="center"/>
          </w:tcPr>
          <w:p>
            <w:pPr>
              <w:rPr>
                <w:color w:val="auto"/>
                <w:highlight w:val="none"/>
              </w:rPr>
            </w:pPr>
          </w:p>
        </w:tc>
        <w:tc>
          <w:tcPr>
            <w:tcW w:w="1280"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一、上年年末余额</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15,963,150,000.00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35,263.55</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264,485,259.48</w:t>
            </w: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-16,350,104,202.27</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6,141,037,819.80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加：会计政策变更</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前期差错更正</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其他</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二、本年年初余额</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15,963,150,000.00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35,263.55</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264,485,259.48</w:t>
            </w: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-16,350,104,202.27</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6,141,037,819.80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三、本年增减变动金额（减少以“-”号填列）</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214,020.03</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40,668,123.50</w:t>
            </w: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-4,007,685,990.71</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-1,611,293,847.18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（一）综合收益总额</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40,668,123.50</w:t>
            </w: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-3,289,418,018.83</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-3,248,749,895.33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（二）所有者投入和减少资本</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214,020.03</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2,355,724,020.03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1．所有者投入的普通股</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2．其他权益工具持有者投入资本</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2,355,510,000.00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3．股份支付计入所有者权益的金额</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214,020.03</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214,020.03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（三）专项储备提取和使用</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1．提取专项储备</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23,088,076.75</w:t>
            </w: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23,088,076.75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2．使用专项储备</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-23,088,076.75</w:t>
            </w: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-23,088,076.75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（四）利润分配</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1．提取盈余公积</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其中：法定公积金</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任意公积金</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#储备基金</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#企业发展基金</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#利润归还投资</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△2．提取一般风险准备</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3．对所有者（或股东）的分配</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4．其他</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-718,267,971.88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（五）所有者权益内部结转</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1．资本公积转增资本（或股本）</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2．盈余公积转增资本（或股本）</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3．弥补亏损</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4．设定受益计划变动额结转留存收益</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5．其他综合收益结转留存收益</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 xml:space="preserve">   6．其他</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vAlign w:val="center"/>
          </w:tcPr>
          <w:p>
            <w:pPr>
              <w:snapToGrid w:val="0"/>
              <w:spacing w:line="180" w:lineRule="atLeas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四、本年年末余额</w:t>
            </w:r>
          </w:p>
        </w:tc>
        <w:tc>
          <w:tcPr>
            <w:tcW w:w="15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5,892,315,400.00</w:t>
            </w:r>
          </w:p>
        </w:tc>
        <w:tc>
          <w:tcPr>
            <w:tcW w:w="681"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966"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18,318,660,000.00</w:t>
            </w:r>
          </w:p>
        </w:tc>
        <w:tc>
          <w:tcPr>
            <w:tcW w:w="53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39"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249,283.58</w:t>
            </w:r>
          </w:p>
        </w:tc>
        <w:tc>
          <w:tcPr>
            <w:tcW w:w="972"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33"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305,153,382.98</w:t>
            </w:r>
          </w:p>
        </w:tc>
        <w:tc>
          <w:tcPr>
            <w:tcW w:w="845"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847"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371,156,099.04</w:t>
            </w:r>
          </w:p>
        </w:tc>
        <w:tc>
          <w:tcPr>
            <w:tcW w:w="1068" w:type="dxa"/>
            <w:vAlign w:val="center"/>
          </w:tcPr>
          <w:p>
            <w:pPr>
              <w:snapToGrid w:val="0"/>
              <w:spacing w:line="180" w:lineRule="atLeast"/>
              <w:jc w:val="right"/>
              <w:rPr>
                <w:rFonts w:ascii="Times New Roman" w:hAnsi="Times New Roman" w:cs="Times New Roman"/>
                <w:color w:val="auto"/>
                <w:sz w:val="10"/>
                <w:szCs w:val="10"/>
                <w:highlight w:val="none"/>
              </w:rPr>
            </w:pPr>
          </w:p>
        </w:tc>
        <w:tc>
          <w:tcPr>
            <w:tcW w:w="1152"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-20,357,790,192.98</w:t>
            </w:r>
          </w:p>
        </w:tc>
        <w:tc>
          <w:tcPr>
            <w:tcW w:w="1280" w:type="dxa"/>
            <w:vAlign w:val="center"/>
          </w:tcPr>
          <w:p>
            <w:pPr>
              <w:snapToGrid w:val="0"/>
              <w:spacing w:line="180" w:lineRule="atLeast"/>
              <w:jc w:val="right"/>
              <w:rPr>
                <w:rFonts w:ascii="Times New Roman" w:hAnsi="Times New Roman" w:cs="Times New Roman"/>
                <w:color w:val="auto"/>
                <w:sz w:val="10"/>
                <w:szCs w:val="10"/>
                <w:highlight w:val="none"/>
              </w:rPr>
            </w:pPr>
            <w:r>
              <w:rPr>
                <w:rFonts w:ascii="Times New Roman" w:hAnsi="Times New Roman" w:cs="Times New Roman"/>
                <w:color w:val="auto"/>
                <w:sz w:val="10"/>
                <w:szCs w:val="10"/>
                <w:highlight w:val="none"/>
              </w:rPr>
              <w:t>4,529,743,972.62</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sectPr>
          <w:headerReference r:id="rId21" w:type="first"/>
          <w:headerReference r:id="rId19" w:type="default"/>
          <w:headerReference r:id="rId20" w:type="even"/>
          <w:pgSz w:w="16839" w:h="11907" w:orient="landscape"/>
          <w:pgMar w:top="1440" w:right="964" w:bottom="1440" w:left="964" w:header="567" w:footer="567" w:gutter="0"/>
          <w:cols w:space="425" w:num="1"/>
          <w:titlePg/>
          <w:docGrid w:linePitch="312" w:charSpace="0"/>
        </w:sectPr>
      </w:pPr>
      <w:r>
        <w:rPr>
          <w:rFonts w:ascii="Times New Roman" w:hAnsi="Times New Roman" w:cs="Times New Roman"/>
          <w:color w:val="auto"/>
          <w:highlight w:val="none"/>
        </w:rPr>
        <w:fldChar w:fldCharType="end"/>
      </w:r>
      <w:r>
        <w:rPr>
          <w:rFonts w:ascii="Times New Roman" w:hAnsi="Times New Roman" w:cs="Times New Roman"/>
          <w:color w:val="auto"/>
          <w:sz w:val="18"/>
          <w:szCs w:val="18"/>
          <w:highlight w:val="none"/>
        </w:rPr>
        <w:t xml:space="preserve">企业法定代表人：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主管会计工作负责人：    </w:t>
      </w:r>
      <w:r>
        <w:rPr>
          <w:rFonts w:hint="eastAsia" w:ascii="Times New Roman" w:hAnsi="Times New Roman" w:cs="Times New Roman"/>
          <w:color w:val="auto"/>
          <w:sz w:val="18"/>
          <w:szCs w:val="18"/>
          <w:highlight w:val="none"/>
        </w:rPr>
        <w:t xml:space="preserve">                         </w:t>
      </w:r>
      <w:r>
        <w:rPr>
          <w:rFonts w:ascii="Times New Roman" w:hAnsi="Times New Roman" w:cs="Times New Roman"/>
          <w:color w:val="auto"/>
          <w:sz w:val="18"/>
          <w:szCs w:val="18"/>
          <w:highlight w:val="none"/>
        </w:rPr>
        <w:t xml:space="preserve">                  会计机构负责人： </w:t>
      </w:r>
    </w:p>
    <w:p>
      <w:pPr>
        <w:adjustRightInd w:val="0"/>
        <w:snapToGrid w:val="0"/>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rPr>
        <w:fldChar w:fldCharType="begin"/>
      </w:r>
      <w:r>
        <w:rPr>
          <w:rFonts w:ascii="Times New Roman" w:hAnsi="Times New Roman" w:cs="Times New Roman"/>
          <w:b/>
          <w:color w:val="auto"/>
          <w:sz w:val="32"/>
          <w:highlight w:val="none"/>
        </w:rPr>
        <w:instrText xml:space="preserve"> DOCVARIABLE  基本信息_企业名称  \* MERGEFORMAT </w:instrText>
      </w:r>
      <w:r>
        <w:rPr>
          <w:rFonts w:ascii="Times New Roman" w:hAnsi="Times New Roman" w:cs="Times New Roman"/>
          <w:b/>
          <w:color w:val="auto"/>
          <w:sz w:val="32"/>
          <w:highlight w:val="none"/>
        </w:rPr>
        <w:fldChar w:fldCharType="separate"/>
      </w:r>
      <w:r>
        <w:rPr>
          <w:rFonts w:hint="eastAsia" w:ascii="Times New Roman" w:hAnsi="Times New Roman" w:cs="Times New Roman"/>
          <w:b/>
          <w:color w:val="auto"/>
          <w:sz w:val="32"/>
          <w:highlight w:val="none"/>
        </w:rPr>
        <w:t>国家电投集团贵州金元股份有限公司</w:t>
      </w:r>
      <w:r>
        <w:rPr>
          <w:rFonts w:ascii="Times New Roman" w:hAnsi="Times New Roman" w:cs="Times New Roman"/>
          <w:b/>
          <w:color w:val="auto"/>
          <w:sz w:val="32"/>
          <w:highlight w:val="none"/>
        </w:rPr>
        <w:fldChar w:fldCharType="end"/>
      </w:r>
    </w:p>
    <w:p>
      <w:pPr>
        <w:adjustRightInd w:val="0"/>
        <w:snapToGrid w:val="0"/>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rPr>
        <w:fldChar w:fldCharType="begin"/>
      </w:r>
      <w:r>
        <w:rPr>
          <w:rFonts w:ascii="Times New Roman" w:hAnsi="Times New Roman" w:cs="Times New Roman"/>
          <w:b/>
          <w:color w:val="auto"/>
          <w:sz w:val="32"/>
          <w:highlight w:val="none"/>
        </w:rPr>
        <w:instrText xml:space="preserve"> DOCVARIABLE  基本信息_项目年度中文  \* MERGEFORMAT </w:instrText>
      </w:r>
      <w:r>
        <w:rPr>
          <w:rFonts w:ascii="Times New Roman" w:hAnsi="Times New Roman" w:cs="Times New Roman"/>
          <w:b/>
          <w:color w:val="auto"/>
          <w:sz w:val="32"/>
          <w:highlight w:val="none"/>
        </w:rPr>
        <w:fldChar w:fldCharType="separate"/>
      </w:r>
      <w:r>
        <w:rPr>
          <w:rFonts w:hint="eastAsia" w:ascii="Times New Roman" w:hAnsi="Times New Roman" w:cs="Times New Roman"/>
          <w:b/>
          <w:color w:val="auto"/>
          <w:sz w:val="32"/>
          <w:highlight w:val="none"/>
        </w:rPr>
        <w:t>二○二四年度</w:t>
      </w:r>
      <w:r>
        <w:rPr>
          <w:rFonts w:ascii="Times New Roman" w:hAnsi="Times New Roman" w:cs="Times New Roman"/>
          <w:b/>
          <w:color w:val="auto"/>
          <w:sz w:val="32"/>
          <w:highlight w:val="none"/>
        </w:rPr>
        <w:fldChar w:fldCharType="end"/>
      </w:r>
      <w:r>
        <w:rPr>
          <w:rFonts w:ascii="Times New Roman" w:hAnsi="Times New Roman" w:cs="Times New Roman"/>
          <w:b/>
          <w:color w:val="auto"/>
          <w:sz w:val="32"/>
          <w:highlight w:val="none"/>
        </w:rPr>
        <w:t>财务报表附注</w:t>
      </w:r>
    </w:p>
    <w:p>
      <w:pPr>
        <w:adjustRightInd w:val="0"/>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（除特别注明外，本附注金额单位均为人民币元）</w:t>
      </w:r>
    </w:p>
    <w:p>
      <w:pPr>
        <w:pStyle w:val="38"/>
        <w:rPr>
          <w:color w:val="auto"/>
          <w:highlight w:val="none"/>
        </w:rPr>
      </w:pPr>
    </w:p>
    <w:p>
      <w:pPr>
        <w:pStyle w:val="43"/>
        <w:rPr>
          <w:color w:val="auto"/>
          <w:highlight w:val="none"/>
        </w:rPr>
      </w:pPr>
      <w:r>
        <w:rPr>
          <w:rFonts w:hint="eastAsia"/>
          <w:color w:val="auto"/>
          <w:highlight w:val="none"/>
        </w:rPr>
        <w:t>企业的</w:t>
      </w:r>
      <w:r>
        <w:rPr>
          <w:color w:val="auto"/>
          <w:highlight w:val="none"/>
        </w:rPr>
        <w:t>基本情况</w:t>
      </w:r>
    </w:p>
    <w:p>
      <w:pPr>
        <w:pStyle w:val="37"/>
        <w:rPr>
          <w:rFonts w:eastAsiaTheme="minorEastAsia"/>
          <w:color w:val="auto"/>
          <w:highlight w:val="none"/>
        </w:rPr>
      </w:pPr>
      <w:r>
        <w:rPr>
          <w:color w:val="auto"/>
          <w:highlight w:val="none"/>
        </w:rPr>
        <w:t>企业历史沿革</w:t>
      </w:r>
      <w:r>
        <w:rPr>
          <w:rFonts w:hint="eastAsia"/>
          <w:color w:val="auto"/>
          <w:highlight w:val="none"/>
        </w:rPr>
        <w:t>、</w:t>
      </w:r>
      <w:r>
        <w:rPr>
          <w:color w:val="auto"/>
          <w:highlight w:val="none"/>
        </w:rPr>
        <w:t>注册地、组织形式和总部地址</w:t>
      </w:r>
    </w:p>
    <w:p>
      <w:pPr>
        <w:pStyle w:val="38"/>
        <w:rPr>
          <w:rFonts w:eastAsiaTheme="minorEastAsia"/>
          <w:color w:val="auto"/>
          <w:highlight w:val="none"/>
        </w:rPr>
      </w:pPr>
      <w:r>
        <w:rPr>
          <w:rFonts w:hint="eastAsia" w:eastAsiaTheme="minorEastAsia"/>
          <w:color w:val="auto"/>
          <w:highlight w:val="none"/>
        </w:rPr>
        <w:t>国家电投集团贵州金元股份有限公司（以下简称“公司”或“本公司”）于2000年11月6日成立，原注册资本60,000.00万元，企业性质：有限责任公司。2002年经贵州省政府批准变更为股份有限公司。2004年增资扩股后注册资本增加到200,000.00万元。2008年国家电力投资集团有限公司向本公司增资扩股300,000.00万股，注册资本增加到500,000.00万元，2009年度本公司对自然人股东持股合计83,702.80万元的股份进行了回购，股权回购后本公司2009年12月31日的实收资本为416,297.20万元。2010年4月本公司根据财政部文件财企[2009]384号《财政部关于下达中国电力投资集团公司2009年中央国有资本经营预算专项（拨款）的通知》的要求，将国家电力投资集团有限公司拨付的节能减排资金9,780.00万元作为国家电力投资集团有限公司对本公司的增资；2010年6月本公司根据中共中国南方电网有限责任公司党组纪检文件，南方电网纪[2010]6号《关于对贵州金元案所涉及王和同志违纪所得进行处理的通知》要求，对自然人96.00万元股权进行了回购。2012年12月份，根据股东会决议，贵州省国有资产监督管理委员会增加投资114,310.74万元，工商变更登记后的注册资本为540,291.94万元。2012年12月，根据财政部文件财企[2012]390号《财政部关于下达2012年中央国有资本经营预算节能减排资金预算（拨款）的通知》的要求，本公司将国家电力投资集团有限公司拨付的节能减排资金9,532.00万元作为国家电力投资集团有限公司对本公司的增资，股权变动后的实收资本为549,823.94万元，2013年根据年度股东大会决议和修改后章程的规定，本公司减少注册资本人民币80,592.40万元，变更后的实收资本为469,231.54万元，其中：国家电力投资集团有限公司占68.05%，贵州盘江煤电集团有限责任公司占25.21%，自然人股东占6.74%。2022年6月，国家电力投资集团有限公司对本公司增资120,000.00万元。截至2024年12月31日，由于少数股东尚未履行完成出资程序，本公司将国家电力投资集团有限公司2022年增资款120,000.00万元由实收资本暂调整列报至资本公积。</w:t>
      </w:r>
    </w:p>
    <w:p>
      <w:pPr>
        <w:pStyle w:val="38"/>
        <w:rPr>
          <w:rFonts w:eastAsiaTheme="minorEastAsia"/>
          <w:color w:val="auto"/>
          <w:highlight w:val="none"/>
        </w:rPr>
      </w:pPr>
      <w:r>
        <w:rPr>
          <w:rFonts w:hint="eastAsia" w:eastAsiaTheme="minorEastAsia"/>
          <w:color w:val="auto"/>
          <w:highlight w:val="none"/>
        </w:rPr>
        <w:t>统一社会信用代码：91520000722102789A；注册资本：469,231.54万元；法定代表人：朱绍纯。截至2024年12月31日，公司实收资本469,231.54万元。</w:t>
      </w:r>
    </w:p>
    <w:p>
      <w:pPr>
        <w:pStyle w:val="38"/>
        <w:rPr>
          <w:rFonts w:eastAsiaTheme="minorEastAsia"/>
          <w:color w:val="auto"/>
          <w:highlight w:val="none"/>
        </w:rPr>
      </w:pPr>
      <w:r>
        <w:rPr>
          <w:rFonts w:hint="eastAsia" w:eastAsiaTheme="minorEastAsia"/>
          <w:color w:val="auto"/>
          <w:highlight w:val="none"/>
        </w:rPr>
        <w:t>公司注册地：贵州省贵阳市观山湖区金阳北路296号；</w:t>
      </w:r>
    </w:p>
    <w:p>
      <w:pPr>
        <w:pStyle w:val="38"/>
        <w:rPr>
          <w:rFonts w:eastAsiaTheme="minorEastAsia"/>
          <w:color w:val="auto"/>
          <w:highlight w:val="none"/>
        </w:rPr>
      </w:pPr>
      <w:r>
        <w:rPr>
          <w:rFonts w:hint="eastAsia" w:eastAsiaTheme="minorEastAsia"/>
          <w:color w:val="auto"/>
          <w:highlight w:val="none"/>
        </w:rPr>
        <w:t>总部地址：贵州省贵阳市观山湖区金阳北路296号；</w:t>
      </w:r>
    </w:p>
    <w:p>
      <w:pPr>
        <w:pStyle w:val="38"/>
        <w:rPr>
          <w:rFonts w:hint="eastAsia" w:eastAsiaTheme="minorEastAsia"/>
          <w:color w:val="auto"/>
          <w:highlight w:val="none"/>
        </w:rPr>
      </w:pPr>
      <w:r>
        <w:rPr>
          <w:rFonts w:hint="eastAsia" w:eastAsiaTheme="minorEastAsia"/>
          <w:color w:val="auto"/>
          <w:highlight w:val="none"/>
        </w:rPr>
        <w:t>公司组织形式：公司内部下设九个综合管理部门、六个专业管理部门、六个监督保障部门，具体包括办公室、战略规划与发展部、人力资源部（体改办）、计划与财务部、资本市场与股权部、科技信息管理部、物资与采购部、政策与法律部、工程管理部、火电生产技术管理部、水电部、新能源部、煤炭部、市场营销与燃料管理部、综合智慧能源部、党建部、安全质量环保部、审计与内控部、纪委办公室、党委巡查工作办公室、群团工作部（工会办公室）。</w:t>
      </w:r>
    </w:p>
    <w:p>
      <w:pPr>
        <w:pStyle w:val="38"/>
        <w:rPr>
          <w:rFonts w:eastAsiaTheme="minorEastAsia"/>
          <w:color w:val="auto"/>
          <w:highlight w:val="none"/>
        </w:rPr>
      </w:pPr>
    </w:p>
    <w:p>
      <w:pPr>
        <w:pStyle w:val="37"/>
        <w:rPr>
          <w:rFonts w:eastAsiaTheme="minorEastAsia"/>
          <w:color w:val="auto"/>
          <w:highlight w:val="none"/>
        </w:rPr>
      </w:pPr>
      <w:r>
        <w:rPr>
          <w:rFonts w:hint="eastAsia"/>
          <w:color w:val="auto"/>
          <w:highlight w:val="none"/>
        </w:rPr>
        <w:t>企业的业务性质和主要经营活动</w:t>
      </w:r>
    </w:p>
    <w:p>
      <w:pPr>
        <w:pStyle w:val="38"/>
        <w:rPr>
          <w:color w:val="auto"/>
          <w:highlight w:val="none"/>
        </w:rPr>
      </w:pPr>
      <w:r>
        <w:rPr>
          <w:rFonts w:hint="eastAsia"/>
          <w:color w:val="auto"/>
          <w:highlight w:val="none"/>
        </w:rPr>
        <w:t>公司经营范围：从事电力生产、供应、检修；电力建设、与其他产业的横向联合以及第三产业；电力物资的批零兼营；电力投资，投资业务（除金融和证券投资以外）。</w:t>
      </w:r>
    </w:p>
    <w:p>
      <w:pPr>
        <w:pStyle w:val="38"/>
        <w:rPr>
          <w:rFonts w:eastAsiaTheme="minorEastAsia"/>
          <w:color w:val="auto"/>
          <w:highlight w:val="none"/>
        </w:rPr>
      </w:pPr>
    </w:p>
    <w:p>
      <w:pPr>
        <w:pStyle w:val="37"/>
        <w:rPr>
          <w:color w:val="auto"/>
          <w:highlight w:val="none"/>
        </w:rPr>
      </w:pPr>
      <w:r>
        <w:rPr>
          <w:color w:val="auto"/>
          <w:highlight w:val="none"/>
        </w:rPr>
        <w:t>母公司</w:t>
      </w:r>
      <w:r>
        <w:rPr>
          <w:rFonts w:hint="eastAsia"/>
          <w:color w:val="auto"/>
          <w:highlight w:val="none"/>
        </w:rPr>
        <w:t>以及</w:t>
      </w:r>
      <w:r>
        <w:rPr>
          <w:color w:val="auto"/>
          <w:highlight w:val="none"/>
        </w:rPr>
        <w:t>集团总部的名称</w:t>
      </w:r>
    </w:p>
    <w:p>
      <w:pPr>
        <w:pStyle w:val="38"/>
        <w:rPr>
          <w:color w:val="auto"/>
          <w:highlight w:val="none"/>
        </w:rPr>
      </w:pPr>
      <w:r>
        <w:rPr>
          <w:rFonts w:hint="eastAsia"/>
          <w:color w:val="auto"/>
          <w:highlight w:val="none"/>
        </w:rPr>
        <w:t>本公司的母公司为国家电力投资集团有限公司。</w:t>
      </w:r>
    </w:p>
    <w:p>
      <w:pPr>
        <w:pStyle w:val="38"/>
        <w:rPr>
          <w:color w:val="auto"/>
          <w:highlight w:val="none"/>
        </w:rPr>
      </w:pPr>
    </w:p>
    <w:p>
      <w:pPr>
        <w:pStyle w:val="37"/>
        <w:rPr>
          <w:color w:val="auto"/>
          <w:highlight w:val="none"/>
        </w:rPr>
      </w:pPr>
      <w:r>
        <w:rPr>
          <w:rFonts w:hint="eastAsia"/>
          <w:color w:val="auto"/>
          <w:highlight w:val="none"/>
        </w:rPr>
        <w:t>财务报告的批准报出者和财务报告批准报出日</w:t>
      </w:r>
    </w:p>
    <w:p>
      <w:pPr>
        <w:pStyle w:val="38"/>
        <w:rPr>
          <w:color w:val="auto"/>
          <w:highlight w:val="none"/>
        </w:rPr>
      </w:pPr>
      <w:r>
        <w:rPr>
          <w:rFonts w:hint="eastAsia"/>
          <w:color w:val="auto"/>
          <w:highlight w:val="none"/>
        </w:rPr>
        <w:t>本公司财务报告经公司于2025年4月25日批准报出。</w:t>
      </w:r>
    </w:p>
    <w:p>
      <w:pPr>
        <w:pStyle w:val="38"/>
        <w:rPr>
          <w:color w:val="auto"/>
          <w:highlight w:val="none"/>
        </w:rPr>
      </w:pPr>
    </w:p>
    <w:p>
      <w:pPr>
        <w:pStyle w:val="37"/>
        <w:rPr>
          <w:color w:val="auto"/>
          <w:highlight w:val="none"/>
        </w:rPr>
      </w:pPr>
      <w:r>
        <w:rPr>
          <w:rFonts w:hint="eastAsia"/>
          <w:color w:val="auto"/>
          <w:highlight w:val="none"/>
        </w:rPr>
        <w:t>营业期限</w:t>
      </w:r>
    </w:p>
    <w:p>
      <w:pPr>
        <w:pStyle w:val="38"/>
        <w:rPr>
          <w:color w:val="auto"/>
          <w:highlight w:val="none"/>
        </w:rPr>
      </w:pPr>
      <w:r>
        <w:rPr>
          <w:rFonts w:hint="eastAsia"/>
          <w:color w:val="auto"/>
          <w:highlight w:val="none"/>
        </w:rPr>
        <w:t>本公司的营业期限为：2000年11月6日至无固定期限。</w:t>
      </w:r>
    </w:p>
    <w:p>
      <w:pPr>
        <w:pStyle w:val="38"/>
        <w:rPr>
          <w:rFonts w:eastAsiaTheme="minorEastAsia"/>
          <w:color w:val="auto"/>
          <w:highlight w:val="none"/>
        </w:rPr>
      </w:pPr>
    </w:p>
    <w:p>
      <w:pPr>
        <w:pStyle w:val="43"/>
        <w:rPr>
          <w:rFonts w:eastAsiaTheme="minorEastAsia"/>
          <w:color w:val="auto"/>
          <w:highlight w:val="none"/>
        </w:rPr>
      </w:pPr>
      <w:r>
        <w:rPr>
          <w:rFonts w:eastAsiaTheme="minorEastAsia"/>
          <w:color w:val="auto"/>
          <w:highlight w:val="none"/>
        </w:rPr>
        <w:t>财务报表的编制基础</w:t>
      </w:r>
    </w:p>
    <w:p>
      <w:pPr>
        <w:pStyle w:val="38"/>
        <w:rPr>
          <w:color w:val="auto"/>
          <w:highlight w:val="none"/>
        </w:rPr>
      </w:pPr>
      <w:r>
        <w:rPr>
          <w:color w:val="auto"/>
          <w:highlight w:val="none"/>
        </w:rPr>
        <w:t>本</w:t>
      </w:r>
      <w:r>
        <w:rPr>
          <w:rFonts w:hint="eastAsia"/>
          <w:color w:val="auto"/>
          <w:highlight w:val="none"/>
        </w:rPr>
        <w:t>财务</w:t>
      </w:r>
      <w:r>
        <w:rPr>
          <w:color w:val="auto"/>
          <w:highlight w:val="none"/>
        </w:rPr>
        <w:t>报表按照财政部颁布的《企业会计准则</w:t>
      </w:r>
      <w:r>
        <w:rPr>
          <w:rFonts w:hint="eastAsia"/>
          <w:color w:val="auto"/>
          <w:highlight w:val="none"/>
        </w:rPr>
        <w:t>——</w:t>
      </w:r>
      <w:r>
        <w:rPr>
          <w:color w:val="auto"/>
          <w:highlight w:val="none"/>
        </w:rPr>
        <w:t>基本准则》和</w:t>
      </w:r>
      <w:r>
        <w:rPr>
          <w:rFonts w:hint="eastAsia"/>
          <w:color w:val="auto"/>
          <w:highlight w:val="none"/>
        </w:rPr>
        <w:t>陆续颁布的各项</w:t>
      </w:r>
      <w:r>
        <w:rPr>
          <w:color w:val="auto"/>
          <w:highlight w:val="none"/>
        </w:rPr>
        <w:t>具体会计准则、企业会计准则应用指南、企业会计准则解释及其他相关规定</w:t>
      </w:r>
      <w:r>
        <w:rPr>
          <w:rFonts w:hint="eastAsia"/>
          <w:color w:val="auto"/>
          <w:highlight w:val="none"/>
        </w:rPr>
        <w:t>（以下合称</w:t>
      </w:r>
      <w:r>
        <w:rPr>
          <w:rFonts w:hint="eastAsia" w:ascii="宋体" w:hAnsi="宋体"/>
          <w:color w:val="auto"/>
          <w:highlight w:val="none"/>
        </w:rPr>
        <w:t>“</w:t>
      </w:r>
      <w:r>
        <w:rPr>
          <w:rFonts w:hint="eastAsia"/>
          <w:color w:val="auto"/>
          <w:highlight w:val="none"/>
        </w:rPr>
        <w:t>企业会计准则</w:t>
      </w:r>
      <w:r>
        <w:rPr>
          <w:rFonts w:hint="eastAsia" w:ascii="宋体" w:hAnsi="宋体"/>
          <w:color w:val="auto"/>
          <w:highlight w:val="none"/>
        </w:rPr>
        <w:t>”</w:t>
      </w:r>
      <w:r>
        <w:rPr>
          <w:rFonts w:hint="eastAsia"/>
          <w:color w:val="auto"/>
          <w:highlight w:val="none"/>
        </w:rPr>
        <w:t>）的相关规定编制。</w:t>
      </w:r>
    </w:p>
    <w:p>
      <w:pPr>
        <w:pStyle w:val="38"/>
        <w:rPr>
          <w:color w:val="auto"/>
          <w:highlight w:val="none"/>
        </w:rPr>
      </w:pPr>
      <w:r>
        <w:rPr>
          <w:color w:val="auto"/>
          <w:highlight w:val="none"/>
        </w:rPr>
        <w:t>本财务报表以持续经营为基础编制。</w:t>
      </w:r>
      <w:r>
        <w:rPr>
          <w:rFonts w:hint="eastAsia"/>
          <w:color w:val="auto"/>
          <w:highlight w:val="none"/>
        </w:rPr>
        <w:t>本公司自报告期末起12个月内具备持续经营能力，无影响持续经营能力的重大事项。</w:t>
      </w:r>
    </w:p>
    <w:p>
      <w:pPr>
        <w:pStyle w:val="38"/>
        <w:rPr>
          <w:color w:val="auto"/>
          <w:highlight w:val="none"/>
        </w:rPr>
      </w:pPr>
    </w:p>
    <w:p>
      <w:pPr>
        <w:pStyle w:val="43"/>
        <w:rPr>
          <w:color w:val="auto"/>
          <w:highlight w:val="none"/>
        </w:rPr>
      </w:pPr>
      <w:r>
        <w:rPr>
          <w:color w:val="auto"/>
          <w:highlight w:val="none"/>
        </w:rPr>
        <w:t>遵循企业会计准则的声明</w:t>
      </w:r>
    </w:p>
    <w:p>
      <w:pPr>
        <w:pStyle w:val="38"/>
        <w:rPr>
          <w:color w:val="auto"/>
          <w:highlight w:val="none"/>
        </w:rPr>
      </w:pPr>
      <w:r>
        <w:rPr>
          <w:color w:val="auto"/>
          <w:highlight w:val="none"/>
        </w:rPr>
        <w:t>本财务报表符合</w:t>
      </w:r>
      <w:r>
        <w:rPr>
          <w:rFonts w:hint="eastAsia"/>
          <w:color w:val="auto"/>
          <w:highlight w:val="none"/>
        </w:rPr>
        <w:t>财政部颁布的</w:t>
      </w:r>
      <w:r>
        <w:rPr>
          <w:color w:val="auto"/>
          <w:highlight w:val="none"/>
        </w:rPr>
        <w:t>企业会计准则的要求，真实、完整地反映了本公司</w:t>
      </w:r>
      <w:r>
        <w:rPr>
          <w:rFonts w:eastAsiaTheme="minorEastAsia"/>
          <w:color w:val="auto"/>
          <w:highlight w:val="none"/>
        </w:rPr>
        <w:fldChar w:fldCharType="begin"/>
      </w:r>
      <w:r>
        <w:rPr>
          <w:rFonts w:eastAsiaTheme="minorEastAsia"/>
          <w:color w:val="auto"/>
          <w:highlight w:val="none"/>
        </w:rPr>
        <w:instrText xml:space="preserve"> DOCVARIABLE  基本信息_资产负债表日  \* MERGEFORMAT </w:instrText>
      </w:r>
      <w:r>
        <w:rPr>
          <w:rFonts w:eastAsiaTheme="minorEastAsia"/>
          <w:color w:val="auto"/>
          <w:highlight w:val="none"/>
        </w:rPr>
        <w:fldChar w:fldCharType="separate"/>
      </w:r>
      <w:r>
        <w:rPr>
          <w:rFonts w:hint="eastAsia" w:eastAsiaTheme="minorEastAsia"/>
          <w:color w:val="auto"/>
          <w:highlight w:val="none"/>
        </w:rPr>
        <w:t>2024年12月31日</w:t>
      </w:r>
      <w:r>
        <w:rPr>
          <w:rFonts w:eastAsiaTheme="minorEastAsia"/>
          <w:color w:val="auto"/>
          <w:highlight w:val="none"/>
        </w:rPr>
        <w:fldChar w:fldCharType="end"/>
      </w:r>
      <w:r>
        <w:rPr>
          <w:color w:val="auto"/>
          <w:highlight w:val="none"/>
        </w:rPr>
        <w:t>的</w:t>
      </w:r>
      <w:r>
        <w:rPr>
          <w:rFonts w:hint="eastAsia"/>
          <w:color w:val="auto"/>
          <w:highlight w:val="none"/>
        </w:rPr>
        <w:t>合并及母公司</w:t>
      </w:r>
      <w:r>
        <w:rPr>
          <w:color w:val="auto"/>
          <w:highlight w:val="none"/>
        </w:rPr>
        <w:t>财务状况</w:t>
      </w:r>
      <w:r>
        <w:rPr>
          <w:rFonts w:hint="eastAsia"/>
          <w:color w:val="auto"/>
          <w:highlight w:val="none"/>
        </w:rPr>
        <w:t>以</w:t>
      </w:r>
      <w:r>
        <w:rPr>
          <w:color w:val="auto"/>
          <w:highlight w:val="none"/>
        </w:rPr>
        <w:t>及</w:t>
      </w:r>
      <w:r>
        <w:rPr>
          <w:rFonts w:eastAsiaTheme="minorEastAsia"/>
          <w:color w:val="auto"/>
          <w:highlight w:val="none"/>
        </w:rPr>
        <w:fldChar w:fldCharType="begin"/>
      </w:r>
      <w:r>
        <w:rPr>
          <w:rFonts w:eastAsiaTheme="minorEastAsia"/>
          <w:color w:val="auto"/>
          <w:highlight w:val="none"/>
        </w:rPr>
        <w:instrText xml:space="preserve"> DOCVARIABLE  基本信息_项目年度  \* MERGEFORMAT </w:instrText>
      </w:r>
      <w:r>
        <w:rPr>
          <w:rFonts w:eastAsiaTheme="minorEastAsia"/>
          <w:color w:val="auto"/>
          <w:highlight w:val="none"/>
        </w:rPr>
        <w:fldChar w:fldCharType="separate"/>
      </w:r>
      <w:r>
        <w:rPr>
          <w:rFonts w:hint="eastAsia" w:eastAsiaTheme="minorEastAsia"/>
          <w:color w:val="auto"/>
          <w:highlight w:val="none"/>
        </w:rPr>
        <w:t>2024年度</w:t>
      </w:r>
      <w:r>
        <w:rPr>
          <w:rFonts w:eastAsiaTheme="minorEastAsia"/>
          <w:color w:val="auto"/>
          <w:highlight w:val="none"/>
        </w:rPr>
        <w:fldChar w:fldCharType="end"/>
      </w:r>
      <w:r>
        <w:rPr>
          <w:rFonts w:hint="eastAsia"/>
          <w:color w:val="auto"/>
          <w:highlight w:val="none"/>
        </w:rPr>
        <w:t>合并及母公司</w:t>
      </w:r>
      <w:r>
        <w:rPr>
          <w:color w:val="auto"/>
          <w:highlight w:val="none"/>
        </w:rPr>
        <w:t>经营成果和现金流量。</w:t>
      </w:r>
    </w:p>
    <w:p>
      <w:pPr>
        <w:pStyle w:val="38"/>
        <w:rPr>
          <w:color w:val="auto"/>
          <w:highlight w:val="none"/>
        </w:rPr>
      </w:pPr>
    </w:p>
    <w:p>
      <w:pPr>
        <w:pStyle w:val="43"/>
        <w:rPr>
          <w:rFonts w:eastAsiaTheme="minorEastAsia"/>
          <w:color w:val="auto"/>
          <w:highlight w:val="none"/>
        </w:rPr>
      </w:pPr>
      <w:r>
        <w:rPr>
          <w:rFonts w:hint="eastAsia" w:eastAsiaTheme="minorEastAsia"/>
          <w:color w:val="auto"/>
          <w:highlight w:val="none"/>
        </w:rPr>
        <w:t>重要会计政策和会计估计</w:t>
      </w:r>
    </w:p>
    <w:p>
      <w:pPr>
        <w:pStyle w:val="38"/>
        <w:rPr>
          <w:color w:val="auto"/>
          <w:highlight w:val="none"/>
        </w:rPr>
      </w:pPr>
      <w:r>
        <w:rPr>
          <w:rFonts w:hint="eastAsia"/>
          <w:color w:val="auto"/>
          <w:highlight w:val="none"/>
        </w:rPr>
        <w:t>具体</w:t>
      </w:r>
      <w:r>
        <w:rPr>
          <w:color w:val="auto"/>
          <w:highlight w:val="none"/>
        </w:rPr>
        <w:t>会计政策和会计估计提示：</w:t>
      </w:r>
    </w:p>
    <w:p>
      <w:pPr>
        <w:pStyle w:val="38"/>
        <w:rPr>
          <w:color w:val="auto"/>
          <w:highlight w:val="none"/>
        </w:rPr>
      </w:pPr>
      <w:r>
        <w:rPr>
          <w:rFonts w:hint="eastAsia"/>
          <w:color w:val="auto"/>
          <w:highlight w:val="none"/>
        </w:rPr>
        <w:t>以下披露</w:t>
      </w:r>
      <w:r>
        <w:rPr>
          <w:color w:val="auto"/>
          <w:highlight w:val="none"/>
        </w:rPr>
        <w:t>内容</w:t>
      </w:r>
      <w:r>
        <w:rPr>
          <w:rFonts w:hint="eastAsia"/>
          <w:color w:val="auto"/>
          <w:highlight w:val="none"/>
        </w:rPr>
        <w:t>已涵盖了本公司根据实际生产经营特点制定的具体会计政策和会计估计。</w:t>
      </w:r>
    </w:p>
    <w:p>
      <w:pPr>
        <w:pStyle w:val="38"/>
        <w:spacing w:line="380" w:lineRule="atLeast"/>
        <w:rPr>
          <w:color w:val="auto"/>
          <w:highlight w:val="none"/>
        </w:rPr>
      </w:pPr>
    </w:p>
    <w:p>
      <w:pPr>
        <w:pStyle w:val="37"/>
        <w:spacing w:line="380" w:lineRule="atLeast"/>
        <w:rPr>
          <w:color w:val="auto"/>
          <w:highlight w:val="none"/>
        </w:rPr>
      </w:pPr>
      <w:r>
        <w:rPr>
          <w:color w:val="auto"/>
          <w:highlight w:val="none"/>
        </w:rPr>
        <w:t>会计期间</w:t>
      </w:r>
    </w:p>
    <w:p>
      <w:pPr>
        <w:pStyle w:val="38"/>
        <w:spacing w:line="380" w:lineRule="atLeast"/>
        <w:rPr>
          <w:color w:val="auto"/>
          <w:highlight w:val="none"/>
        </w:rPr>
      </w:pPr>
      <w:r>
        <w:rPr>
          <w:rFonts w:eastAsiaTheme="minorEastAsia"/>
          <w:color w:val="auto"/>
          <w:highlight w:val="none"/>
        </w:rPr>
        <w:t>自公历1月1日起至12月31日止为一个会计年度。</w:t>
      </w:r>
    </w:p>
    <w:p>
      <w:pPr>
        <w:pStyle w:val="38"/>
        <w:spacing w:line="380" w:lineRule="atLeast"/>
        <w:rPr>
          <w:rFonts w:eastAsiaTheme="minorEastAsia"/>
          <w:color w:val="auto"/>
          <w:highlight w:val="none"/>
        </w:rPr>
      </w:pPr>
    </w:p>
    <w:p>
      <w:pPr>
        <w:pStyle w:val="37"/>
        <w:spacing w:line="380" w:lineRule="atLeast"/>
        <w:rPr>
          <w:rFonts w:eastAsiaTheme="minorEastAsia"/>
          <w:color w:val="auto"/>
          <w:highlight w:val="none"/>
        </w:rPr>
      </w:pPr>
      <w:r>
        <w:rPr>
          <w:rFonts w:eastAsiaTheme="minorEastAsia"/>
          <w:color w:val="auto"/>
          <w:highlight w:val="none"/>
        </w:rPr>
        <w:t>记账本位币</w:t>
      </w:r>
    </w:p>
    <w:p>
      <w:pPr>
        <w:pStyle w:val="38"/>
        <w:spacing w:line="380" w:lineRule="atLeast"/>
        <w:rPr>
          <w:color w:val="auto"/>
          <w:highlight w:val="none"/>
        </w:rPr>
      </w:pPr>
      <w:r>
        <w:rPr>
          <w:color w:val="auto"/>
          <w:highlight w:val="none"/>
        </w:rPr>
        <w:t>本公司以人民币为记账本位币。</w:t>
      </w:r>
    </w:p>
    <w:p>
      <w:pPr>
        <w:pStyle w:val="38"/>
        <w:spacing w:line="380" w:lineRule="atLeast"/>
        <w:rPr>
          <w:color w:val="auto"/>
          <w:highlight w:val="none"/>
        </w:rPr>
      </w:pPr>
    </w:p>
    <w:p>
      <w:pPr>
        <w:pStyle w:val="37"/>
        <w:spacing w:line="380" w:lineRule="atLeast"/>
        <w:rPr>
          <w:rFonts w:eastAsiaTheme="minorEastAsia"/>
          <w:color w:val="auto"/>
          <w:highlight w:val="none"/>
        </w:rPr>
      </w:pPr>
      <w:r>
        <w:rPr>
          <w:color w:val="auto"/>
          <w:highlight w:val="none"/>
        </w:rPr>
        <w:t>记账基础和计价原则</w:t>
      </w:r>
    </w:p>
    <w:p>
      <w:pPr>
        <w:pStyle w:val="38"/>
        <w:spacing w:line="380" w:lineRule="atLeast"/>
        <w:rPr>
          <w:rFonts w:hint="eastAsia"/>
          <w:color w:val="auto"/>
          <w:highlight w:val="none"/>
        </w:rPr>
      </w:pPr>
      <w:r>
        <w:rPr>
          <w:color w:val="auto"/>
          <w:highlight w:val="none"/>
        </w:rPr>
        <w:t>会计核算以权责发生制为基础，除特别说明的计价基础外，均以历史成本为计价原则。</w:t>
      </w:r>
    </w:p>
    <w:p>
      <w:pPr>
        <w:pStyle w:val="38"/>
        <w:spacing w:line="380" w:lineRule="atLeast"/>
        <w:rPr>
          <w:color w:val="auto"/>
          <w:highlight w:val="none"/>
        </w:rPr>
      </w:pPr>
    </w:p>
    <w:p>
      <w:pPr>
        <w:pStyle w:val="37"/>
        <w:spacing w:line="380" w:lineRule="atLeast"/>
        <w:rPr>
          <w:rFonts w:eastAsiaTheme="minorEastAsia"/>
          <w:color w:val="auto"/>
          <w:highlight w:val="none"/>
        </w:rPr>
      </w:pPr>
      <w:r>
        <w:rPr>
          <w:rFonts w:hint="eastAsia" w:eastAsiaTheme="minorEastAsia"/>
          <w:color w:val="auto"/>
          <w:highlight w:val="none"/>
        </w:rPr>
        <w:t>企业合并</w:t>
      </w:r>
    </w:p>
    <w:p>
      <w:pPr>
        <w:pStyle w:val="38"/>
        <w:spacing w:line="380" w:lineRule="atLeast"/>
        <w:rPr>
          <w:color w:val="auto"/>
          <w:highlight w:val="none"/>
        </w:rPr>
      </w:pPr>
      <w:r>
        <w:rPr>
          <w:rFonts w:hint="eastAsia"/>
          <w:color w:val="auto"/>
          <w:highlight w:val="none"/>
        </w:rPr>
        <w:t>企业合并分为同一控制下的企业合并和非同一控制下的企业合并。</w:t>
      </w:r>
    </w:p>
    <w:p>
      <w:pPr>
        <w:pStyle w:val="44"/>
        <w:spacing w:line="380" w:lineRule="atLeast"/>
        <w:rPr>
          <w:color w:val="auto"/>
          <w:highlight w:val="none"/>
        </w:rPr>
      </w:pPr>
      <w:r>
        <w:rPr>
          <w:rFonts w:hint="eastAsia"/>
          <w:color w:val="auto"/>
          <w:highlight w:val="none"/>
        </w:rPr>
        <w:t>同一控制下的企业合并</w:t>
      </w:r>
    </w:p>
    <w:p>
      <w:pPr>
        <w:pStyle w:val="35"/>
        <w:spacing w:line="380" w:lineRule="atLeast"/>
        <w:rPr>
          <w:color w:val="auto"/>
          <w:highlight w:val="none"/>
        </w:rPr>
      </w:pPr>
      <w:r>
        <w:rPr>
          <w:rFonts w:hint="eastAsia"/>
          <w:color w:val="auto"/>
          <w:highlight w:val="none"/>
        </w:rPr>
        <w:t>合并方在企业合并中取得的资产和负债（包括最终控制方收购被合并方而形成的商誉），按照合并日被合并方的资产和负债在最终控制方财务报表中的账面价值为基础计量。被合并各方采用的会计政策与合并方不一致的，合并方在合并日按照本公司会计政策进行调整，在此基础上按照调整后的账面价值确认。</w:t>
      </w:r>
    </w:p>
    <w:p>
      <w:pPr>
        <w:pStyle w:val="35"/>
        <w:spacing w:line="380" w:lineRule="atLeast"/>
        <w:rPr>
          <w:color w:val="auto"/>
          <w:highlight w:val="none"/>
        </w:rPr>
      </w:pPr>
      <w:r>
        <w:rPr>
          <w:rFonts w:hint="eastAsia"/>
          <w:color w:val="auto"/>
          <w:highlight w:val="none"/>
        </w:rPr>
        <w:t>在合并中取得的净资产账面价值与支付的合并对价账面价值（或发行股份面值总额）的差额，调整资本公积中的股本溢价，资本公积中的股本溢价不足冲减的，调整留存收益。</w:t>
      </w:r>
    </w:p>
    <w:p>
      <w:pPr>
        <w:pStyle w:val="35"/>
        <w:spacing w:line="380" w:lineRule="atLeast"/>
        <w:rPr>
          <w:color w:val="auto"/>
          <w:highlight w:val="none"/>
        </w:rPr>
      </w:pPr>
      <w:r>
        <w:rPr>
          <w:rFonts w:hint="eastAsia"/>
          <w:color w:val="auto"/>
          <w:highlight w:val="none"/>
        </w:rPr>
        <w:t>为进行企业合并而发生的各项直接相关费用于发生时计入当期损益。</w:t>
      </w:r>
    </w:p>
    <w:p>
      <w:pPr>
        <w:pStyle w:val="35"/>
        <w:spacing w:line="380" w:lineRule="atLeast"/>
        <w:rPr>
          <w:color w:val="auto"/>
          <w:highlight w:val="none"/>
        </w:rPr>
      </w:pPr>
      <w:r>
        <w:rPr>
          <w:rFonts w:hint="eastAsia"/>
          <w:color w:val="auto"/>
          <w:highlight w:val="none"/>
        </w:rPr>
        <w:t>为企业合并发行的债券或承担其他债务支付的手续费、佣金等，计入所发行债券及其他债务的初始计量金额。企业合并中发行权益性证券发生的手续费、佣金等，抵减权益性证券溢价收入，溢价收入不足冲减的，冲减留存收益。</w:t>
      </w:r>
    </w:p>
    <w:p>
      <w:pPr>
        <w:pStyle w:val="35"/>
        <w:spacing w:line="380" w:lineRule="atLeast"/>
        <w:rPr>
          <w:color w:val="auto"/>
          <w:highlight w:val="none"/>
        </w:rPr>
      </w:pPr>
    </w:p>
    <w:p>
      <w:pPr>
        <w:pStyle w:val="44"/>
        <w:spacing w:line="380" w:lineRule="atLeast"/>
        <w:rPr>
          <w:color w:val="auto"/>
          <w:highlight w:val="none"/>
        </w:rPr>
      </w:pPr>
      <w:r>
        <w:rPr>
          <w:rFonts w:hint="eastAsia"/>
          <w:color w:val="auto"/>
          <w:highlight w:val="none"/>
        </w:rPr>
        <w:t>非同一控制下的企业合并</w:t>
      </w:r>
    </w:p>
    <w:p>
      <w:pPr>
        <w:pStyle w:val="35"/>
        <w:spacing w:line="380" w:lineRule="atLeast"/>
        <w:rPr>
          <w:rFonts w:eastAsiaTheme="minorEastAsia"/>
          <w:color w:val="auto"/>
          <w:highlight w:val="none"/>
        </w:rPr>
      </w:pPr>
      <w:r>
        <w:rPr>
          <w:rFonts w:hint="eastAsia" w:eastAsiaTheme="minorEastAsia"/>
          <w:color w:val="auto"/>
          <w:highlight w:val="none"/>
        </w:rPr>
        <w:t>购买方在购买日对作为企业合并对价付出的资产、发生或承担的负债按照公允价值计量，公允价值与其账面价值的差额，计入当期损益。合并成本大于合并中取得的被购买方可辨认净资产公允价值份额的差额，确认为商誉；合并成本小于合并中取得的被购买方可辨认净资产公允价值份额的差额，计入当期损益。在合并中取得的被购买方符合确认条件的各项可辨认资产、负债及或有负债在购买日按公允价值计量。公允价值的计量详见</w:t>
      </w:r>
      <w:r>
        <w:rPr>
          <w:rFonts w:hint="eastAsia"/>
          <w:color w:val="auto"/>
          <w:highlight w:val="none"/>
        </w:rPr>
        <w:t>本附注</w:t>
      </w:r>
      <w:r>
        <w:rPr>
          <w:rFonts w:hint="eastAsia" w:ascii="宋体" w:hAnsi="宋体"/>
          <w:color w:val="auto"/>
          <w:highlight w:val="none"/>
        </w:rPr>
        <w:t>“</w:t>
      </w:r>
      <w:r>
        <w:rPr>
          <w:rFonts w:hint="eastAsia"/>
          <w:color w:val="auto"/>
          <w:highlight w:val="none"/>
        </w:rPr>
        <w:t>四、（三十）公允价值计量</w:t>
      </w:r>
      <w:r>
        <w:rPr>
          <w:rFonts w:hint="eastAsia" w:ascii="宋体" w:hAnsi="宋体"/>
          <w:color w:val="auto"/>
          <w:highlight w:val="none"/>
        </w:rPr>
        <w:t>”。</w:t>
      </w:r>
    </w:p>
    <w:p>
      <w:pPr>
        <w:pStyle w:val="35"/>
        <w:rPr>
          <w:rFonts w:eastAsiaTheme="minorEastAsia"/>
          <w:color w:val="auto"/>
          <w:highlight w:val="none"/>
        </w:rPr>
      </w:pPr>
      <w:r>
        <w:rPr>
          <w:rFonts w:hint="eastAsia" w:eastAsiaTheme="minorEastAsia"/>
          <w:color w:val="auto"/>
          <w:highlight w:val="none"/>
        </w:rPr>
        <w:t>非同一控制下企业合并，购买方为企业合并发生的直接相关费用于发生时计入当期损益；为企业合并而发行权益性证券或债务性证券的交易费用，计入权益性证券或债务性证券的初始确认金额。</w:t>
      </w:r>
    </w:p>
    <w:p>
      <w:pPr>
        <w:pStyle w:val="35"/>
        <w:rPr>
          <w:rFonts w:eastAsiaTheme="minorEastAsia"/>
          <w:color w:val="auto"/>
          <w:highlight w:val="none"/>
        </w:rPr>
      </w:pPr>
    </w:p>
    <w:p>
      <w:pPr>
        <w:pStyle w:val="35"/>
        <w:rPr>
          <w:rFonts w:eastAsiaTheme="minorEastAsia"/>
          <w:b/>
          <w:color w:val="auto"/>
          <w:highlight w:val="none"/>
        </w:rPr>
      </w:pPr>
      <w:r>
        <w:rPr>
          <w:rFonts w:hint="eastAsia" w:eastAsiaTheme="minorEastAsia"/>
          <w:color w:val="auto"/>
          <w:highlight w:val="none"/>
        </w:rPr>
        <w:t>购买日，是指购买方实际取得对被购买方控制权的日期。</w:t>
      </w:r>
    </w:p>
    <w:p>
      <w:pPr>
        <w:pStyle w:val="35"/>
        <w:rPr>
          <w:rFonts w:eastAsiaTheme="minorEastAsia"/>
          <w:color w:val="auto"/>
          <w:highlight w:val="none"/>
        </w:rPr>
      </w:pPr>
      <w:r>
        <w:rPr>
          <w:rFonts w:hint="eastAsia" w:eastAsiaTheme="minorEastAsia"/>
          <w:color w:val="auto"/>
          <w:highlight w:val="none"/>
        </w:rPr>
        <w:t>同时满足以下条件的，通常可以判断实现了控制权的转移：</w:t>
      </w:r>
    </w:p>
    <w:p>
      <w:pPr>
        <w:pStyle w:val="35"/>
        <w:rPr>
          <w:rFonts w:eastAsiaTheme="minorEastAsia"/>
          <w:color w:val="auto"/>
          <w:highlight w:val="none"/>
        </w:rPr>
      </w:pPr>
      <w:r>
        <w:rPr>
          <w:rFonts w:hint="eastAsia" w:eastAsiaTheme="minorEastAsia"/>
          <w:color w:val="auto"/>
          <w:highlight w:val="none"/>
        </w:rPr>
        <w:t>1）</w:t>
      </w:r>
      <w:r>
        <w:rPr>
          <w:rFonts w:hint="eastAsia" w:eastAsiaTheme="minorEastAsia"/>
          <w:color w:val="auto"/>
          <w:highlight w:val="none"/>
        </w:rPr>
        <w:tab/>
      </w:r>
      <w:r>
        <w:rPr>
          <w:rFonts w:hint="eastAsia" w:eastAsiaTheme="minorEastAsia"/>
          <w:color w:val="auto"/>
          <w:highlight w:val="none"/>
        </w:rPr>
        <w:t>企业合并合同或协议已获股东大会等内部权力机构审批通过；</w:t>
      </w:r>
    </w:p>
    <w:p>
      <w:pPr>
        <w:pStyle w:val="35"/>
        <w:rPr>
          <w:rFonts w:eastAsiaTheme="minorEastAsia"/>
          <w:color w:val="auto"/>
          <w:highlight w:val="none"/>
        </w:rPr>
      </w:pPr>
      <w:r>
        <w:rPr>
          <w:rFonts w:hint="eastAsia" w:eastAsiaTheme="minorEastAsia"/>
          <w:color w:val="auto"/>
          <w:highlight w:val="none"/>
        </w:rPr>
        <w:t>2）</w:t>
      </w:r>
      <w:r>
        <w:rPr>
          <w:rFonts w:hint="eastAsia" w:eastAsiaTheme="minorEastAsia"/>
          <w:color w:val="auto"/>
          <w:highlight w:val="none"/>
        </w:rPr>
        <w:tab/>
      </w:r>
      <w:r>
        <w:rPr>
          <w:rFonts w:hint="eastAsia" w:eastAsiaTheme="minorEastAsia"/>
          <w:color w:val="auto"/>
          <w:highlight w:val="none"/>
        </w:rPr>
        <w:t>企业合并事项需经国家有关主管部门审批的，已获得批准；</w:t>
      </w:r>
    </w:p>
    <w:p>
      <w:pPr>
        <w:pStyle w:val="35"/>
        <w:rPr>
          <w:rFonts w:eastAsiaTheme="minorEastAsia"/>
          <w:color w:val="auto"/>
          <w:highlight w:val="none"/>
        </w:rPr>
      </w:pPr>
      <w:r>
        <w:rPr>
          <w:rFonts w:hint="eastAsia" w:eastAsiaTheme="minorEastAsia"/>
          <w:color w:val="auto"/>
          <w:highlight w:val="none"/>
        </w:rPr>
        <w:t>3）</w:t>
      </w:r>
      <w:r>
        <w:rPr>
          <w:rFonts w:hint="eastAsia" w:eastAsiaTheme="minorEastAsia"/>
          <w:color w:val="auto"/>
          <w:highlight w:val="none"/>
        </w:rPr>
        <w:tab/>
      </w:r>
      <w:r>
        <w:rPr>
          <w:rFonts w:hint="eastAsia" w:eastAsiaTheme="minorEastAsia"/>
          <w:color w:val="auto"/>
          <w:highlight w:val="none"/>
        </w:rPr>
        <w:t>参与合并各方已办理了必要的财产权交接手续；</w:t>
      </w:r>
    </w:p>
    <w:p>
      <w:pPr>
        <w:pStyle w:val="35"/>
        <w:rPr>
          <w:rFonts w:eastAsiaTheme="minorEastAsia"/>
          <w:color w:val="auto"/>
          <w:highlight w:val="none"/>
        </w:rPr>
      </w:pPr>
      <w:r>
        <w:rPr>
          <w:rFonts w:hint="eastAsia" w:eastAsiaTheme="minorEastAsia"/>
          <w:color w:val="auto"/>
          <w:highlight w:val="none"/>
        </w:rPr>
        <w:t>4）</w:t>
      </w:r>
      <w:r>
        <w:rPr>
          <w:rFonts w:hint="eastAsia" w:eastAsiaTheme="minorEastAsia"/>
          <w:color w:val="auto"/>
          <w:highlight w:val="none"/>
        </w:rPr>
        <w:tab/>
      </w:r>
      <w:r>
        <w:rPr>
          <w:rFonts w:hint="eastAsia" w:eastAsiaTheme="minorEastAsia"/>
          <w:color w:val="auto"/>
          <w:highlight w:val="none"/>
        </w:rPr>
        <w:t>购买方已支付了合并价款的大部分（一般超过50%），并有能力、有计划支付剩余款项；</w:t>
      </w:r>
    </w:p>
    <w:p>
      <w:pPr>
        <w:pStyle w:val="35"/>
        <w:rPr>
          <w:rFonts w:eastAsiaTheme="minorEastAsia"/>
          <w:color w:val="auto"/>
          <w:highlight w:val="none"/>
        </w:rPr>
      </w:pPr>
      <w:r>
        <w:rPr>
          <w:rFonts w:hint="eastAsia" w:eastAsiaTheme="minorEastAsia"/>
          <w:color w:val="auto"/>
          <w:highlight w:val="none"/>
        </w:rPr>
        <w:t>5）</w:t>
      </w:r>
      <w:r>
        <w:rPr>
          <w:rFonts w:hint="eastAsia" w:eastAsiaTheme="minorEastAsia"/>
          <w:color w:val="auto"/>
          <w:highlight w:val="none"/>
        </w:rPr>
        <w:tab/>
      </w:r>
      <w:r>
        <w:rPr>
          <w:rFonts w:hint="eastAsia" w:eastAsiaTheme="minorEastAsia"/>
          <w:color w:val="auto"/>
          <w:highlight w:val="none"/>
        </w:rPr>
        <w:t>购买方实际上已经控制了被购买方的财务和经营政策，并享有相应的收益、承担相应的风险。</w:t>
      </w:r>
    </w:p>
    <w:p>
      <w:pPr>
        <w:pStyle w:val="35"/>
        <w:rPr>
          <w:rFonts w:eastAsiaTheme="minorEastAsia"/>
          <w:color w:val="auto"/>
          <w:highlight w:val="none"/>
        </w:rPr>
      </w:pPr>
      <w:r>
        <w:rPr>
          <w:rFonts w:hint="eastAsia" w:eastAsiaTheme="minorEastAsia"/>
          <w:color w:val="auto"/>
          <w:highlight w:val="none"/>
        </w:rPr>
        <w:t>出售日的确定方法：一般判断交易完成后，丧失控制权时点为出售日时点。</w:t>
      </w:r>
    </w:p>
    <w:p>
      <w:pPr>
        <w:pStyle w:val="35"/>
        <w:rPr>
          <w:rFonts w:eastAsiaTheme="minorEastAsia"/>
          <w:color w:val="auto"/>
          <w:highlight w:val="none"/>
        </w:rPr>
      </w:pPr>
    </w:p>
    <w:p>
      <w:pPr>
        <w:pStyle w:val="37"/>
        <w:rPr>
          <w:rFonts w:eastAsiaTheme="minorEastAsia"/>
          <w:color w:val="auto"/>
          <w:highlight w:val="none"/>
        </w:rPr>
      </w:pPr>
      <w:r>
        <w:rPr>
          <w:color w:val="auto"/>
          <w:highlight w:val="none"/>
        </w:rPr>
        <w:t>合并财务报表的编制方法</w:t>
      </w:r>
    </w:p>
    <w:p>
      <w:pPr>
        <w:pStyle w:val="44"/>
        <w:rPr>
          <w:color w:val="auto"/>
          <w:highlight w:val="none"/>
        </w:rPr>
      </w:pPr>
      <w:r>
        <w:rPr>
          <w:rFonts w:hint="eastAsia"/>
          <w:color w:val="auto"/>
          <w:highlight w:val="none"/>
        </w:rPr>
        <w:t>合并范围</w:t>
      </w:r>
    </w:p>
    <w:p>
      <w:pPr>
        <w:pStyle w:val="35"/>
        <w:rPr>
          <w:color w:val="auto"/>
          <w:highlight w:val="none"/>
        </w:rPr>
      </w:pPr>
      <w:r>
        <w:rPr>
          <w:rFonts w:hint="eastAsia"/>
          <w:color w:val="auto"/>
          <w:highlight w:val="none"/>
        </w:rPr>
        <w:t>合并财务报表的合并范围以控制为基础确定，合并范围包括本公司及本集团全部子公司。</w:t>
      </w:r>
    </w:p>
    <w:p>
      <w:pPr>
        <w:pStyle w:val="35"/>
        <w:rPr>
          <w:color w:val="auto"/>
          <w:highlight w:val="none"/>
        </w:rPr>
      </w:pPr>
      <w:r>
        <w:rPr>
          <w:rFonts w:hint="eastAsia"/>
          <w:color w:val="auto"/>
          <w:highlight w:val="none"/>
        </w:rPr>
        <w:t>控制，是指本公司拥有对被投资方的权力，通过参与被投资方的相关活动而享有可变回报，并且有能力运用对被投资方的权力影响其回报金额。</w:t>
      </w:r>
    </w:p>
    <w:p>
      <w:pPr>
        <w:pStyle w:val="35"/>
        <w:rPr>
          <w:color w:val="auto"/>
          <w:highlight w:val="none"/>
        </w:rPr>
      </w:pPr>
    </w:p>
    <w:p>
      <w:pPr>
        <w:pStyle w:val="44"/>
        <w:rPr>
          <w:color w:val="auto"/>
          <w:highlight w:val="none"/>
        </w:rPr>
      </w:pPr>
      <w:r>
        <w:rPr>
          <w:rFonts w:hint="eastAsia"/>
          <w:color w:val="auto"/>
          <w:highlight w:val="none"/>
        </w:rPr>
        <w:t>合并程序</w:t>
      </w:r>
    </w:p>
    <w:p>
      <w:pPr>
        <w:pStyle w:val="35"/>
        <w:rPr>
          <w:color w:val="auto"/>
          <w:highlight w:val="none"/>
        </w:rPr>
      </w:pPr>
      <w:r>
        <w:rPr>
          <w:rFonts w:hint="eastAsia"/>
          <w:color w:val="auto"/>
          <w:highlight w:val="none"/>
        </w:rPr>
        <w:t>本公司将整个企业集团视为一个会计主体，按照统一的会计政策编制合并财务报表，反映本企业集团整体财务状况、经营成果和现金流量。</w:t>
      </w:r>
      <w:r>
        <w:rPr>
          <w:rFonts w:hint="eastAsia" w:eastAsiaTheme="minorEastAsia"/>
          <w:color w:val="auto"/>
          <w:highlight w:val="none"/>
        </w:rPr>
        <w:t>本公司与子公司、子公司相互之间发生的内部交易的影响予以抵销。内部交易表明相关资产发生减值损失的，全额确认该部分损失。</w:t>
      </w:r>
    </w:p>
    <w:p>
      <w:pPr>
        <w:pStyle w:val="35"/>
        <w:rPr>
          <w:color w:val="auto"/>
          <w:highlight w:val="none"/>
        </w:rPr>
      </w:pPr>
      <w:r>
        <w:rPr>
          <w:rFonts w:hint="eastAsia"/>
          <w:color w:val="auto"/>
          <w:highlight w:val="none"/>
        </w:rPr>
        <w:t>如子公司采用的会计政策、会计期间与本公司不一致的，在编制合并财务报表时，按本公司的会计政策、会计期间进行必要的调整。</w:t>
      </w:r>
    </w:p>
    <w:p>
      <w:pPr>
        <w:pStyle w:val="35"/>
        <w:rPr>
          <w:rFonts w:hint="eastAsia"/>
          <w:color w:val="auto"/>
          <w:highlight w:val="none"/>
        </w:rPr>
      </w:pPr>
      <w:r>
        <w:rPr>
          <w:rFonts w:hint="eastAsia"/>
          <w:color w:val="auto"/>
          <w:highlight w:val="none"/>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pPr>
        <w:pStyle w:val="35"/>
        <w:rPr>
          <w:color w:val="auto"/>
          <w:highlight w:val="none"/>
        </w:rPr>
      </w:pPr>
    </w:p>
    <w:p>
      <w:pPr>
        <w:pStyle w:val="38"/>
        <w:rPr>
          <w:color w:val="auto"/>
          <w:highlight w:val="none"/>
        </w:rPr>
      </w:pPr>
      <w:r>
        <w:rPr>
          <w:rFonts w:hint="eastAsia"/>
          <w:color w:val="auto"/>
          <w:highlight w:val="none"/>
        </w:rPr>
        <w:t>（1）增加子公司或业务</w:t>
      </w:r>
    </w:p>
    <w:p>
      <w:pPr>
        <w:pStyle w:val="35"/>
        <w:rPr>
          <w:color w:val="auto"/>
          <w:highlight w:val="none"/>
        </w:rPr>
      </w:pPr>
      <w:r>
        <w:rPr>
          <w:rFonts w:hint="eastAsia"/>
          <w:color w:val="auto"/>
          <w:highlight w:val="none"/>
        </w:rPr>
        <w:t>在报告期内，因同一控制下企业合并增加子公司或业务的，将子公司或业务合并当期期初至报告期末的经营成果和现金流量纳入合并财务报表，同时对合并财务报表的期初数和比较报表的相关项目进行调整，视同合并后的报告主体自最终控制方开始控制时点起一直存在。</w:t>
      </w:r>
    </w:p>
    <w:p>
      <w:pPr>
        <w:pStyle w:val="35"/>
        <w:rPr>
          <w:color w:val="auto"/>
          <w:highlight w:val="none"/>
        </w:rPr>
      </w:pPr>
      <w:r>
        <w:rPr>
          <w:rFonts w:hint="eastAsia"/>
          <w:color w:val="auto"/>
          <w:highlight w:val="none"/>
        </w:rPr>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pPr>
        <w:pStyle w:val="35"/>
        <w:rPr>
          <w:color w:val="auto"/>
          <w:highlight w:val="none"/>
        </w:rPr>
      </w:pPr>
      <w:r>
        <w:rPr>
          <w:rFonts w:hint="eastAsia"/>
          <w:color w:val="auto"/>
          <w:highlight w:val="none"/>
        </w:rPr>
        <w:t>在报告期内，因非同一控制下企业合并增加子公司或业务的，</w:t>
      </w:r>
      <w:r>
        <w:rPr>
          <w:rFonts w:eastAsiaTheme="minorEastAsia"/>
          <w:color w:val="auto"/>
          <w:highlight w:val="none"/>
        </w:rPr>
        <w:t>以购买日</w:t>
      </w:r>
      <w:r>
        <w:rPr>
          <w:rFonts w:hint="eastAsia" w:eastAsiaTheme="minorEastAsia"/>
          <w:color w:val="auto"/>
          <w:highlight w:val="none"/>
        </w:rPr>
        <w:t>确定的各项</w:t>
      </w:r>
      <w:r>
        <w:rPr>
          <w:rFonts w:eastAsiaTheme="minorEastAsia"/>
          <w:color w:val="auto"/>
          <w:highlight w:val="none"/>
        </w:rPr>
        <w:t>可辨认资产</w:t>
      </w:r>
      <w:r>
        <w:rPr>
          <w:rFonts w:hint="eastAsia" w:eastAsiaTheme="minorEastAsia"/>
          <w:color w:val="auto"/>
          <w:highlight w:val="none"/>
        </w:rPr>
        <w:t>、负债及或有负债的</w:t>
      </w:r>
      <w:r>
        <w:rPr>
          <w:rFonts w:eastAsiaTheme="minorEastAsia"/>
          <w:color w:val="auto"/>
          <w:highlight w:val="none"/>
        </w:rPr>
        <w:t>公允价值为基础</w:t>
      </w:r>
      <w:r>
        <w:rPr>
          <w:rFonts w:hint="eastAsia" w:eastAsiaTheme="minorEastAsia"/>
          <w:color w:val="auto"/>
          <w:highlight w:val="none"/>
        </w:rPr>
        <w:t>自购买日起纳入合并财务报表</w:t>
      </w:r>
      <w:r>
        <w:rPr>
          <w:rFonts w:hint="eastAsia"/>
          <w:color w:val="auto"/>
          <w:highlight w:val="none"/>
        </w:rPr>
        <w:t>。</w:t>
      </w:r>
    </w:p>
    <w:p>
      <w:pPr>
        <w:pStyle w:val="35"/>
        <w:rPr>
          <w:color w:val="auto"/>
          <w:highlight w:val="none"/>
        </w:rPr>
      </w:pPr>
      <w:r>
        <w:rPr>
          <w:rFonts w:hint="eastAsia"/>
          <w:color w:val="auto"/>
          <w:highlight w:val="none"/>
        </w:rPr>
        <w:t>因追加投资等原因能够对非同一控制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w:t>
      </w:r>
    </w:p>
    <w:p>
      <w:pPr>
        <w:pStyle w:val="38"/>
        <w:rPr>
          <w:color w:val="auto"/>
          <w:highlight w:val="none"/>
        </w:rPr>
      </w:pPr>
      <w:r>
        <w:rPr>
          <w:rFonts w:hint="eastAsia"/>
          <w:color w:val="auto"/>
          <w:highlight w:val="none"/>
        </w:rPr>
        <w:t>（2）处置子公司</w:t>
      </w:r>
    </w:p>
    <w:p>
      <w:pPr>
        <w:pStyle w:val="35"/>
        <w:rPr>
          <w:color w:val="auto"/>
          <w:highlight w:val="none"/>
        </w:rPr>
      </w:pPr>
      <w:r>
        <w:rPr>
          <w:rFonts w:hint="eastAsia"/>
          <w:color w:val="auto"/>
          <w:highlight w:val="none"/>
        </w:rPr>
        <w:t>①一般处理方法</w:t>
      </w:r>
    </w:p>
    <w:p>
      <w:pPr>
        <w:pStyle w:val="35"/>
        <w:rPr>
          <w:color w:val="auto"/>
          <w:highlight w:val="none"/>
        </w:rPr>
      </w:pPr>
      <w:r>
        <w:rPr>
          <w:rFonts w:hint="eastAsia"/>
          <w:color w:val="auto"/>
          <w:highlight w:val="none"/>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w:t>
      </w:r>
    </w:p>
    <w:p>
      <w:pPr>
        <w:pStyle w:val="35"/>
        <w:rPr>
          <w:color w:val="auto"/>
          <w:highlight w:val="none"/>
        </w:rPr>
      </w:pPr>
      <w:r>
        <w:rPr>
          <w:rFonts w:hint="eastAsia"/>
          <w:color w:val="auto"/>
          <w:highlight w:val="none"/>
        </w:rPr>
        <w:t>②分步处置子公司</w:t>
      </w:r>
    </w:p>
    <w:p>
      <w:pPr>
        <w:pStyle w:val="35"/>
        <w:rPr>
          <w:color w:val="auto"/>
          <w:highlight w:val="none"/>
        </w:rPr>
      </w:pPr>
      <w:r>
        <w:rPr>
          <w:rFonts w:hint="eastAsia"/>
          <w:color w:val="auto"/>
          <w:highlight w:val="none"/>
        </w:rPr>
        <w:t>通过多次交易分步处置对子公司股权投资直至丧失控制权的，处置对子公司股权投资的各项交易的条款、条件以及经济影响符合以下一种或多种情况，通常表明该多次交易事项为一揽子交易：</w:t>
      </w:r>
    </w:p>
    <w:p>
      <w:pPr>
        <w:pStyle w:val="35"/>
        <w:rPr>
          <w:color w:val="auto"/>
          <w:highlight w:val="none"/>
        </w:rPr>
      </w:pPr>
      <w:r>
        <w:rPr>
          <w:rFonts w:hint="eastAsia"/>
          <w:color w:val="auto"/>
          <w:highlight w:val="none"/>
        </w:rPr>
        <w:t>ⅰ．这些交易是同时或者在考虑了彼此影响的情况下订立的；</w:t>
      </w:r>
    </w:p>
    <w:p>
      <w:pPr>
        <w:pStyle w:val="35"/>
        <w:rPr>
          <w:color w:val="auto"/>
          <w:highlight w:val="none"/>
        </w:rPr>
      </w:pPr>
      <w:r>
        <w:rPr>
          <w:rFonts w:hint="eastAsia"/>
          <w:color w:val="auto"/>
          <w:highlight w:val="none"/>
        </w:rPr>
        <w:t>ⅱ．这些交易整体才能达成一项完整的商业结果；</w:t>
      </w:r>
    </w:p>
    <w:p>
      <w:pPr>
        <w:pStyle w:val="35"/>
        <w:rPr>
          <w:color w:val="auto"/>
          <w:highlight w:val="none"/>
        </w:rPr>
      </w:pPr>
      <w:r>
        <w:rPr>
          <w:rFonts w:hint="eastAsia"/>
          <w:color w:val="auto"/>
          <w:highlight w:val="none"/>
        </w:rPr>
        <w:t>ⅲ．一项交易的发生取决于其他至少一项交易的发生；</w:t>
      </w:r>
    </w:p>
    <w:p>
      <w:pPr>
        <w:pStyle w:val="35"/>
        <w:rPr>
          <w:color w:val="auto"/>
          <w:highlight w:val="none"/>
        </w:rPr>
      </w:pPr>
      <w:r>
        <w:rPr>
          <w:rFonts w:hint="eastAsia"/>
          <w:color w:val="auto"/>
          <w:highlight w:val="none"/>
        </w:rPr>
        <w:t>ⅳ．一项交易单独看是不经济的，但是和其他交易一并考虑时是经济的。</w:t>
      </w:r>
    </w:p>
    <w:p>
      <w:pPr>
        <w:pStyle w:val="35"/>
        <w:rPr>
          <w:color w:val="auto"/>
          <w:highlight w:val="none"/>
        </w:rPr>
      </w:pPr>
      <w:r>
        <w:rPr>
          <w:rFonts w:hint="eastAsia"/>
          <w:color w:val="auto"/>
          <w:highlight w:val="none"/>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pPr>
        <w:pStyle w:val="35"/>
        <w:rPr>
          <w:color w:val="auto"/>
          <w:highlight w:val="none"/>
        </w:rPr>
      </w:pPr>
      <w:r>
        <w:rPr>
          <w:rFonts w:hint="eastAsia"/>
          <w:color w:val="auto"/>
          <w:highlight w:val="none"/>
        </w:rPr>
        <w:t>各项交易不属于一揽子交易的，在丧失控制权之前，按不丧失控制权的情况下部分处置对子公司的股权投资进行会计处理；在丧失控制权时，按处置子公司一般处理方法进行会计处理。</w:t>
      </w:r>
    </w:p>
    <w:p>
      <w:pPr>
        <w:pStyle w:val="38"/>
        <w:rPr>
          <w:color w:val="auto"/>
          <w:highlight w:val="none"/>
        </w:rPr>
      </w:pPr>
      <w:r>
        <w:rPr>
          <w:rFonts w:hint="eastAsia"/>
          <w:color w:val="auto"/>
          <w:highlight w:val="none"/>
        </w:rPr>
        <w:t>（3）购买子公司少数股权</w:t>
      </w:r>
    </w:p>
    <w:p>
      <w:pPr>
        <w:pStyle w:val="35"/>
        <w:rPr>
          <w:color w:val="auto"/>
          <w:highlight w:val="none"/>
        </w:rPr>
      </w:pPr>
      <w:r>
        <w:rPr>
          <w:rFonts w:hint="eastAsia"/>
          <w:color w:val="auto"/>
          <w:highlight w:val="none"/>
        </w:rPr>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pPr>
        <w:pStyle w:val="38"/>
        <w:rPr>
          <w:color w:val="auto"/>
          <w:highlight w:val="none"/>
        </w:rPr>
      </w:pPr>
      <w:r>
        <w:rPr>
          <w:rFonts w:hint="eastAsia"/>
          <w:color w:val="auto"/>
          <w:highlight w:val="none"/>
        </w:rPr>
        <w:t>（4）不丧失控制权的情况下部分处置对子公司的股权投资</w:t>
      </w:r>
    </w:p>
    <w:p>
      <w:pPr>
        <w:pStyle w:val="35"/>
        <w:rPr>
          <w:color w:val="auto"/>
          <w:highlight w:val="none"/>
        </w:rPr>
      </w:pPr>
      <w:r>
        <w:rPr>
          <w:rFonts w:hint="eastAsia"/>
          <w:color w:val="auto"/>
          <w:highlight w:val="none"/>
        </w:rPr>
        <w:t>处置价款与处置长期股权投资相对应享有子公司自购买日或合并日开始持续计算的净资产份额之间的差额，调整合并资产负债表中的资本公积中的股本溢价，资本公积中的股本溢价不足冲减的，调整留存收益。</w:t>
      </w:r>
    </w:p>
    <w:p>
      <w:pPr>
        <w:pStyle w:val="35"/>
        <w:rPr>
          <w:color w:val="auto"/>
          <w:highlight w:val="none"/>
        </w:rPr>
      </w:pPr>
    </w:p>
    <w:p>
      <w:pPr>
        <w:pStyle w:val="37"/>
        <w:rPr>
          <w:rFonts w:eastAsiaTheme="minorEastAsia"/>
          <w:color w:val="auto"/>
          <w:highlight w:val="none"/>
        </w:rPr>
      </w:pPr>
      <w:r>
        <w:rPr>
          <w:rFonts w:eastAsiaTheme="minorEastAsia"/>
          <w:color w:val="auto"/>
          <w:highlight w:val="none"/>
        </w:rPr>
        <w:t>现金及现金等价物的确定标准</w:t>
      </w:r>
    </w:p>
    <w:p>
      <w:pPr>
        <w:pStyle w:val="38"/>
        <w:rPr>
          <w:rFonts w:eastAsiaTheme="minorEastAsia"/>
          <w:color w:val="auto"/>
          <w:highlight w:val="none"/>
        </w:rPr>
      </w:pPr>
      <w:r>
        <w:rPr>
          <w:rFonts w:hint="eastAsia" w:eastAsiaTheme="minorEastAsia"/>
          <w:color w:val="auto"/>
          <w:highlight w:val="none"/>
        </w:rPr>
        <w:t>现金，</w:t>
      </w:r>
      <w:r>
        <w:rPr>
          <w:rFonts w:eastAsiaTheme="minorEastAsia"/>
          <w:color w:val="auto"/>
          <w:highlight w:val="none"/>
        </w:rPr>
        <w:t>是指本公司的库存现金以及可以随时用于支付的存款。</w:t>
      </w:r>
      <w:r>
        <w:rPr>
          <w:rFonts w:hint="eastAsia" w:eastAsiaTheme="minorEastAsia"/>
          <w:color w:val="auto"/>
          <w:highlight w:val="none"/>
        </w:rPr>
        <w:t>现金</w:t>
      </w:r>
      <w:r>
        <w:rPr>
          <w:rFonts w:eastAsiaTheme="minorEastAsia"/>
          <w:color w:val="auto"/>
          <w:highlight w:val="none"/>
        </w:rPr>
        <w:t>等价物</w:t>
      </w:r>
      <w:r>
        <w:rPr>
          <w:rFonts w:hint="eastAsia" w:eastAsiaTheme="minorEastAsia"/>
          <w:color w:val="auto"/>
          <w:highlight w:val="none"/>
        </w:rPr>
        <w:t>，</w:t>
      </w:r>
      <w:r>
        <w:rPr>
          <w:rFonts w:eastAsiaTheme="minorEastAsia"/>
          <w:color w:val="auto"/>
          <w:highlight w:val="none"/>
        </w:rPr>
        <w:t>是指</w:t>
      </w:r>
      <w:r>
        <w:rPr>
          <w:rFonts w:hint="eastAsia" w:eastAsiaTheme="minorEastAsia"/>
          <w:color w:val="auto"/>
          <w:highlight w:val="none"/>
        </w:rPr>
        <w:t>本公司持有的</w:t>
      </w:r>
      <w:r>
        <w:rPr>
          <w:rFonts w:eastAsiaTheme="minorEastAsia"/>
          <w:color w:val="auto"/>
          <w:highlight w:val="none"/>
        </w:rPr>
        <w:t>期限短、流动性强、易于转换为已知金额的现金、价值变动风险很小的投资。</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金融工具</w:t>
      </w:r>
    </w:p>
    <w:p>
      <w:pPr>
        <w:pStyle w:val="38"/>
        <w:rPr>
          <w:color w:val="auto"/>
          <w:highlight w:val="none"/>
        </w:rPr>
      </w:pPr>
      <w:r>
        <w:rPr>
          <w:rFonts w:hint="eastAsia"/>
          <w:color w:val="auto"/>
          <w:highlight w:val="none"/>
        </w:rPr>
        <w:t>本公司在成为金融工具合同的一方时，确认一项金融资产、金融负债或权益工具。</w:t>
      </w:r>
    </w:p>
    <w:p>
      <w:pPr>
        <w:pStyle w:val="44"/>
        <w:numPr>
          <w:ilvl w:val="2"/>
          <w:numId w:val="13"/>
        </w:numPr>
        <w:rPr>
          <w:color w:val="auto"/>
          <w:highlight w:val="none"/>
        </w:rPr>
      </w:pPr>
      <w:r>
        <w:rPr>
          <w:color w:val="auto"/>
          <w:highlight w:val="none"/>
        </w:rPr>
        <w:t>金融工具的分类</w:t>
      </w:r>
    </w:p>
    <w:p>
      <w:pPr>
        <w:pStyle w:val="35"/>
        <w:rPr>
          <w:color w:val="auto"/>
          <w:highlight w:val="none"/>
        </w:rPr>
      </w:pPr>
      <w:r>
        <w:rPr>
          <w:color w:val="auto"/>
          <w:highlight w:val="none"/>
        </w:rPr>
        <w:t>根据本公司管理金融资产的业务模式和金融资产的合同现金流量特征，金融资产于初始确认时分类为</w:t>
      </w:r>
      <w:r>
        <w:rPr>
          <w:rFonts w:hint="eastAsia"/>
          <w:color w:val="auto"/>
          <w:highlight w:val="none"/>
        </w:rPr>
        <w:t>：</w:t>
      </w:r>
      <w:r>
        <w:rPr>
          <w:color w:val="auto"/>
          <w:highlight w:val="none"/>
        </w:rPr>
        <w:t>以摊余成本计量的金融资产</w:t>
      </w:r>
      <w:r>
        <w:rPr>
          <w:rFonts w:hint="eastAsia"/>
          <w:color w:val="auto"/>
          <w:highlight w:val="none"/>
        </w:rPr>
        <w:t>、以公允价值计量且其变动计入其他综合收益的金融资产和</w:t>
      </w:r>
      <w:r>
        <w:rPr>
          <w:color w:val="auto"/>
          <w:highlight w:val="none"/>
        </w:rPr>
        <w:t>以公允价值计量且其变动计入当期损益的金融资产</w:t>
      </w:r>
      <w:r>
        <w:rPr>
          <w:rFonts w:hint="eastAsia"/>
          <w:color w:val="auto"/>
          <w:highlight w:val="none"/>
        </w:rPr>
        <w:t>。</w:t>
      </w:r>
    </w:p>
    <w:p>
      <w:pPr>
        <w:pStyle w:val="35"/>
        <w:rPr>
          <w:color w:val="auto"/>
          <w:highlight w:val="none"/>
        </w:rPr>
      </w:pPr>
      <w:r>
        <w:rPr>
          <w:rFonts w:hint="eastAsia" w:eastAsiaTheme="minorEastAsia"/>
          <w:color w:val="auto"/>
          <w:highlight w:val="none"/>
        </w:rPr>
        <w:t>本公司将同时符合下列条件且未被指定为以公允价值计量且其变动计入当期损益的金融资产，分类为以摊余成本计量的金融资产：</w:t>
      </w:r>
    </w:p>
    <w:p>
      <w:pPr>
        <w:pStyle w:val="35"/>
        <w:numPr>
          <w:ilvl w:val="0"/>
          <w:numId w:val="14"/>
        </w:numPr>
        <w:rPr>
          <w:rFonts w:eastAsiaTheme="minorEastAsia"/>
          <w:color w:val="auto"/>
          <w:highlight w:val="none"/>
        </w:rPr>
      </w:pPr>
      <w:r>
        <w:rPr>
          <w:rFonts w:hint="eastAsia" w:eastAsiaTheme="minorEastAsia"/>
          <w:color w:val="auto"/>
          <w:highlight w:val="none"/>
        </w:rPr>
        <w:t>业务模式是以收取合同现金流量为目标；</w:t>
      </w:r>
    </w:p>
    <w:p>
      <w:pPr>
        <w:pStyle w:val="35"/>
        <w:numPr>
          <w:ilvl w:val="0"/>
          <w:numId w:val="14"/>
        </w:numPr>
        <w:rPr>
          <w:rFonts w:eastAsiaTheme="minorEastAsia"/>
          <w:color w:val="auto"/>
          <w:highlight w:val="none"/>
        </w:rPr>
      </w:pPr>
      <w:r>
        <w:rPr>
          <w:rFonts w:hint="eastAsia" w:eastAsiaTheme="minorEastAsia"/>
          <w:color w:val="auto"/>
          <w:highlight w:val="none"/>
        </w:rPr>
        <w:t>合同现金流量仅为对本金和以未偿付本金金额为基础的利息的支付。</w:t>
      </w:r>
    </w:p>
    <w:p>
      <w:pPr>
        <w:pStyle w:val="35"/>
        <w:ind w:left="1275" w:leftChars="607"/>
        <w:rPr>
          <w:rFonts w:eastAsiaTheme="minorEastAsia"/>
          <w:color w:val="auto"/>
          <w:highlight w:val="none"/>
        </w:rPr>
      </w:pPr>
    </w:p>
    <w:p>
      <w:pPr>
        <w:pStyle w:val="35"/>
        <w:ind w:left="1277" w:leftChars="608"/>
        <w:rPr>
          <w:rFonts w:eastAsiaTheme="minorEastAsia"/>
          <w:color w:val="auto"/>
          <w:highlight w:val="none"/>
        </w:rPr>
      </w:pPr>
      <w:r>
        <w:rPr>
          <w:rFonts w:hint="eastAsia" w:eastAsiaTheme="minorEastAsia"/>
          <w:color w:val="auto"/>
          <w:highlight w:val="none"/>
        </w:rPr>
        <w:t>本公司将同时符合下列条件且未被指定为以公允价值计量且其变动计入当期损益的金融资产，分类为以公允价值计量且其变动计入其他综合收益的金融资产（债务工具）：</w:t>
      </w:r>
    </w:p>
    <w:p>
      <w:pPr>
        <w:pStyle w:val="35"/>
        <w:numPr>
          <w:ilvl w:val="0"/>
          <w:numId w:val="14"/>
        </w:numPr>
        <w:rPr>
          <w:rFonts w:eastAsiaTheme="minorEastAsia"/>
          <w:color w:val="auto"/>
          <w:highlight w:val="none"/>
        </w:rPr>
      </w:pPr>
      <w:r>
        <w:rPr>
          <w:rFonts w:hint="eastAsia" w:eastAsiaTheme="minorEastAsia"/>
          <w:color w:val="auto"/>
          <w:highlight w:val="none"/>
        </w:rPr>
        <w:t>业务模式既以收取合同现金流量又以出售该金融资产为目标；</w:t>
      </w:r>
    </w:p>
    <w:p>
      <w:pPr>
        <w:pStyle w:val="35"/>
        <w:numPr>
          <w:ilvl w:val="0"/>
          <w:numId w:val="14"/>
        </w:numPr>
        <w:rPr>
          <w:rFonts w:eastAsiaTheme="minorEastAsia"/>
          <w:color w:val="auto"/>
          <w:highlight w:val="none"/>
        </w:rPr>
      </w:pPr>
      <w:r>
        <w:rPr>
          <w:rFonts w:hint="eastAsia" w:eastAsiaTheme="minorEastAsia"/>
          <w:color w:val="auto"/>
          <w:highlight w:val="none"/>
        </w:rPr>
        <w:t>合同现金流量仅为对本金和以未偿付本金金额为基础的利息的支付。</w:t>
      </w:r>
    </w:p>
    <w:p>
      <w:pPr>
        <w:pStyle w:val="35"/>
        <w:ind w:left="1277" w:leftChars="608"/>
        <w:rPr>
          <w:color w:val="auto"/>
          <w:highlight w:val="none"/>
        </w:rPr>
      </w:pPr>
    </w:p>
    <w:p>
      <w:pPr>
        <w:pStyle w:val="35"/>
        <w:rPr>
          <w:color w:val="auto"/>
          <w:highlight w:val="none"/>
        </w:rPr>
      </w:pPr>
      <w:r>
        <w:rPr>
          <w:color w:val="auto"/>
          <w:highlight w:val="none"/>
        </w:rPr>
        <w:t>对于非交易性权益工具投资</w:t>
      </w:r>
      <w:r>
        <w:rPr>
          <w:rFonts w:hint="eastAsia"/>
          <w:color w:val="auto"/>
          <w:highlight w:val="none"/>
        </w:rPr>
        <w:t>，</w:t>
      </w:r>
      <w:r>
        <w:rPr>
          <w:color w:val="auto"/>
          <w:highlight w:val="none"/>
        </w:rPr>
        <w:t>本公司可以在初始确认时将其不可撤销地指定为以公允价值计量且其变动计入其他综合收益的金融资产</w:t>
      </w:r>
      <w:r>
        <w:rPr>
          <w:rFonts w:hint="eastAsia"/>
          <w:color w:val="auto"/>
          <w:highlight w:val="none"/>
        </w:rPr>
        <w:t>（权益工具）。该指定在单项投资的基础上作出，且相关投资从发行者的角度符合权益工具的定义。</w:t>
      </w:r>
    </w:p>
    <w:p>
      <w:pPr>
        <w:pStyle w:val="35"/>
        <w:rPr>
          <w:color w:val="auto"/>
          <w:highlight w:val="none"/>
        </w:rPr>
      </w:pPr>
    </w:p>
    <w:p>
      <w:pPr>
        <w:pStyle w:val="35"/>
        <w:ind w:left="1277" w:leftChars="608"/>
        <w:rPr>
          <w:color w:val="auto"/>
          <w:highlight w:val="none"/>
        </w:rPr>
      </w:pPr>
      <w:r>
        <w:rPr>
          <w:rFonts w:hint="eastAsia" w:eastAsiaTheme="minorEastAsia"/>
          <w:color w:val="auto"/>
          <w:highlight w:val="none"/>
        </w:rPr>
        <w:t>除上述以摊余成本计量和以公允价值计量且其变动计入其他综合收益的金融资产外，本公司将其余所有的金融资产分类为以公允价值计量且其变动计入当期损益的金融资产。</w:t>
      </w:r>
    </w:p>
    <w:p>
      <w:pPr>
        <w:pStyle w:val="35"/>
        <w:rPr>
          <w:color w:val="auto"/>
          <w:highlight w:val="none"/>
        </w:rPr>
      </w:pPr>
      <w:r>
        <w:rPr>
          <w:color w:val="auto"/>
          <w:highlight w:val="none"/>
        </w:rPr>
        <w:t>在初始确认时</w:t>
      </w:r>
      <w:r>
        <w:rPr>
          <w:rFonts w:hint="eastAsia"/>
          <w:color w:val="auto"/>
          <w:highlight w:val="none"/>
        </w:rPr>
        <w:t>，如果</w:t>
      </w:r>
      <w:r>
        <w:rPr>
          <w:color w:val="auto"/>
          <w:highlight w:val="none"/>
        </w:rPr>
        <w:t>能够消除或显著减少会计错配</w:t>
      </w:r>
      <w:r>
        <w:rPr>
          <w:rFonts w:hint="eastAsia"/>
          <w:color w:val="auto"/>
          <w:highlight w:val="none"/>
        </w:rPr>
        <w:t>，本公司</w:t>
      </w:r>
      <w:r>
        <w:rPr>
          <w:color w:val="auto"/>
          <w:highlight w:val="none"/>
        </w:rPr>
        <w:t>可以将本应分类为以摊余成本</w:t>
      </w:r>
      <w:r>
        <w:rPr>
          <w:rFonts w:hint="eastAsia"/>
          <w:color w:val="auto"/>
          <w:highlight w:val="none"/>
        </w:rPr>
        <w:t>计量或以公允价值计量且其变动计入其他综合收益的</w:t>
      </w:r>
      <w:r>
        <w:rPr>
          <w:color w:val="auto"/>
          <w:highlight w:val="none"/>
        </w:rPr>
        <w:t>金融资产不可撤销地指定为以公允价值计量且其变动计入当期损益的金融资产</w:t>
      </w:r>
      <w:r>
        <w:rPr>
          <w:rFonts w:hint="eastAsia"/>
          <w:color w:val="auto"/>
          <w:highlight w:val="none"/>
        </w:rPr>
        <w:t>。</w:t>
      </w:r>
    </w:p>
    <w:p>
      <w:pPr>
        <w:pStyle w:val="35"/>
        <w:rPr>
          <w:color w:val="auto"/>
          <w:highlight w:val="none"/>
        </w:rPr>
      </w:pPr>
    </w:p>
    <w:p>
      <w:pPr>
        <w:pStyle w:val="35"/>
        <w:rPr>
          <w:color w:val="auto"/>
          <w:highlight w:val="none"/>
        </w:rPr>
      </w:pPr>
      <w:r>
        <w:rPr>
          <w:color w:val="auto"/>
          <w:highlight w:val="none"/>
        </w:rPr>
        <w:t>金融负债于初始确认时分类为：以公允价值计量且其变动计入当期损益的金融负债和以摊余成本计量的金融负债。</w:t>
      </w:r>
    </w:p>
    <w:p>
      <w:pPr>
        <w:pStyle w:val="35"/>
        <w:rPr>
          <w:color w:val="auto"/>
          <w:highlight w:val="none"/>
        </w:rPr>
      </w:pPr>
    </w:p>
    <w:p>
      <w:pPr>
        <w:pStyle w:val="35"/>
        <w:rPr>
          <w:color w:val="auto"/>
          <w:highlight w:val="none"/>
        </w:rPr>
      </w:pPr>
      <w:r>
        <w:rPr>
          <w:rFonts w:hint="eastAsia"/>
          <w:color w:val="auto"/>
          <w:highlight w:val="none"/>
        </w:rPr>
        <w:t>符合以下条件之一的金融负债可在初始计量时指定为以公允价值计量且其变动计入当期损益的金融负债：</w:t>
      </w:r>
    </w:p>
    <w:p>
      <w:pPr>
        <w:pStyle w:val="35"/>
        <w:rPr>
          <w:color w:val="auto"/>
          <w:highlight w:val="none"/>
        </w:rPr>
      </w:pPr>
      <w:r>
        <w:rPr>
          <w:rFonts w:hint="eastAsia"/>
          <w:color w:val="auto"/>
          <w:highlight w:val="none"/>
        </w:rPr>
        <w:t>1）该项指定能够消除或显著减少会计错配。</w:t>
      </w:r>
    </w:p>
    <w:p>
      <w:pPr>
        <w:pStyle w:val="35"/>
        <w:rPr>
          <w:color w:val="auto"/>
          <w:highlight w:val="none"/>
        </w:rPr>
      </w:pPr>
      <w:r>
        <w:rPr>
          <w:rFonts w:hint="eastAsia"/>
          <w:color w:val="auto"/>
          <w:highlight w:val="none"/>
        </w:rPr>
        <w:t>2）根据正式书面文件载明的企业风险管理或投资策略，以公允价值为基础对金融负债组合或金融资产和金融负债组合进行管理和业绩评价，并在企业内部以此为基础向关键管理人员报告。</w:t>
      </w:r>
    </w:p>
    <w:p>
      <w:pPr>
        <w:pStyle w:val="35"/>
        <w:rPr>
          <w:color w:val="auto"/>
          <w:highlight w:val="none"/>
        </w:rPr>
      </w:pPr>
      <w:r>
        <w:rPr>
          <w:rFonts w:hint="eastAsia"/>
          <w:color w:val="auto"/>
          <w:highlight w:val="none"/>
        </w:rPr>
        <w:t>3）该金融负债包含需单独分拆的嵌入衍生工具。</w:t>
      </w:r>
    </w:p>
    <w:p>
      <w:pPr>
        <w:pStyle w:val="35"/>
        <w:rPr>
          <w:color w:val="auto"/>
          <w:highlight w:val="none"/>
        </w:rPr>
      </w:pPr>
      <w:r>
        <w:rPr>
          <w:rFonts w:hint="eastAsia"/>
          <w:color w:val="auto"/>
          <w:highlight w:val="none"/>
        </w:rPr>
        <w:t>按照上述条件，本公司指定的这类金融负债主要包括：（具体描述指定的情况）</w:t>
      </w:r>
    </w:p>
    <w:p>
      <w:pPr>
        <w:pStyle w:val="35"/>
        <w:rPr>
          <w:color w:val="auto"/>
          <w:highlight w:val="none"/>
        </w:rPr>
      </w:pPr>
    </w:p>
    <w:p>
      <w:pPr>
        <w:pStyle w:val="44"/>
        <w:rPr>
          <w:color w:val="auto"/>
          <w:highlight w:val="none"/>
        </w:rPr>
      </w:pPr>
      <w:r>
        <w:rPr>
          <w:color w:val="auto"/>
          <w:highlight w:val="none"/>
        </w:rPr>
        <w:t>金融工具的确认依据和计量方法</w:t>
      </w:r>
    </w:p>
    <w:p>
      <w:pPr>
        <w:pStyle w:val="35"/>
        <w:rPr>
          <w:color w:val="auto"/>
          <w:highlight w:val="none"/>
        </w:rPr>
      </w:pPr>
      <w:r>
        <w:rPr>
          <w:rFonts w:hint="eastAsia"/>
          <w:color w:val="auto"/>
          <w:highlight w:val="none"/>
        </w:rPr>
        <w:t>（1）以摊余成本计量的金融资产</w:t>
      </w:r>
    </w:p>
    <w:p>
      <w:pPr>
        <w:pStyle w:val="35"/>
        <w:rPr>
          <w:color w:val="auto"/>
          <w:highlight w:val="none"/>
        </w:rPr>
      </w:pPr>
      <w:r>
        <w:rPr>
          <w:color w:val="auto"/>
          <w:highlight w:val="none"/>
        </w:rPr>
        <w:t>以摊余成本计量的金融资产包括应收票据</w:t>
      </w:r>
      <w:r>
        <w:rPr>
          <w:rFonts w:hint="eastAsia"/>
          <w:color w:val="auto"/>
          <w:highlight w:val="none"/>
        </w:rPr>
        <w:t>、</w:t>
      </w:r>
      <w:r>
        <w:rPr>
          <w:color w:val="auto"/>
          <w:highlight w:val="none"/>
        </w:rPr>
        <w:t>应收账款、其他应收款</w:t>
      </w:r>
      <w:r>
        <w:rPr>
          <w:rFonts w:hint="eastAsia"/>
          <w:color w:val="auto"/>
          <w:highlight w:val="none"/>
        </w:rPr>
        <w:t>、</w:t>
      </w:r>
      <w:r>
        <w:rPr>
          <w:color w:val="auto"/>
          <w:highlight w:val="none"/>
        </w:rPr>
        <w:t>长期应收款</w:t>
      </w:r>
      <w:r>
        <w:rPr>
          <w:rFonts w:hint="eastAsia"/>
          <w:color w:val="auto"/>
          <w:highlight w:val="none"/>
        </w:rPr>
        <w:t>、</w:t>
      </w:r>
      <w:r>
        <w:rPr>
          <w:color w:val="auto"/>
          <w:highlight w:val="none"/>
        </w:rPr>
        <w:t>债权投资等，按公允价值进行初始计量</w:t>
      </w:r>
      <w:r>
        <w:rPr>
          <w:rFonts w:hint="eastAsia"/>
          <w:color w:val="auto"/>
          <w:highlight w:val="none"/>
        </w:rPr>
        <w:t>，</w:t>
      </w:r>
      <w:r>
        <w:rPr>
          <w:color w:val="auto"/>
          <w:highlight w:val="none"/>
        </w:rPr>
        <w:t>相关交易费用计入初始确认金额</w:t>
      </w:r>
      <w:r>
        <w:rPr>
          <w:rFonts w:hint="eastAsia"/>
          <w:color w:val="auto"/>
          <w:highlight w:val="none"/>
        </w:rPr>
        <w:t>；不包含重大融资成分的应收账款以及本公司决定不考虑不超过一年的融资成分的应收账款，以合同交易价格进行初始计量。</w:t>
      </w:r>
    </w:p>
    <w:p>
      <w:pPr>
        <w:pStyle w:val="35"/>
        <w:rPr>
          <w:color w:val="auto"/>
          <w:highlight w:val="none"/>
        </w:rPr>
      </w:pPr>
      <w:r>
        <w:rPr>
          <w:color w:val="auto"/>
          <w:highlight w:val="none"/>
        </w:rPr>
        <w:t>持有期间采用实际利率法计算的利息计入当期损益</w:t>
      </w:r>
      <w:r>
        <w:rPr>
          <w:rFonts w:hint="eastAsia"/>
          <w:color w:val="auto"/>
          <w:highlight w:val="none"/>
        </w:rPr>
        <w:t>。</w:t>
      </w:r>
    </w:p>
    <w:p>
      <w:pPr>
        <w:pStyle w:val="35"/>
        <w:rPr>
          <w:color w:val="auto"/>
          <w:highlight w:val="none"/>
        </w:rPr>
      </w:pPr>
      <w:r>
        <w:rPr>
          <w:color w:val="auto"/>
          <w:highlight w:val="none"/>
        </w:rPr>
        <w:t>收回或处置时，将取得的价款与该金融资产账面价值之间的差额计入当期损益。</w:t>
      </w:r>
    </w:p>
    <w:p>
      <w:pPr>
        <w:pStyle w:val="35"/>
        <w:rPr>
          <w:color w:val="auto"/>
          <w:highlight w:val="none"/>
        </w:rPr>
      </w:pPr>
    </w:p>
    <w:p>
      <w:pPr>
        <w:pStyle w:val="35"/>
        <w:rPr>
          <w:color w:val="auto"/>
          <w:highlight w:val="none"/>
        </w:rPr>
      </w:pPr>
      <w:r>
        <w:rPr>
          <w:rFonts w:hint="eastAsia"/>
          <w:color w:val="auto"/>
          <w:highlight w:val="none"/>
        </w:rPr>
        <w:t>（2）以公允价值计量且其变动计入其他综合收益的金融资产（债务工具）</w:t>
      </w:r>
    </w:p>
    <w:p>
      <w:pPr>
        <w:pStyle w:val="35"/>
        <w:rPr>
          <w:color w:val="auto"/>
          <w:highlight w:val="none"/>
        </w:rPr>
      </w:pPr>
      <w:r>
        <w:rPr>
          <w:rFonts w:hint="eastAsia"/>
          <w:color w:val="auto"/>
          <w:highlight w:val="none"/>
        </w:rPr>
        <w:t>以公允价值计量且其变动计入其他综合收益的金融资产（债务工具）</w:t>
      </w:r>
      <w:r>
        <w:rPr>
          <w:color w:val="auto"/>
          <w:highlight w:val="none"/>
        </w:rPr>
        <w:t>包括</w:t>
      </w:r>
      <w:r>
        <w:rPr>
          <w:rFonts w:hint="eastAsia"/>
          <w:color w:val="auto"/>
          <w:highlight w:val="none"/>
        </w:rPr>
        <w:t>应收款项融资、</w:t>
      </w:r>
      <w:r>
        <w:rPr>
          <w:color w:val="auto"/>
          <w:highlight w:val="none"/>
        </w:rPr>
        <w:t>其他债权投资等</w:t>
      </w:r>
      <w:r>
        <w:rPr>
          <w:rFonts w:hint="eastAsia"/>
          <w:color w:val="auto"/>
          <w:highlight w:val="none"/>
        </w:rPr>
        <w:t>，</w:t>
      </w:r>
      <w:r>
        <w:rPr>
          <w:color w:val="auto"/>
          <w:highlight w:val="none"/>
        </w:rPr>
        <w:t>按公允价值进行初始计量</w:t>
      </w:r>
      <w:r>
        <w:rPr>
          <w:rFonts w:hint="eastAsia"/>
          <w:color w:val="auto"/>
          <w:highlight w:val="none"/>
        </w:rPr>
        <w:t>，</w:t>
      </w:r>
      <w:r>
        <w:rPr>
          <w:color w:val="auto"/>
          <w:highlight w:val="none"/>
        </w:rPr>
        <w:t>相关交易费用计入初始确认金额</w:t>
      </w:r>
      <w:r>
        <w:rPr>
          <w:rFonts w:hint="eastAsia"/>
          <w:color w:val="auto"/>
          <w:highlight w:val="none"/>
        </w:rPr>
        <w:t>。该金融资产按公允价值进行后续计量，</w:t>
      </w:r>
      <w:r>
        <w:rPr>
          <w:color w:val="auto"/>
          <w:highlight w:val="none"/>
        </w:rPr>
        <w:t>公允价值变动除采用实际利率法计算的利息</w:t>
      </w:r>
      <w:r>
        <w:rPr>
          <w:rFonts w:hint="eastAsia"/>
          <w:color w:val="auto"/>
          <w:highlight w:val="none"/>
        </w:rPr>
        <w:t>、</w:t>
      </w:r>
      <w:r>
        <w:rPr>
          <w:color w:val="auto"/>
          <w:highlight w:val="none"/>
        </w:rPr>
        <w:t>减值损失或利得</w:t>
      </w:r>
      <w:r>
        <w:rPr>
          <w:rFonts w:hint="eastAsia"/>
          <w:color w:val="auto"/>
          <w:highlight w:val="none"/>
        </w:rPr>
        <w:t>和</w:t>
      </w:r>
      <w:r>
        <w:rPr>
          <w:color w:val="auto"/>
          <w:highlight w:val="none"/>
        </w:rPr>
        <w:t>汇兑损益之外，均计入其他综合收益。</w:t>
      </w:r>
    </w:p>
    <w:p>
      <w:pPr>
        <w:pStyle w:val="35"/>
        <w:rPr>
          <w:color w:val="auto"/>
          <w:highlight w:val="none"/>
        </w:rPr>
      </w:pPr>
      <w:r>
        <w:rPr>
          <w:color w:val="auto"/>
          <w:highlight w:val="none"/>
        </w:rPr>
        <w:t>终止确认时</w:t>
      </w:r>
      <w:r>
        <w:rPr>
          <w:rFonts w:hint="eastAsia"/>
          <w:color w:val="auto"/>
          <w:highlight w:val="none"/>
        </w:rPr>
        <w:t>，</w:t>
      </w:r>
      <w:r>
        <w:rPr>
          <w:color w:val="auto"/>
          <w:highlight w:val="none"/>
        </w:rPr>
        <w:t>之前计入其他综合收益的累计利得或损失从其他综合收益中转出，计入当期损益。</w:t>
      </w:r>
    </w:p>
    <w:p>
      <w:pPr>
        <w:pStyle w:val="35"/>
        <w:rPr>
          <w:color w:val="auto"/>
          <w:highlight w:val="none"/>
        </w:rPr>
      </w:pPr>
    </w:p>
    <w:p>
      <w:pPr>
        <w:pStyle w:val="35"/>
        <w:rPr>
          <w:color w:val="auto"/>
          <w:highlight w:val="none"/>
        </w:rPr>
      </w:pPr>
      <w:r>
        <w:rPr>
          <w:rFonts w:hint="eastAsia"/>
          <w:color w:val="auto"/>
          <w:highlight w:val="none"/>
        </w:rPr>
        <w:t>（3）以公允价值计量且其变动计入其他综合收益的金融资产（权益工具）</w:t>
      </w:r>
    </w:p>
    <w:p>
      <w:pPr>
        <w:pStyle w:val="35"/>
        <w:rPr>
          <w:color w:val="auto"/>
          <w:highlight w:val="none"/>
        </w:rPr>
      </w:pPr>
      <w:r>
        <w:rPr>
          <w:rFonts w:hint="eastAsia"/>
          <w:color w:val="auto"/>
          <w:highlight w:val="none"/>
        </w:rPr>
        <w:t>以公允价值计量且其变动计入其他综合收益的金融资产（权益工具）</w:t>
      </w:r>
      <w:r>
        <w:rPr>
          <w:color w:val="auto"/>
          <w:highlight w:val="none"/>
        </w:rPr>
        <w:t>包括其他权益工具投资等</w:t>
      </w:r>
      <w:r>
        <w:rPr>
          <w:rFonts w:hint="eastAsia"/>
          <w:color w:val="auto"/>
          <w:highlight w:val="none"/>
        </w:rPr>
        <w:t>，</w:t>
      </w:r>
      <w:r>
        <w:rPr>
          <w:color w:val="auto"/>
          <w:highlight w:val="none"/>
        </w:rPr>
        <w:t>按公允价值进行初始计量</w:t>
      </w:r>
      <w:r>
        <w:rPr>
          <w:rFonts w:hint="eastAsia"/>
          <w:color w:val="auto"/>
          <w:highlight w:val="none"/>
        </w:rPr>
        <w:t>，</w:t>
      </w:r>
      <w:r>
        <w:rPr>
          <w:color w:val="auto"/>
          <w:highlight w:val="none"/>
        </w:rPr>
        <w:t>相关交易费用计入初始确认金额</w:t>
      </w:r>
      <w:r>
        <w:rPr>
          <w:rFonts w:hint="eastAsia"/>
          <w:color w:val="auto"/>
          <w:highlight w:val="none"/>
        </w:rPr>
        <w:t>。该金融资产按公允价值进行后续计量，</w:t>
      </w:r>
      <w:r>
        <w:rPr>
          <w:color w:val="auto"/>
          <w:highlight w:val="none"/>
        </w:rPr>
        <w:t>公允价值变动计入其他综合收益</w:t>
      </w:r>
      <w:r>
        <w:rPr>
          <w:rFonts w:hint="eastAsia"/>
          <w:color w:val="auto"/>
          <w:highlight w:val="none"/>
        </w:rPr>
        <w:t>。取得的股利计入当期损益。</w:t>
      </w:r>
    </w:p>
    <w:p>
      <w:pPr>
        <w:pStyle w:val="35"/>
        <w:rPr>
          <w:color w:val="auto"/>
          <w:highlight w:val="none"/>
        </w:rPr>
      </w:pPr>
      <w:r>
        <w:rPr>
          <w:color w:val="auto"/>
          <w:highlight w:val="none"/>
        </w:rPr>
        <w:t>终止确认时</w:t>
      </w:r>
      <w:r>
        <w:rPr>
          <w:rFonts w:hint="eastAsia"/>
          <w:color w:val="auto"/>
          <w:highlight w:val="none"/>
        </w:rPr>
        <w:t>，</w:t>
      </w:r>
      <w:r>
        <w:rPr>
          <w:color w:val="auto"/>
          <w:highlight w:val="none"/>
        </w:rPr>
        <w:t>之前计入其他综合收益的累计利得或损失从其他综合收益中转出，计入留存收益。</w:t>
      </w:r>
    </w:p>
    <w:p>
      <w:pPr>
        <w:pStyle w:val="35"/>
        <w:rPr>
          <w:color w:val="auto"/>
          <w:highlight w:val="none"/>
        </w:rPr>
      </w:pPr>
    </w:p>
    <w:p>
      <w:pPr>
        <w:pStyle w:val="35"/>
        <w:rPr>
          <w:color w:val="auto"/>
          <w:highlight w:val="none"/>
        </w:rPr>
      </w:pPr>
      <w:r>
        <w:rPr>
          <w:rFonts w:hint="eastAsia"/>
          <w:color w:val="auto"/>
          <w:highlight w:val="none"/>
        </w:rPr>
        <w:t>（4）以公允价值计量且其变动计入当期损益的金融资产</w:t>
      </w:r>
    </w:p>
    <w:p>
      <w:pPr>
        <w:pStyle w:val="35"/>
        <w:rPr>
          <w:color w:val="auto"/>
          <w:highlight w:val="none"/>
        </w:rPr>
      </w:pPr>
      <w:r>
        <w:rPr>
          <w:rFonts w:hint="eastAsia"/>
          <w:color w:val="auto"/>
          <w:highlight w:val="none"/>
        </w:rPr>
        <w:t>以公允价值计量且其变动计入当期损益的金融资产</w:t>
      </w:r>
      <w:r>
        <w:rPr>
          <w:color w:val="auto"/>
          <w:highlight w:val="none"/>
        </w:rPr>
        <w:t>包括交易性金融资产</w:t>
      </w:r>
      <w:r>
        <w:rPr>
          <w:rFonts w:hint="eastAsia"/>
          <w:color w:val="auto"/>
          <w:highlight w:val="none"/>
        </w:rPr>
        <w:t>、衍生金融资产、</w:t>
      </w:r>
      <w:r>
        <w:rPr>
          <w:color w:val="auto"/>
          <w:highlight w:val="none"/>
        </w:rPr>
        <w:t>其他非流动金融资产等</w:t>
      </w:r>
      <w:r>
        <w:rPr>
          <w:rFonts w:hint="eastAsia"/>
          <w:color w:val="auto"/>
          <w:highlight w:val="none"/>
        </w:rPr>
        <w:t>，</w:t>
      </w:r>
      <w:r>
        <w:rPr>
          <w:color w:val="auto"/>
          <w:highlight w:val="none"/>
        </w:rPr>
        <w:t>按公允价值进行初始计量</w:t>
      </w:r>
      <w:r>
        <w:rPr>
          <w:rFonts w:hint="eastAsia"/>
          <w:color w:val="auto"/>
          <w:highlight w:val="none"/>
        </w:rPr>
        <w:t>，</w:t>
      </w:r>
      <w:r>
        <w:rPr>
          <w:color w:val="auto"/>
          <w:highlight w:val="none"/>
        </w:rPr>
        <w:t>相关交易费用计入当期损益</w:t>
      </w:r>
      <w:r>
        <w:rPr>
          <w:rFonts w:hint="eastAsia"/>
          <w:color w:val="auto"/>
          <w:highlight w:val="none"/>
        </w:rPr>
        <w:t>。该金融资产按公允价值进行后续计量，</w:t>
      </w:r>
      <w:r>
        <w:rPr>
          <w:color w:val="auto"/>
          <w:highlight w:val="none"/>
        </w:rPr>
        <w:t>公允价值变动计入当期损益。</w:t>
      </w:r>
    </w:p>
    <w:p>
      <w:pPr>
        <w:pStyle w:val="35"/>
        <w:rPr>
          <w:color w:val="auto"/>
          <w:highlight w:val="none"/>
        </w:rPr>
      </w:pPr>
    </w:p>
    <w:p>
      <w:pPr>
        <w:pStyle w:val="35"/>
        <w:rPr>
          <w:color w:val="auto"/>
          <w:highlight w:val="none"/>
        </w:rPr>
      </w:pPr>
      <w:r>
        <w:rPr>
          <w:rFonts w:hint="eastAsia"/>
          <w:color w:val="auto"/>
          <w:highlight w:val="none"/>
        </w:rPr>
        <w:t>（5）以公允价值计量且其变动计入当期损益的金融负债</w:t>
      </w:r>
    </w:p>
    <w:p>
      <w:pPr>
        <w:pStyle w:val="35"/>
        <w:rPr>
          <w:color w:val="auto"/>
          <w:highlight w:val="none"/>
        </w:rPr>
      </w:pPr>
      <w:r>
        <w:rPr>
          <w:rFonts w:hint="eastAsia"/>
          <w:color w:val="auto"/>
          <w:highlight w:val="none"/>
        </w:rPr>
        <w:t>以公允价值计量且其变动计入当期损益的金融负债</w:t>
      </w:r>
      <w:r>
        <w:rPr>
          <w:color w:val="auto"/>
          <w:highlight w:val="none"/>
        </w:rPr>
        <w:t>包括交易性金融负债</w:t>
      </w:r>
      <w:r>
        <w:rPr>
          <w:rFonts w:hint="eastAsia"/>
          <w:color w:val="auto"/>
          <w:highlight w:val="none"/>
        </w:rPr>
        <w:t>、</w:t>
      </w:r>
      <w:r>
        <w:rPr>
          <w:color w:val="auto"/>
          <w:highlight w:val="none"/>
        </w:rPr>
        <w:t>衍生金融负债等</w:t>
      </w:r>
      <w:r>
        <w:rPr>
          <w:rFonts w:hint="eastAsia"/>
          <w:color w:val="auto"/>
          <w:highlight w:val="none"/>
        </w:rPr>
        <w:t>，</w:t>
      </w:r>
      <w:r>
        <w:rPr>
          <w:color w:val="auto"/>
          <w:highlight w:val="none"/>
        </w:rPr>
        <w:t>按公允价值进行初始计量</w:t>
      </w:r>
      <w:r>
        <w:rPr>
          <w:rFonts w:hint="eastAsia"/>
          <w:color w:val="auto"/>
          <w:highlight w:val="none"/>
        </w:rPr>
        <w:t>，</w:t>
      </w:r>
      <w:r>
        <w:rPr>
          <w:color w:val="auto"/>
          <w:highlight w:val="none"/>
        </w:rPr>
        <w:t>相关交易费用计入当期损益</w:t>
      </w:r>
      <w:r>
        <w:rPr>
          <w:rFonts w:hint="eastAsia"/>
          <w:color w:val="auto"/>
          <w:highlight w:val="none"/>
        </w:rPr>
        <w:t>。该金融负债按公允价值进行后续计量，</w:t>
      </w:r>
      <w:r>
        <w:rPr>
          <w:color w:val="auto"/>
          <w:highlight w:val="none"/>
        </w:rPr>
        <w:t>公允价值变动计入当期损益。</w:t>
      </w:r>
    </w:p>
    <w:p>
      <w:pPr>
        <w:pStyle w:val="35"/>
        <w:rPr>
          <w:color w:val="auto"/>
          <w:highlight w:val="none"/>
        </w:rPr>
      </w:pPr>
      <w:r>
        <w:rPr>
          <w:color w:val="auto"/>
          <w:highlight w:val="none"/>
        </w:rPr>
        <w:t>终止确认时，其</w:t>
      </w:r>
      <w:r>
        <w:rPr>
          <w:rFonts w:hint="eastAsia"/>
          <w:color w:val="auto"/>
          <w:highlight w:val="none"/>
        </w:rPr>
        <w:t>账面</w:t>
      </w:r>
      <w:r>
        <w:rPr>
          <w:color w:val="auto"/>
          <w:highlight w:val="none"/>
        </w:rPr>
        <w:t>价值与</w:t>
      </w:r>
      <w:r>
        <w:rPr>
          <w:rFonts w:hint="eastAsia"/>
          <w:color w:val="auto"/>
          <w:highlight w:val="none"/>
        </w:rPr>
        <w:t>支付的对价</w:t>
      </w:r>
      <w:r>
        <w:rPr>
          <w:color w:val="auto"/>
          <w:highlight w:val="none"/>
        </w:rPr>
        <w:t>之间的差额</w:t>
      </w:r>
      <w:r>
        <w:rPr>
          <w:rFonts w:hint="eastAsia"/>
          <w:color w:val="auto"/>
          <w:highlight w:val="none"/>
        </w:rPr>
        <w:t>计入当期</w:t>
      </w:r>
      <w:r>
        <w:rPr>
          <w:color w:val="auto"/>
          <w:highlight w:val="none"/>
        </w:rPr>
        <w:t>损益。</w:t>
      </w:r>
    </w:p>
    <w:p>
      <w:pPr>
        <w:pStyle w:val="35"/>
        <w:rPr>
          <w:color w:val="auto"/>
          <w:highlight w:val="none"/>
        </w:rPr>
      </w:pPr>
    </w:p>
    <w:p>
      <w:pPr>
        <w:pStyle w:val="35"/>
        <w:rPr>
          <w:color w:val="auto"/>
          <w:highlight w:val="none"/>
        </w:rPr>
      </w:pPr>
      <w:r>
        <w:rPr>
          <w:rFonts w:hint="eastAsia"/>
          <w:color w:val="auto"/>
          <w:highlight w:val="none"/>
        </w:rPr>
        <w:t>（6）以摊余成本计量的金融负债</w:t>
      </w:r>
    </w:p>
    <w:p>
      <w:pPr>
        <w:pStyle w:val="35"/>
        <w:rPr>
          <w:color w:val="auto"/>
          <w:highlight w:val="none"/>
        </w:rPr>
      </w:pPr>
      <w:r>
        <w:rPr>
          <w:color w:val="auto"/>
          <w:highlight w:val="none"/>
        </w:rPr>
        <w:t>以摊余成本计量的金融负债包括短期借款</w:t>
      </w:r>
      <w:r>
        <w:rPr>
          <w:rFonts w:hint="eastAsia"/>
          <w:color w:val="auto"/>
          <w:highlight w:val="none"/>
        </w:rPr>
        <w:t>、</w:t>
      </w:r>
      <w:r>
        <w:rPr>
          <w:color w:val="auto"/>
          <w:highlight w:val="none"/>
        </w:rPr>
        <w:t>应付票据</w:t>
      </w:r>
      <w:r>
        <w:rPr>
          <w:rFonts w:hint="eastAsia"/>
          <w:color w:val="auto"/>
          <w:highlight w:val="none"/>
        </w:rPr>
        <w:t>、</w:t>
      </w:r>
      <w:r>
        <w:rPr>
          <w:color w:val="auto"/>
          <w:highlight w:val="none"/>
        </w:rPr>
        <w:t>应付账款、其他应付款</w:t>
      </w:r>
      <w:r>
        <w:rPr>
          <w:rFonts w:hint="eastAsia"/>
          <w:color w:val="auto"/>
          <w:highlight w:val="none"/>
        </w:rPr>
        <w:t>、长期借款、应付债券、</w:t>
      </w:r>
      <w:r>
        <w:rPr>
          <w:color w:val="auto"/>
          <w:highlight w:val="none"/>
        </w:rPr>
        <w:t>长期应付款，按公允价值进行初始计量</w:t>
      </w:r>
      <w:r>
        <w:rPr>
          <w:rFonts w:hint="eastAsia"/>
          <w:color w:val="auto"/>
          <w:highlight w:val="none"/>
        </w:rPr>
        <w:t>，</w:t>
      </w:r>
      <w:r>
        <w:rPr>
          <w:color w:val="auto"/>
          <w:highlight w:val="none"/>
        </w:rPr>
        <w:t>相关交易费用计入初始确认金额</w:t>
      </w:r>
      <w:r>
        <w:rPr>
          <w:rFonts w:hint="eastAsia"/>
          <w:color w:val="auto"/>
          <w:highlight w:val="none"/>
        </w:rPr>
        <w:t>。</w:t>
      </w:r>
    </w:p>
    <w:p>
      <w:pPr>
        <w:pStyle w:val="35"/>
        <w:rPr>
          <w:color w:val="auto"/>
          <w:highlight w:val="none"/>
        </w:rPr>
      </w:pPr>
      <w:r>
        <w:rPr>
          <w:color w:val="auto"/>
          <w:highlight w:val="none"/>
        </w:rPr>
        <w:t>持有期间采用实际利率法计算的利息计入当期损益</w:t>
      </w:r>
      <w:r>
        <w:rPr>
          <w:rFonts w:hint="eastAsia"/>
          <w:color w:val="auto"/>
          <w:highlight w:val="none"/>
        </w:rPr>
        <w:t>。</w:t>
      </w:r>
    </w:p>
    <w:p>
      <w:pPr>
        <w:pStyle w:val="35"/>
        <w:rPr>
          <w:color w:val="auto"/>
          <w:highlight w:val="none"/>
        </w:rPr>
      </w:pPr>
      <w:r>
        <w:rPr>
          <w:color w:val="auto"/>
          <w:highlight w:val="none"/>
        </w:rPr>
        <w:t>终止确认时，将</w:t>
      </w:r>
      <w:r>
        <w:rPr>
          <w:rFonts w:hint="eastAsia"/>
          <w:color w:val="auto"/>
          <w:highlight w:val="none"/>
        </w:rPr>
        <w:t>支付的对价</w:t>
      </w:r>
      <w:r>
        <w:rPr>
          <w:color w:val="auto"/>
          <w:highlight w:val="none"/>
        </w:rPr>
        <w:t>与该金融负债账面价值之间的差额计入当期损益。</w:t>
      </w:r>
    </w:p>
    <w:p>
      <w:pPr>
        <w:pStyle w:val="35"/>
        <w:rPr>
          <w:color w:val="auto"/>
          <w:highlight w:val="none"/>
        </w:rPr>
      </w:pPr>
    </w:p>
    <w:p>
      <w:pPr>
        <w:pStyle w:val="44"/>
        <w:rPr>
          <w:color w:val="auto"/>
          <w:highlight w:val="none"/>
        </w:rPr>
      </w:pPr>
      <w:r>
        <w:rPr>
          <w:color w:val="auto"/>
          <w:highlight w:val="none"/>
        </w:rPr>
        <w:t>金融资产终止确认和金融资产转移</w:t>
      </w:r>
    </w:p>
    <w:p>
      <w:pPr>
        <w:pStyle w:val="35"/>
        <w:rPr>
          <w:rFonts w:eastAsiaTheme="minorEastAsia"/>
          <w:color w:val="auto"/>
          <w:highlight w:val="none"/>
        </w:rPr>
      </w:pPr>
      <w:r>
        <w:rPr>
          <w:rFonts w:eastAsiaTheme="minorEastAsia"/>
          <w:color w:val="auto"/>
          <w:highlight w:val="none"/>
        </w:rPr>
        <w:t>满足下列条件之一时</w:t>
      </w:r>
      <w:r>
        <w:rPr>
          <w:rFonts w:hint="eastAsia" w:eastAsiaTheme="minorEastAsia"/>
          <w:color w:val="auto"/>
          <w:highlight w:val="none"/>
        </w:rPr>
        <w:t>，</w:t>
      </w:r>
      <w:r>
        <w:rPr>
          <w:rFonts w:eastAsiaTheme="minorEastAsia"/>
          <w:color w:val="auto"/>
          <w:highlight w:val="none"/>
        </w:rPr>
        <w:t>本公司终止确认金融资产</w:t>
      </w:r>
      <w:r>
        <w:rPr>
          <w:rFonts w:hint="eastAsia" w:eastAsiaTheme="minorEastAsia"/>
          <w:color w:val="auto"/>
          <w:highlight w:val="none"/>
        </w:rPr>
        <w:t>：</w:t>
      </w:r>
    </w:p>
    <w:p>
      <w:pPr>
        <w:pStyle w:val="35"/>
        <w:numPr>
          <w:ilvl w:val="0"/>
          <w:numId w:val="15"/>
        </w:numPr>
        <w:rPr>
          <w:rFonts w:eastAsiaTheme="minorEastAsia"/>
          <w:color w:val="auto"/>
          <w:highlight w:val="none"/>
        </w:rPr>
      </w:pPr>
      <w:r>
        <w:rPr>
          <w:rFonts w:hint="eastAsia" w:eastAsiaTheme="minorEastAsia"/>
          <w:color w:val="auto"/>
          <w:highlight w:val="none"/>
        </w:rPr>
        <w:t>收取金融资产现金流量的合同权利终止；</w:t>
      </w:r>
    </w:p>
    <w:p>
      <w:pPr>
        <w:pStyle w:val="35"/>
        <w:numPr>
          <w:ilvl w:val="0"/>
          <w:numId w:val="15"/>
        </w:numPr>
        <w:rPr>
          <w:rFonts w:eastAsiaTheme="minorEastAsia"/>
          <w:color w:val="auto"/>
          <w:highlight w:val="none"/>
        </w:rPr>
      </w:pPr>
      <w:r>
        <w:rPr>
          <w:rFonts w:eastAsiaTheme="minorEastAsia"/>
          <w:color w:val="auto"/>
          <w:highlight w:val="none"/>
        </w:rPr>
        <w:t>金融资产已转移，</w:t>
      </w:r>
      <w:r>
        <w:rPr>
          <w:rFonts w:hint="eastAsia" w:eastAsiaTheme="minorEastAsia"/>
          <w:color w:val="auto"/>
          <w:highlight w:val="none"/>
        </w:rPr>
        <w:t>且</w:t>
      </w:r>
      <w:r>
        <w:rPr>
          <w:rFonts w:eastAsiaTheme="minorEastAsia"/>
          <w:color w:val="auto"/>
          <w:highlight w:val="none"/>
        </w:rPr>
        <w:t>已将金融资产所有权上几乎所有的风险和报酬转移给转入方；</w:t>
      </w:r>
    </w:p>
    <w:p>
      <w:pPr>
        <w:pStyle w:val="35"/>
        <w:numPr>
          <w:ilvl w:val="0"/>
          <w:numId w:val="15"/>
        </w:numPr>
        <w:rPr>
          <w:rFonts w:eastAsiaTheme="minorEastAsia"/>
          <w:color w:val="auto"/>
          <w:highlight w:val="none"/>
        </w:rPr>
      </w:pPr>
      <w:r>
        <w:rPr>
          <w:rFonts w:eastAsiaTheme="minorEastAsia"/>
          <w:color w:val="auto"/>
          <w:highlight w:val="none"/>
        </w:rPr>
        <w:t>金融资产已转移</w:t>
      </w:r>
      <w:r>
        <w:rPr>
          <w:rFonts w:hint="eastAsia" w:eastAsiaTheme="minorEastAsia"/>
          <w:color w:val="auto"/>
          <w:highlight w:val="none"/>
        </w:rPr>
        <w:t>，</w:t>
      </w:r>
      <w:r>
        <w:rPr>
          <w:rFonts w:eastAsiaTheme="minorEastAsia"/>
          <w:color w:val="auto"/>
          <w:highlight w:val="none"/>
        </w:rPr>
        <w:t>虽然本公司既没有转移也没有</w:t>
      </w:r>
      <w:r>
        <w:rPr>
          <w:rFonts w:hint="eastAsia" w:eastAsiaTheme="minorEastAsia"/>
          <w:color w:val="auto"/>
          <w:highlight w:val="none"/>
        </w:rPr>
        <w:t>保留金融资产所有权上几乎所有的风险和报酬，但是未保留对金融资产的控制。</w:t>
      </w:r>
    </w:p>
    <w:p>
      <w:pPr>
        <w:pStyle w:val="35"/>
        <w:rPr>
          <w:rFonts w:eastAsiaTheme="minorEastAsia"/>
          <w:color w:val="auto"/>
          <w:highlight w:val="none"/>
        </w:rPr>
      </w:pPr>
    </w:p>
    <w:p>
      <w:pPr>
        <w:pStyle w:val="35"/>
        <w:rPr>
          <w:rFonts w:eastAsiaTheme="minorEastAsia"/>
          <w:color w:val="auto"/>
          <w:highlight w:val="none"/>
        </w:rPr>
      </w:pPr>
      <w:r>
        <w:rPr>
          <w:rFonts w:eastAsiaTheme="minorEastAsia"/>
          <w:color w:val="auto"/>
          <w:highlight w:val="none"/>
        </w:rPr>
        <w:t>发生金融资产转移时</w:t>
      </w:r>
      <w:r>
        <w:rPr>
          <w:rFonts w:hint="eastAsia" w:eastAsiaTheme="minorEastAsia"/>
          <w:color w:val="auto"/>
          <w:highlight w:val="none"/>
        </w:rPr>
        <w:t>，</w:t>
      </w:r>
      <w:r>
        <w:rPr>
          <w:rFonts w:eastAsiaTheme="minorEastAsia"/>
          <w:color w:val="auto"/>
          <w:highlight w:val="none"/>
        </w:rPr>
        <w:t>如保留了金融资产所有权上几乎所有的风险和报酬的，则不终止确认该金融资产。</w:t>
      </w:r>
    </w:p>
    <w:p>
      <w:pPr>
        <w:pStyle w:val="35"/>
        <w:rPr>
          <w:rFonts w:eastAsiaTheme="minorEastAsia"/>
          <w:color w:val="auto"/>
          <w:highlight w:val="none"/>
        </w:rPr>
      </w:pPr>
    </w:p>
    <w:p>
      <w:pPr>
        <w:pStyle w:val="35"/>
        <w:rPr>
          <w:rFonts w:eastAsiaTheme="minorEastAsia"/>
          <w:color w:val="auto"/>
          <w:highlight w:val="none"/>
        </w:rPr>
      </w:pPr>
      <w:r>
        <w:rPr>
          <w:rFonts w:eastAsiaTheme="minorEastAsia"/>
          <w:color w:val="auto"/>
          <w:highlight w:val="none"/>
        </w:rPr>
        <w:t>在判断金融资产转移是否满足上述金融资产终止确认条件时，采用实质重于形式的原则。公司将金融资产转移区分为金融资产整体转移和部分转移。金融资产整体转移满足终止确认条件的，将下列两项金额的差额计入当期损益：</w:t>
      </w:r>
    </w:p>
    <w:p>
      <w:pPr>
        <w:pStyle w:val="35"/>
        <w:rPr>
          <w:rFonts w:eastAsiaTheme="minorEastAsia"/>
          <w:color w:val="auto"/>
          <w:highlight w:val="none"/>
        </w:rPr>
      </w:pPr>
      <w:r>
        <w:rPr>
          <w:rFonts w:eastAsiaTheme="minorEastAsia"/>
          <w:color w:val="auto"/>
          <w:highlight w:val="none"/>
        </w:rPr>
        <w:t>（1）所转移金融资产的账面价值；</w:t>
      </w:r>
    </w:p>
    <w:p>
      <w:pPr>
        <w:pStyle w:val="35"/>
        <w:rPr>
          <w:rFonts w:eastAsiaTheme="minorEastAsia"/>
          <w:color w:val="auto"/>
          <w:highlight w:val="none"/>
        </w:rPr>
      </w:pPr>
      <w:r>
        <w:rPr>
          <w:rFonts w:eastAsiaTheme="minorEastAsia"/>
          <w:color w:val="auto"/>
          <w:highlight w:val="none"/>
        </w:rPr>
        <w:t>（2）因转移而收到的对价，与原直接计入所有者权益的公允价值变动累计额（涉及转移的金融资产为</w:t>
      </w:r>
      <w:r>
        <w:rPr>
          <w:rFonts w:hint="eastAsia"/>
          <w:color w:val="auto"/>
          <w:highlight w:val="none"/>
        </w:rPr>
        <w:t>以公允价值计量且其变动计入其他综合收益的金融资产（债务工具）</w:t>
      </w:r>
      <w:r>
        <w:rPr>
          <w:rFonts w:eastAsiaTheme="minorEastAsia"/>
          <w:color w:val="auto"/>
          <w:highlight w:val="none"/>
        </w:rPr>
        <w:t>的情形）之和。</w:t>
      </w:r>
    </w:p>
    <w:p>
      <w:pPr>
        <w:pStyle w:val="35"/>
        <w:rPr>
          <w:rFonts w:eastAsiaTheme="minorEastAsia"/>
          <w:color w:val="auto"/>
          <w:highlight w:val="none"/>
        </w:rPr>
      </w:pPr>
    </w:p>
    <w:p>
      <w:pPr>
        <w:pStyle w:val="35"/>
        <w:rPr>
          <w:rFonts w:eastAsiaTheme="minorEastAsia"/>
          <w:color w:val="auto"/>
          <w:highlight w:val="none"/>
        </w:rPr>
      </w:pPr>
      <w:r>
        <w:rPr>
          <w:rFonts w:eastAsiaTheme="minorEastAsia"/>
          <w:color w:val="auto"/>
          <w:highlight w:val="none"/>
        </w:rPr>
        <w:t>金融资产部分转移满足终止确认条件的，将所转移金融资产整体的账面价值，在终止确认部分和未终止确认部分之间，按照各自的相对公允价值进行分摊，并将下列两项金额的差额计入当期损益：</w:t>
      </w:r>
    </w:p>
    <w:p>
      <w:pPr>
        <w:pStyle w:val="35"/>
        <w:rPr>
          <w:rFonts w:eastAsiaTheme="minorEastAsia"/>
          <w:color w:val="auto"/>
          <w:highlight w:val="none"/>
        </w:rPr>
      </w:pPr>
      <w:r>
        <w:rPr>
          <w:rFonts w:eastAsiaTheme="minorEastAsia"/>
          <w:color w:val="auto"/>
          <w:highlight w:val="none"/>
        </w:rPr>
        <w:t>（1）终止确认部分的账面价值；</w:t>
      </w:r>
    </w:p>
    <w:p>
      <w:pPr>
        <w:pStyle w:val="35"/>
        <w:rPr>
          <w:rFonts w:eastAsiaTheme="minorEastAsia"/>
          <w:color w:val="auto"/>
          <w:highlight w:val="none"/>
        </w:rPr>
      </w:pPr>
      <w:r>
        <w:rPr>
          <w:rFonts w:eastAsiaTheme="minorEastAsia"/>
          <w:color w:val="auto"/>
          <w:highlight w:val="none"/>
        </w:rPr>
        <w:t>（2）终止确认部分的对价，与原直接计入所有者权益的公允价值变动累计额中对应终止确认部分的金额（涉及转移的金融资产为</w:t>
      </w:r>
      <w:r>
        <w:rPr>
          <w:rFonts w:hint="eastAsia"/>
          <w:color w:val="auto"/>
          <w:highlight w:val="none"/>
        </w:rPr>
        <w:t>以公允价值计量且其变动计入其他综合收益的金融资产（债务工具）</w:t>
      </w:r>
      <w:r>
        <w:rPr>
          <w:rFonts w:eastAsiaTheme="minorEastAsia"/>
          <w:color w:val="auto"/>
          <w:highlight w:val="none"/>
        </w:rPr>
        <w:t>的情形）之和。</w:t>
      </w:r>
    </w:p>
    <w:p>
      <w:pPr>
        <w:pStyle w:val="35"/>
        <w:rPr>
          <w:rFonts w:eastAsiaTheme="minorEastAsia"/>
          <w:color w:val="auto"/>
          <w:highlight w:val="none"/>
        </w:rPr>
      </w:pPr>
    </w:p>
    <w:p>
      <w:pPr>
        <w:pStyle w:val="35"/>
        <w:rPr>
          <w:rFonts w:eastAsiaTheme="minorEastAsia"/>
          <w:color w:val="auto"/>
          <w:highlight w:val="none"/>
        </w:rPr>
      </w:pPr>
      <w:r>
        <w:rPr>
          <w:rFonts w:eastAsiaTheme="minorEastAsia"/>
          <w:color w:val="auto"/>
          <w:highlight w:val="none"/>
        </w:rPr>
        <w:t>金融资产转移不满足终止确认条件的，继续确认该金融资产，所收到的对价确认为一项金融负债。</w:t>
      </w:r>
    </w:p>
    <w:p>
      <w:pPr>
        <w:pStyle w:val="44"/>
        <w:rPr>
          <w:color w:val="auto"/>
          <w:highlight w:val="none"/>
        </w:rPr>
      </w:pPr>
      <w:r>
        <w:rPr>
          <w:color w:val="auto"/>
          <w:highlight w:val="none"/>
        </w:rPr>
        <w:t>金融负债终止确认</w:t>
      </w:r>
    </w:p>
    <w:p>
      <w:pPr>
        <w:pStyle w:val="35"/>
        <w:rPr>
          <w:rFonts w:eastAsiaTheme="minorEastAsia"/>
          <w:color w:val="auto"/>
          <w:highlight w:val="none"/>
        </w:rPr>
      </w:pPr>
      <w:r>
        <w:rPr>
          <w:rFonts w:eastAsiaTheme="minorEastAsia"/>
          <w:color w:val="auto"/>
          <w:highlight w:val="none"/>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pPr>
        <w:pStyle w:val="35"/>
        <w:rPr>
          <w:rFonts w:eastAsiaTheme="minorEastAsia"/>
          <w:color w:val="auto"/>
          <w:highlight w:val="none"/>
        </w:rPr>
      </w:pPr>
      <w:r>
        <w:rPr>
          <w:rFonts w:eastAsiaTheme="minorEastAsia"/>
          <w:color w:val="auto"/>
          <w:highlight w:val="none"/>
        </w:rPr>
        <w:t>对现存金融负债全部或部分合同条款作出实质性修改的，则终止确认现存金融负债或其一部分，同时将修改条款后的金融负债确认为一项新金融负债。</w:t>
      </w:r>
    </w:p>
    <w:p>
      <w:pPr>
        <w:pStyle w:val="35"/>
        <w:rPr>
          <w:rFonts w:eastAsiaTheme="minorEastAsia"/>
          <w:color w:val="auto"/>
          <w:highlight w:val="none"/>
        </w:rPr>
      </w:pPr>
      <w:r>
        <w:rPr>
          <w:rFonts w:eastAsiaTheme="minorEastAsia"/>
          <w:color w:val="auto"/>
          <w:highlight w:val="none"/>
        </w:rPr>
        <w:t>金融负债全部或部分终止确认时，终止确认的金融负债账面价值与支付对价（包括转出的非现金资产或承担的新金融负债）之间的差额，计入当期损益。</w:t>
      </w:r>
    </w:p>
    <w:p>
      <w:pPr>
        <w:pStyle w:val="35"/>
        <w:rPr>
          <w:color w:val="auto"/>
          <w:highlight w:val="none"/>
        </w:rPr>
      </w:pPr>
      <w:r>
        <w:rPr>
          <w:rFonts w:eastAsiaTheme="minorEastAsia"/>
          <w:color w:val="auto"/>
          <w:highlight w:val="none"/>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pPr>
        <w:pStyle w:val="35"/>
        <w:rPr>
          <w:color w:val="auto"/>
          <w:highlight w:val="none"/>
        </w:rPr>
      </w:pPr>
    </w:p>
    <w:p>
      <w:pPr>
        <w:pStyle w:val="44"/>
        <w:rPr>
          <w:color w:val="auto"/>
          <w:highlight w:val="none"/>
        </w:rPr>
      </w:pPr>
      <w:r>
        <w:rPr>
          <w:color w:val="auto"/>
          <w:highlight w:val="none"/>
        </w:rPr>
        <w:t>金融资产和金融负债的公允价值的确定方法</w:t>
      </w:r>
    </w:p>
    <w:p>
      <w:pPr>
        <w:pStyle w:val="35"/>
        <w:rPr>
          <w:rFonts w:eastAsiaTheme="minorEastAsia"/>
          <w:color w:val="auto"/>
          <w:highlight w:val="none"/>
        </w:rPr>
      </w:pPr>
      <w:r>
        <w:rPr>
          <w:rFonts w:eastAsiaTheme="minorEastAsia"/>
          <w:color w:val="auto"/>
          <w:highlight w:val="none"/>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pPr>
        <w:pStyle w:val="35"/>
        <w:rPr>
          <w:color w:val="auto"/>
          <w:highlight w:val="none"/>
        </w:rPr>
      </w:pPr>
    </w:p>
    <w:p>
      <w:pPr>
        <w:pStyle w:val="44"/>
        <w:rPr>
          <w:color w:val="auto"/>
          <w:highlight w:val="none"/>
        </w:rPr>
      </w:pPr>
      <w:r>
        <w:rPr>
          <w:color w:val="auto"/>
          <w:highlight w:val="none"/>
        </w:rPr>
        <w:t>金融资产减值的测试方法及会计处理方法</w:t>
      </w:r>
    </w:p>
    <w:p>
      <w:pPr>
        <w:pStyle w:val="35"/>
        <w:rPr>
          <w:color w:val="auto"/>
          <w:highlight w:val="none"/>
        </w:rPr>
      </w:pPr>
      <w:r>
        <w:rPr>
          <w:color w:val="auto"/>
          <w:highlight w:val="none"/>
        </w:rPr>
        <w:t>本公司</w:t>
      </w:r>
      <w:r>
        <w:rPr>
          <w:rFonts w:hint="eastAsia"/>
          <w:color w:val="auto"/>
          <w:highlight w:val="none"/>
        </w:rPr>
        <w:t>以单项或组合的方式</w:t>
      </w:r>
      <w:r>
        <w:rPr>
          <w:color w:val="auto"/>
          <w:highlight w:val="none"/>
        </w:rPr>
        <w:t>对以摊余成本计量的金融资产</w:t>
      </w:r>
      <w:r>
        <w:rPr>
          <w:rFonts w:hint="eastAsia"/>
          <w:color w:val="auto"/>
          <w:highlight w:val="none"/>
        </w:rPr>
        <w:t>、</w:t>
      </w:r>
      <w:r>
        <w:rPr>
          <w:color w:val="auto"/>
          <w:highlight w:val="none"/>
        </w:rPr>
        <w:t>以公允价值计量且其变动计入其他综合收益的金融资产</w:t>
      </w:r>
      <w:r>
        <w:rPr>
          <w:rFonts w:hint="eastAsia"/>
          <w:color w:val="auto"/>
          <w:highlight w:val="none"/>
        </w:rPr>
        <w:t>（债务工具）和财务担保合同等的预期信用损失进行估计。</w:t>
      </w:r>
    </w:p>
    <w:p>
      <w:pPr>
        <w:pStyle w:val="35"/>
        <w:rPr>
          <w:color w:val="auto"/>
          <w:highlight w:val="none"/>
        </w:rPr>
      </w:pPr>
      <w:r>
        <w:rPr>
          <w:rFonts w:hint="eastAsia"/>
          <w:color w:val="auto"/>
          <w:highlight w:val="none"/>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color w:val="auto"/>
          <w:highlight w:val="none"/>
        </w:rPr>
        <w:t>如果该金融工具的信用风险自初始确认后已显著增加，本公司按照相当于该金融工具整个存续期内预期信用损失的金额计量其损失准备</w:t>
      </w:r>
      <w:r>
        <w:rPr>
          <w:rFonts w:hint="eastAsia"/>
          <w:color w:val="auto"/>
          <w:highlight w:val="none"/>
        </w:rPr>
        <w:t>；</w:t>
      </w:r>
      <w:r>
        <w:rPr>
          <w:color w:val="auto"/>
          <w:highlight w:val="none"/>
        </w:rPr>
        <w:t>如果该金融工具的信用风险自初始确认后并未显著增加，本公司按照相当于该金融工具未来12个月内预期信用损失的金额计量其损失准备</w:t>
      </w:r>
      <w:r>
        <w:rPr>
          <w:rFonts w:hint="eastAsia"/>
          <w:color w:val="auto"/>
          <w:highlight w:val="none"/>
        </w:rPr>
        <w:t>。</w:t>
      </w:r>
      <w:r>
        <w:rPr>
          <w:color w:val="auto"/>
          <w:highlight w:val="none"/>
        </w:rPr>
        <w:t>由此形成的损失准备的增加或转回金额，作为减值损失或利得计入当期损益。</w:t>
      </w:r>
    </w:p>
    <w:p>
      <w:pPr>
        <w:pStyle w:val="35"/>
        <w:rPr>
          <w:color w:val="auto"/>
          <w:highlight w:val="none"/>
        </w:rPr>
      </w:pPr>
      <w:r>
        <w:rPr>
          <w:color w:val="auto"/>
          <w:highlight w:val="none"/>
        </w:rPr>
        <w:t>本公司通过比较金融工具在资产负债表日发生违约的风险与在初始确认日发生违约的风险</w:t>
      </w:r>
      <w:r>
        <w:rPr>
          <w:rFonts w:hint="eastAsia"/>
          <w:color w:val="auto"/>
          <w:highlight w:val="none"/>
        </w:rPr>
        <w:t>，</w:t>
      </w:r>
      <w:r>
        <w:rPr>
          <w:color w:val="auto"/>
          <w:highlight w:val="none"/>
        </w:rPr>
        <w:t>以确定金融工具预计存续期内发生违约风险的相对变化</w:t>
      </w:r>
      <w:r>
        <w:rPr>
          <w:rFonts w:hint="eastAsia"/>
          <w:color w:val="auto"/>
          <w:highlight w:val="none"/>
        </w:rPr>
        <w:t>，</w:t>
      </w:r>
      <w:r>
        <w:rPr>
          <w:color w:val="auto"/>
          <w:highlight w:val="none"/>
        </w:rPr>
        <w:t>以评估金融工具的信用风险自初始确认后是否已显著增加</w:t>
      </w:r>
      <w:r>
        <w:rPr>
          <w:rFonts w:hint="eastAsia"/>
          <w:color w:val="auto"/>
          <w:highlight w:val="none"/>
        </w:rPr>
        <w:t>。</w:t>
      </w:r>
      <w:r>
        <w:rPr>
          <w:color w:val="auto"/>
          <w:highlight w:val="none"/>
        </w:rPr>
        <w:t>通常逾期超过</w:t>
      </w:r>
      <w:r>
        <w:rPr>
          <w:rFonts w:hint="eastAsia"/>
          <w:color w:val="auto"/>
          <w:highlight w:val="none"/>
        </w:rPr>
        <w:t>30日，本公司即认为该金融工具的信用风险已显著增加，除非有确凿证据证明该金融工具的信用风险自初始确认后并未显著增加。</w:t>
      </w:r>
    </w:p>
    <w:p>
      <w:pPr>
        <w:pStyle w:val="35"/>
        <w:rPr>
          <w:color w:val="auto"/>
          <w:highlight w:val="none"/>
        </w:rPr>
      </w:pPr>
      <w:r>
        <w:rPr>
          <w:rFonts w:hint="eastAsia"/>
          <w:color w:val="auto"/>
          <w:highlight w:val="none"/>
        </w:rPr>
        <w:t>如果金融工具于资产负债表日的信用风险较低，本公司即认为该金融工具的信用风险自初始确认后并未显著增加。</w:t>
      </w:r>
    </w:p>
    <w:p>
      <w:pPr>
        <w:pStyle w:val="35"/>
        <w:rPr>
          <w:color w:val="auto"/>
          <w:highlight w:val="none"/>
        </w:rPr>
      </w:pPr>
      <w:r>
        <w:rPr>
          <w:rFonts w:hint="eastAsia"/>
          <w:color w:val="auto"/>
          <w:highlight w:val="none"/>
        </w:rPr>
        <w:t>如果有客观证据表明某项金融资产已经发生信用减值，则本公司在单项基础上对该金融资产计提减值准备。</w:t>
      </w:r>
    </w:p>
    <w:p>
      <w:pPr>
        <w:pStyle w:val="35"/>
        <w:rPr>
          <w:rFonts w:eastAsiaTheme="minorEastAsia"/>
          <w:color w:val="auto"/>
          <w:highlight w:val="none"/>
        </w:rPr>
      </w:pPr>
      <w:r>
        <w:rPr>
          <w:rFonts w:hint="eastAsia" w:eastAsiaTheme="minorEastAsia"/>
          <w:color w:val="auto"/>
          <w:highlight w:val="none"/>
        </w:rPr>
        <w:t>对于由《企业会计准则第1</w:t>
      </w:r>
      <w:r>
        <w:rPr>
          <w:rFonts w:eastAsiaTheme="minorEastAsia"/>
          <w:color w:val="auto"/>
          <w:highlight w:val="none"/>
        </w:rPr>
        <w:t>4号</w:t>
      </w:r>
      <w:r>
        <w:rPr>
          <w:rFonts w:hint="eastAsia" w:eastAsiaTheme="minorEastAsia"/>
          <w:color w:val="auto"/>
          <w:highlight w:val="none"/>
        </w:rPr>
        <w:t>——收入》(</w:t>
      </w:r>
      <w:r>
        <w:rPr>
          <w:rFonts w:eastAsiaTheme="minorEastAsia"/>
          <w:color w:val="auto"/>
          <w:highlight w:val="none"/>
        </w:rPr>
        <w:t>2017</w:t>
      </w:r>
      <w:r>
        <w:rPr>
          <w:rFonts w:hint="eastAsia" w:eastAsiaTheme="minorEastAsia"/>
          <w:color w:val="auto"/>
          <w:highlight w:val="none"/>
        </w:rPr>
        <w:t>)</w:t>
      </w:r>
      <w:r>
        <w:rPr>
          <w:rFonts w:eastAsiaTheme="minorEastAsia"/>
          <w:color w:val="auto"/>
          <w:highlight w:val="none"/>
        </w:rPr>
        <w:t>规范的交易</w:t>
      </w:r>
      <w:r>
        <w:rPr>
          <w:rFonts w:hint="eastAsia" w:eastAsiaTheme="minorEastAsia"/>
          <w:color w:val="auto"/>
          <w:highlight w:val="none"/>
        </w:rPr>
        <w:t>形成的应收款项和合同资产，无论是否包含重大融资成分，本公司</w:t>
      </w:r>
      <w:r>
        <w:rPr>
          <w:rFonts w:eastAsiaTheme="minorEastAsia"/>
          <w:color w:val="auto"/>
          <w:highlight w:val="none"/>
        </w:rPr>
        <w:t>始终按照相当于整个存续期内预期信用损失的金额计量其损失准备</w:t>
      </w:r>
      <w:r>
        <w:rPr>
          <w:rFonts w:hint="eastAsia" w:eastAsiaTheme="minorEastAsia"/>
          <w:color w:val="auto"/>
          <w:highlight w:val="none"/>
        </w:rPr>
        <w:t>。</w:t>
      </w:r>
    </w:p>
    <w:p>
      <w:pPr>
        <w:pStyle w:val="35"/>
        <w:rPr>
          <w:rFonts w:eastAsiaTheme="minorEastAsia"/>
          <w:color w:val="auto"/>
          <w:highlight w:val="none"/>
        </w:rPr>
      </w:pPr>
      <w:r>
        <w:rPr>
          <w:rFonts w:hint="eastAsia" w:eastAsiaTheme="minorEastAsia"/>
          <w:color w:val="auto"/>
          <w:highlight w:val="none"/>
        </w:rPr>
        <w:t>对于租赁应收款，本公司选择始终按照相当于整个存续期内预期信用损失的金额计量其损失准备。</w:t>
      </w:r>
    </w:p>
    <w:p>
      <w:pPr>
        <w:pStyle w:val="35"/>
        <w:rPr>
          <w:color w:val="auto"/>
          <w:highlight w:val="none"/>
        </w:rPr>
      </w:pPr>
      <w:r>
        <w:rPr>
          <w:rFonts w:hint="eastAsia"/>
          <w:color w:val="auto"/>
          <w:highlight w:val="none"/>
        </w:rPr>
        <w:t>本公司不再合理预期金融资产合同现金流量能够全部或部分收回的，直接减记该金融资产的账面余额。</w:t>
      </w:r>
    </w:p>
    <w:p>
      <w:pPr>
        <w:pStyle w:val="35"/>
        <w:rPr>
          <w:color w:val="auto"/>
          <w:highlight w:val="none"/>
        </w:rPr>
      </w:pPr>
    </w:p>
    <w:p>
      <w:pPr>
        <w:pStyle w:val="44"/>
        <w:rPr>
          <w:color w:val="auto"/>
          <w:highlight w:val="none"/>
        </w:rPr>
      </w:pPr>
      <w:r>
        <w:rPr>
          <w:rFonts w:hint="eastAsia"/>
          <w:color w:val="auto"/>
          <w:highlight w:val="none"/>
        </w:rPr>
        <w:t>金融资产和金融负债的抵销</w:t>
      </w:r>
    </w:p>
    <w:p>
      <w:pPr>
        <w:pStyle w:val="35"/>
        <w:rPr>
          <w:color w:val="auto"/>
          <w:highlight w:val="none"/>
        </w:rPr>
      </w:pPr>
      <w:r>
        <w:rPr>
          <w:color w:val="auto"/>
          <w:highlight w:val="none"/>
        </w:rPr>
        <w:t>当依法有权抵销债权债务且该法定权利当前是可执行的，同时交易双方准备按净额进行结算，或同时结清资产和负债时，金融资产和负债以抵销后的净额在资产负债表中列示。</w:t>
      </w:r>
    </w:p>
    <w:p>
      <w:pPr>
        <w:pStyle w:val="35"/>
        <w:rPr>
          <w:color w:val="auto"/>
          <w:highlight w:val="none"/>
        </w:rPr>
      </w:pPr>
    </w:p>
    <w:p>
      <w:pPr>
        <w:pStyle w:val="44"/>
        <w:rPr>
          <w:color w:val="auto"/>
          <w:highlight w:val="none"/>
        </w:rPr>
      </w:pPr>
      <w:r>
        <w:rPr>
          <w:rFonts w:hint="eastAsia"/>
          <w:color w:val="auto"/>
          <w:highlight w:val="none"/>
        </w:rPr>
        <w:t>金融负债与权益工具的区分及相关处理</w:t>
      </w:r>
    </w:p>
    <w:p>
      <w:pPr>
        <w:pStyle w:val="35"/>
        <w:rPr>
          <w:color w:val="auto"/>
          <w:highlight w:val="none"/>
        </w:rPr>
      </w:pPr>
      <w:r>
        <w:rPr>
          <w:color w:val="auto"/>
          <w:highlight w:val="none"/>
        </w:rPr>
        <w:t>权益工具是指能证明拥有某个企业在扣除所有负债后资产中的剩余权益的合同，如果公司不能无条件地避免以交付现金或其他金融资产来履行一项合同义务，则该合同义务为金融负债。</w:t>
      </w:r>
    </w:p>
    <w:p>
      <w:pPr>
        <w:pStyle w:val="35"/>
        <w:rPr>
          <w:color w:val="auto"/>
          <w:highlight w:val="none"/>
        </w:rPr>
      </w:pPr>
      <w:r>
        <w:rPr>
          <w:color w:val="auto"/>
          <w:highlight w:val="none"/>
        </w:rPr>
        <w:t>金融工具属于金融负债的，相关利息、股利、利得、损失，以及赎回或再融资产生的利得或损失等，应当计入当期损益。</w:t>
      </w:r>
    </w:p>
    <w:p>
      <w:pPr>
        <w:pStyle w:val="35"/>
        <w:rPr>
          <w:color w:val="auto"/>
          <w:highlight w:val="none"/>
        </w:rPr>
      </w:pPr>
      <w:r>
        <w:rPr>
          <w:color w:val="auto"/>
          <w:highlight w:val="none"/>
        </w:rPr>
        <w:t>金融工具属于权益工具的，其发行、回购、出售、注销时，发行方应当作为权益的变动处理，不应当确认权益工具的公允价值变动，发行方对权益工具的持有方的分配应作利润分配处理。</w:t>
      </w:r>
    </w:p>
    <w:p>
      <w:pPr>
        <w:pStyle w:val="35"/>
        <w:rPr>
          <w:rFonts w:hint="eastAsia"/>
          <w:color w:val="auto"/>
          <w:highlight w:val="none"/>
        </w:rPr>
      </w:pPr>
    </w:p>
    <w:p>
      <w:pPr>
        <w:pStyle w:val="35"/>
        <w:rPr>
          <w:rFonts w:hint="eastAsia"/>
          <w:color w:val="auto"/>
          <w:highlight w:val="none"/>
        </w:rPr>
      </w:pPr>
    </w:p>
    <w:p>
      <w:pPr>
        <w:pStyle w:val="35"/>
        <w:rPr>
          <w:color w:val="auto"/>
          <w:highlight w:val="none"/>
        </w:rPr>
      </w:pPr>
    </w:p>
    <w:p>
      <w:pPr>
        <w:pStyle w:val="37"/>
        <w:rPr>
          <w:color w:val="auto"/>
          <w:highlight w:val="none"/>
        </w:rPr>
      </w:pPr>
      <w:r>
        <w:rPr>
          <w:color w:val="auto"/>
          <w:highlight w:val="none"/>
        </w:rPr>
        <w:t>应收票据</w:t>
      </w:r>
    </w:p>
    <w:p>
      <w:pPr>
        <w:pStyle w:val="38"/>
        <w:rPr>
          <w:color w:val="auto"/>
          <w:highlight w:val="none"/>
        </w:rPr>
      </w:pPr>
      <w:r>
        <w:rPr>
          <w:color w:val="auto"/>
          <w:highlight w:val="none"/>
        </w:rPr>
        <w:t>如果企业确定金融工具的违约风险较低，借款人在短期内履行其支付合同现金流量义务的能力很强，并且即使较长时期内经济形势和经营环境存在不利变化，也不一定会降低借款人履行其支付合同现金流量义务的能力，那么该金融工具可被视为具有较低的信用风险。</w:t>
      </w:r>
    </w:p>
    <w:p>
      <w:pPr>
        <w:pStyle w:val="38"/>
        <w:rPr>
          <w:color w:val="auto"/>
          <w:highlight w:val="none"/>
        </w:rPr>
      </w:pPr>
      <w:r>
        <w:rPr>
          <w:rFonts w:hint="eastAsia"/>
          <w:color w:val="auto"/>
          <w:highlight w:val="none"/>
        </w:rPr>
        <w:t>详见本附注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）金融工具-金融资产减值的测试方法及会计处理方法</w:t>
      </w:r>
      <w:r>
        <w:rPr>
          <w:rFonts w:hint="eastAsia" w:ascii="宋体" w:hAnsi="宋体"/>
          <w:color w:val="auto"/>
          <w:highlight w:val="none"/>
        </w:rPr>
        <w:t>”</w:t>
      </w:r>
      <w:r>
        <w:rPr>
          <w:color w:val="auto"/>
          <w:highlight w:val="none"/>
        </w:rPr>
        <w:t>处理。</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应收款项</w:t>
      </w:r>
    </w:p>
    <w:p>
      <w:pPr>
        <w:pStyle w:val="38"/>
        <w:rPr>
          <w:color w:val="auto"/>
          <w:highlight w:val="none"/>
        </w:rPr>
      </w:pPr>
      <w:r>
        <w:rPr>
          <w:rFonts w:hint="eastAsia"/>
          <w:color w:val="auto"/>
          <w:highlight w:val="none"/>
        </w:rPr>
        <w:t>应收款项包括应收账款、其他应收款等。本公司对外销售商品或提供劳务形成的应收账款，按从购货方应收的合同或协议价款的公允价值作为初始确认金额。应收款项采用实际利率法，以摊余成本减去坏账准备后的净额列示。</w:t>
      </w:r>
    </w:p>
    <w:p>
      <w:pPr>
        <w:pStyle w:val="38"/>
        <w:rPr>
          <w:color w:val="auto"/>
          <w:highlight w:val="none"/>
        </w:rPr>
      </w:pPr>
      <w:r>
        <w:rPr>
          <w:rFonts w:hint="eastAsia"/>
          <w:color w:val="auto"/>
          <w:highlight w:val="none"/>
        </w:rPr>
        <w:t>详见本附注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）金融工具-金融资产减值的测试方法及会计处理方法</w:t>
      </w:r>
      <w:r>
        <w:rPr>
          <w:rFonts w:hint="eastAsia" w:ascii="宋体" w:hAnsi="宋体"/>
          <w:color w:val="auto"/>
          <w:highlight w:val="none"/>
        </w:rPr>
        <w:t>”</w:t>
      </w:r>
      <w:r>
        <w:rPr>
          <w:color w:val="auto"/>
          <w:highlight w:val="none"/>
        </w:rPr>
        <w:t>处理。</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存货</w:t>
      </w:r>
    </w:p>
    <w:p>
      <w:pPr>
        <w:pStyle w:val="44"/>
        <w:rPr>
          <w:color w:val="auto"/>
          <w:highlight w:val="none"/>
        </w:rPr>
      </w:pPr>
      <w:r>
        <w:rPr>
          <w:rFonts w:hint="eastAsia"/>
          <w:color w:val="auto"/>
          <w:highlight w:val="none"/>
        </w:rPr>
        <w:t>存货的分类</w:t>
      </w:r>
    </w:p>
    <w:p>
      <w:pPr>
        <w:pStyle w:val="35"/>
        <w:rPr>
          <w:rFonts w:eastAsiaTheme="minorEastAsia"/>
          <w:color w:val="auto"/>
          <w:highlight w:val="none"/>
        </w:rPr>
      </w:pPr>
      <w:r>
        <w:rPr>
          <w:rFonts w:hint="eastAsia" w:eastAsiaTheme="minorEastAsia"/>
          <w:color w:val="auto"/>
          <w:highlight w:val="none"/>
        </w:rPr>
        <w:t>存货分为在途物资、原材料、委托加工物资、在产品、低值易耗品、包装物、库存商品、发出商品、开发成本、开发产品等。</w:t>
      </w:r>
    </w:p>
    <w:p>
      <w:pPr>
        <w:pStyle w:val="35"/>
        <w:rPr>
          <w:rFonts w:eastAsiaTheme="minorEastAsia"/>
          <w:color w:val="auto"/>
          <w:highlight w:val="none"/>
        </w:rPr>
      </w:pPr>
    </w:p>
    <w:p>
      <w:pPr>
        <w:pStyle w:val="44"/>
        <w:rPr>
          <w:color w:val="auto"/>
          <w:highlight w:val="none"/>
        </w:rPr>
      </w:pPr>
      <w:r>
        <w:rPr>
          <w:rFonts w:hint="eastAsia"/>
          <w:color w:val="auto"/>
          <w:highlight w:val="none"/>
        </w:rPr>
        <w:t>存货取得和发出的计价方法、存货的盘存制度及摊销</w:t>
      </w:r>
    </w:p>
    <w:p>
      <w:pPr>
        <w:pStyle w:val="35"/>
        <w:rPr>
          <w:rFonts w:eastAsiaTheme="minorEastAsia"/>
          <w:color w:val="auto"/>
          <w:highlight w:val="none"/>
        </w:rPr>
      </w:pPr>
      <w:r>
        <w:rPr>
          <w:rFonts w:hint="eastAsia" w:eastAsiaTheme="minorEastAsia"/>
          <w:color w:val="auto"/>
          <w:highlight w:val="none"/>
        </w:rPr>
        <w:t>存货按成本进行初始计量，存货成本包括采购成本、加工成本和其他使存货达到目前场所和状态所发生的支出。</w:t>
      </w:r>
    </w:p>
    <w:p>
      <w:pPr>
        <w:pStyle w:val="35"/>
        <w:rPr>
          <w:rFonts w:eastAsiaTheme="minorEastAsia"/>
          <w:color w:val="auto"/>
          <w:highlight w:val="none"/>
        </w:rPr>
      </w:pPr>
      <w:r>
        <w:rPr>
          <w:rFonts w:hint="eastAsia" w:eastAsiaTheme="minorEastAsia"/>
          <w:color w:val="auto"/>
          <w:highlight w:val="none"/>
        </w:rPr>
        <w:t>原材料、在产品、库存商品、发出商品等发出时采用加权平均法；低值易耗品领用时采用一次转销法摊销；周转用包装物按照预计的使用次数分次计入成本费用。</w:t>
      </w:r>
    </w:p>
    <w:p>
      <w:pPr>
        <w:pStyle w:val="35"/>
        <w:rPr>
          <w:rFonts w:hint="eastAsia" w:eastAsiaTheme="minorEastAsia"/>
          <w:color w:val="auto"/>
          <w:highlight w:val="none"/>
        </w:rPr>
      </w:pPr>
      <w:r>
        <w:rPr>
          <w:rFonts w:hint="eastAsia" w:eastAsiaTheme="minorEastAsia"/>
          <w:color w:val="auto"/>
          <w:highlight w:val="none"/>
        </w:rPr>
        <w:t>存货盘存制度采用永续盘存制。</w:t>
      </w:r>
    </w:p>
    <w:p>
      <w:pPr>
        <w:pStyle w:val="35"/>
        <w:rPr>
          <w:rFonts w:eastAsiaTheme="minorEastAsia"/>
          <w:color w:val="auto"/>
          <w:highlight w:val="none"/>
        </w:rPr>
      </w:pPr>
    </w:p>
    <w:p>
      <w:pPr>
        <w:pStyle w:val="44"/>
        <w:rPr>
          <w:color w:val="auto"/>
          <w:highlight w:val="none"/>
        </w:rPr>
      </w:pPr>
      <w:r>
        <w:rPr>
          <w:rFonts w:hint="eastAsia"/>
          <w:color w:val="auto"/>
          <w:highlight w:val="none"/>
        </w:rPr>
        <w:t>存货跌价准备的确认标准和计提方法</w:t>
      </w:r>
    </w:p>
    <w:p>
      <w:pPr>
        <w:pStyle w:val="35"/>
        <w:rPr>
          <w:rFonts w:eastAsiaTheme="minorEastAsia"/>
          <w:color w:val="auto"/>
          <w:highlight w:val="none"/>
        </w:rPr>
      </w:pPr>
      <w:r>
        <w:rPr>
          <w:rFonts w:hint="eastAsia" w:eastAsiaTheme="minorEastAsia"/>
          <w:color w:val="auto"/>
          <w:highlight w:val="none"/>
        </w:rPr>
        <w:t>资产负债表日，存货应当按照成本与可变现净值孰低计量。当存货成本高于其可变现净值的，应当计提存货跌价准备。</w:t>
      </w:r>
    </w:p>
    <w:p>
      <w:pPr>
        <w:pStyle w:val="35"/>
        <w:rPr>
          <w:rFonts w:eastAsiaTheme="minorEastAsia"/>
          <w:color w:val="auto"/>
          <w:highlight w:val="none"/>
        </w:rPr>
      </w:pPr>
      <w:r>
        <w:rPr>
          <w:rFonts w:hint="eastAsia" w:eastAsiaTheme="minorEastAsia"/>
          <w:color w:val="auto"/>
          <w:highlight w:val="none"/>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pPr>
        <w:pStyle w:val="35"/>
        <w:rPr>
          <w:rFonts w:eastAsiaTheme="minorEastAsia"/>
          <w:color w:val="auto"/>
          <w:highlight w:val="none"/>
        </w:rPr>
      </w:pPr>
    </w:p>
    <w:p>
      <w:pPr>
        <w:pStyle w:val="44"/>
        <w:rPr>
          <w:color w:val="auto"/>
          <w:highlight w:val="none"/>
        </w:rPr>
      </w:pPr>
      <w:r>
        <w:rPr>
          <w:rFonts w:hint="eastAsia"/>
          <w:color w:val="auto"/>
          <w:highlight w:val="none"/>
        </w:rPr>
        <w:t>存货可变现净值的确认方法</w:t>
      </w:r>
    </w:p>
    <w:p>
      <w:pPr>
        <w:pStyle w:val="35"/>
        <w:rPr>
          <w:rFonts w:eastAsiaTheme="minorEastAsia"/>
          <w:color w:val="auto"/>
          <w:highlight w:val="none"/>
        </w:rPr>
      </w:pPr>
      <w:r>
        <w:rPr>
          <w:rFonts w:hint="eastAsia" w:eastAsiaTheme="minorEastAsia"/>
          <w:color w:val="auto"/>
          <w:highlight w:val="none"/>
        </w:rPr>
        <w:t>存货可变现净值是指在日常活动中，存货的估计售价减去至完工时估计将要发生的成本、估计的销售费用以及相关税费后的金额。</w:t>
      </w:r>
    </w:p>
    <w:p>
      <w:pPr>
        <w:pStyle w:val="35"/>
        <w:rPr>
          <w:rFonts w:eastAsiaTheme="minorEastAsia"/>
          <w:color w:val="auto"/>
          <w:highlight w:val="none"/>
        </w:rPr>
      </w:pPr>
      <w:r>
        <w:rPr>
          <w:rFonts w:hint="eastAsia" w:eastAsiaTheme="minorEastAsia"/>
          <w:color w:val="auto"/>
          <w:highlight w:val="none"/>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pPr>
        <w:pStyle w:val="35"/>
        <w:rPr>
          <w:rFonts w:eastAsiaTheme="minorEastAsia"/>
          <w:color w:val="auto"/>
          <w:highlight w:val="none"/>
        </w:rPr>
      </w:pPr>
    </w:p>
    <w:p>
      <w:pPr>
        <w:pStyle w:val="37"/>
        <w:jc w:val="left"/>
        <w:rPr>
          <w:color w:val="auto"/>
          <w:highlight w:val="none"/>
        </w:rPr>
      </w:pPr>
      <w:r>
        <w:rPr>
          <w:color w:val="auto"/>
          <w:highlight w:val="none"/>
        </w:rPr>
        <w:t>合同资产</w:t>
      </w:r>
    </w:p>
    <w:p>
      <w:pPr>
        <w:pStyle w:val="44"/>
        <w:rPr>
          <w:color w:val="auto"/>
          <w:highlight w:val="none"/>
        </w:rPr>
      </w:pPr>
      <w:r>
        <w:rPr>
          <w:color w:val="auto"/>
          <w:highlight w:val="none"/>
        </w:rPr>
        <w:t>合同资产的确认方法及标准</w:t>
      </w:r>
    </w:p>
    <w:p>
      <w:pPr>
        <w:pStyle w:val="35"/>
        <w:rPr>
          <w:color w:val="auto"/>
          <w:highlight w:val="none"/>
        </w:rPr>
      </w:pPr>
      <w:r>
        <w:rPr>
          <w:rFonts w:hint="eastAsia"/>
          <w:color w:val="auto"/>
          <w:highlight w:val="none"/>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p>
    <w:p>
      <w:pPr>
        <w:pStyle w:val="35"/>
        <w:rPr>
          <w:color w:val="auto"/>
          <w:highlight w:val="none"/>
        </w:rPr>
      </w:pPr>
    </w:p>
    <w:p>
      <w:pPr>
        <w:pStyle w:val="44"/>
        <w:rPr>
          <w:color w:val="auto"/>
          <w:highlight w:val="none"/>
        </w:rPr>
      </w:pPr>
      <w:r>
        <w:rPr>
          <w:color w:val="auto"/>
          <w:highlight w:val="none"/>
        </w:rPr>
        <w:t>合同资产预期信用损失的确定方法及会计处理方法</w:t>
      </w:r>
    </w:p>
    <w:p>
      <w:pPr>
        <w:pStyle w:val="35"/>
        <w:rPr>
          <w:color w:val="auto"/>
          <w:highlight w:val="none"/>
        </w:rPr>
      </w:pPr>
      <w:r>
        <w:rPr>
          <w:rFonts w:hint="eastAsia"/>
          <w:color w:val="auto"/>
          <w:highlight w:val="none"/>
        </w:rPr>
        <w:t>合同资产的预期信用损失的确定方法及会计处理方法详见本附注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）金融工具-金融资产减值的测试方法及会计处理方法</w:t>
      </w:r>
      <w:r>
        <w:rPr>
          <w:rFonts w:hint="eastAsia" w:ascii="宋体" w:hAnsi="宋体"/>
          <w:color w:val="auto"/>
          <w:highlight w:val="none"/>
        </w:rPr>
        <w:t>”</w:t>
      </w:r>
      <w:r>
        <w:rPr>
          <w:color w:val="auto"/>
          <w:highlight w:val="none"/>
        </w:rPr>
        <w:t>。</w:t>
      </w:r>
    </w:p>
    <w:p>
      <w:pPr>
        <w:pStyle w:val="35"/>
        <w:rPr>
          <w:color w:val="auto"/>
          <w:highlight w:val="none"/>
        </w:rPr>
      </w:pPr>
    </w:p>
    <w:p>
      <w:pPr>
        <w:pStyle w:val="37"/>
        <w:rPr>
          <w:rFonts w:eastAsiaTheme="minorEastAsia"/>
          <w:color w:val="auto"/>
          <w:highlight w:val="none"/>
        </w:rPr>
      </w:pPr>
      <w:r>
        <w:rPr>
          <w:rFonts w:eastAsiaTheme="minorEastAsia"/>
          <w:color w:val="auto"/>
          <w:highlight w:val="none"/>
        </w:rPr>
        <w:t>长期股权投资</w:t>
      </w:r>
    </w:p>
    <w:p>
      <w:pPr>
        <w:pStyle w:val="44"/>
        <w:rPr>
          <w:color w:val="auto"/>
          <w:highlight w:val="none"/>
        </w:rPr>
      </w:pPr>
      <w:r>
        <w:rPr>
          <w:rFonts w:hint="eastAsia"/>
          <w:color w:val="auto"/>
          <w:highlight w:val="none"/>
        </w:rPr>
        <w:t>共同控制、重大影响的判断标准</w:t>
      </w:r>
    </w:p>
    <w:p>
      <w:pPr>
        <w:pStyle w:val="35"/>
        <w:rPr>
          <w:rFonts w:eastAsiaTheme="minorEastAsia"/>
          <w:color w:val="auto"/>
          <w:highlight w:val="none"/>
        </w:rPr>
      </w:pPr>
      <w:r>
        <w:rPr>
          <w:rFonts w:hint="eastAsia" w:eastAsiaTheme="minorEastAsia"/>
          <w:color w:val="auto"/>
          <w:highlight w:val="none"/>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pPr>
        <w:pStyle w:val="35"/>
        <w:rPr>
          <w:rFonts w:eastAsiaTheme="minorEastAsia"/>
          <w:color w:val="auto"/>
          <w:highlight w:val="none"/>
        </w:rPr>
      </w:pPr>
      <w:r>
        <w:rPr>
          <w:rFonts w:hint="eastAsia" w:eastAsiaTheme="minorEastAsia"/>
          <w:color w:val="auto"/>
          <w:highlight w:val="none"/>
        </w:rPr>
        <w:t>重大影响，是指对被投资单位的财务和经营决策有参与决策的权力，但并不能够控制或者与其他方一起共同控制这些政策的制定。本公司能够对被投资单位施加重大影响的，被投资单位为本公司联营企业。</w:t>
      </w:r>
    </w:p>
    <w:p>
      <w:pPr>
        <w:pStyle w:val="35"/>
        <w:rPr>
          <w:rFonts w:hint="eastAsia" w:eastAsiaTheme="minorEastAsia"/>
          <w:color w:val="auto"/>
          <w:highlight w:val="none"/>
        </w:rPr>
      </w:pPr>
    </w:p>
    <w:p>
      <w:pPr>
        <w:pStyle w:val="35"/>
        <w:rPr>
          <w:rFonts w:eastAsiaTheme="minorEastAsia"/>
          <w:color w:val="auto"/>
          <w:highlight w:val="none"/>
        </w:rPr>
      </w:pPr>
    </w:p>
    <w:p>
      <w:pPr>
        <w:pStyle w:val="44"/>
        <w:rPr>
          <w:color w:val="auto"/>
          <w:highlight w:val="none"/>
        </w:rPr>
      </w:pPr>
      <w:r>
        <w:rPr>
          <w:rFonts w:hint="eastAsia"/>
          <w:color w:val="auto"/>
          <w:highlight w:val="none"/>
        </w:rPr>
        <w:t>初始投资成本的确定</w:t>
      </w:r>
    </w:p>
    <w:p>
      <w:pPr>
        <w:pStyle w:val="38"/>
        <w:rPr>
          <w:color w:val="auto"/>
          <w:highlight w:val="none"/>
        </w:rPr>
      </w:pPr>
      <w:r>
        <w:rPr>
          <w:rFonts w:hint="eastAsia"/>
          <w:color w:val="auto"/>
          <w:highlight w:val="none"/>
        </w:rPr>
        <w:t>（1）企业合并形成的长期股权投资</w:t>
      </w:r>
    </w:p>
    <w:p>
      <w:pPr>
        <w:pStyle w:val="35"/>
        <w:rPr>
          <w:rFonts w:eastAsiaTheme="minorEastAsia"/>
          <w:color w:val="auto"/>
          <w:highlight w:val="none"/>
        </w:rPr>
      </w:pPr>
      <w:r>
        <w:rPr>
          <w:rFonts w:hint="eastAsia" w:eastAsiaTheme="minorEastAsia"/>
          <w:color w:val="auto"/>
          <w:highlight w:val="none"/>
        </w:rPr>
        <w:t>对于同一控制下的企业合并形成的对子公司的长期股权投资，在合并日按照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一控制下的被投资单位实施控制的，按上述原则确认的长期股权投资的初始投资成本与达到合并前的长期股权投资账面价值加上合并日进一步取得股份新支付对价的账面价值之和的差额，调整股本溢价，股本溢价不足冲减的，冲减留存收益。</w:t>
      </w:r>
    </w:p>
    <w:p>
      <w:pPr>
        <w:pStyle w:val="35"/>
        <w:rPr>
          <w:rFonts w:eastAsiaTheme="minorEastAsia"/>
          <w:color w:val="auto"/>
          <w:highlight w:val="none"/>
        </w:rPr>
      </w:pPr>
      <w:r>
        <w:rPr>
          <w:rFonts w:hint="eastAsia" w:eastAsiaTheme="minorEastAsia"/>
          <w:color w:val="auto"/>
          <w:highlight w:val="none"/>
        </w:rPr>
        <w:t>对于非同一控制下的企业合并形成的对子公司的长期股权投资，按照购买日确定的合并成本作为长期股权投资的初始投资成本。因追加投资等原因能够对非同一控制下的被投资单位实施控制的，按照原持有的股权投资账面价值加上新增投资成本之和作为初始投资成本。</w:t>
      </w:r>
    </w:p>
    <w:p>
      <w:pPr>
        <w:pStyle w:val="35"/>
        <w:rPr>
          <w:rFonts w:eastAsiaTheme="minorEastAsia"/>
          <w:color w:val="auto"/>
          <w:highlight w:val="none"/>
        </w:rPr>
      </w:pPr>
    </w:p>
    <w:p>
      <w:pPr>
        <w:pStyle w:val="38"/>
        <w:rPr>
          <w:color w:val="auto"/>
          <w:highlight w:val="none"/>
        </w:rPr>
      </w:pPr>
      <w:r>
        <w:rPr>
          <w:rFonts w:hint="eastAsia"/>
          <w:color w:val="auto"/>
          <w:highlight w:val="none"/>
        </w:rPr>
        <w:t>（2）</w:t>
      </w:r>
      <w:r>
        <w:rPr>
          <w:rFonts w:hint="eastAsia" w:eastAsiaTheme="minorEastAsia"/>
          <w:color w:val="auto"/>
          <w:highlight w:val="none"/>
        </w:rPr>
        <w:t>通过企业合并以外的</w:t>
      </w:r>
      <w:r>
        <w:rPr>
          <w:rFonts w:hint="eastAsia"/>
          <w:color w:val="auto"/>
          <w:highlight w:val="none"/>
        </w:rPr>
        <w:t>其他方式取得的长期股权投资</w:t>
      </w:r>
    </w:p>
    <w:p>
      <w:pPr>
        <w:pStyle w:val="35"/>
        <w:rPr>
          <w:rFonts w:eastAsiaTheme="minorEastAsia"/>
          <w:color w:val="auto"/>
          <w:highlight w:val="none"/>
        </w:rPr>
      </w:pPr>
      <w:r>
        <w:rPr>
          <w:rFonts w:hint="eastAsia" w:eastAsiaTheme="minorEastAsia"/>
          <w:color w:val="auto"/>
          <w:highlight w:val="none"/>
        </w:rPr>
        <w:t>以支付现金方式取得的长期股权投资，按照实际支付的购买价款作为初始投资成本。</w:t>
      </w:r>
    </w:p>
    <w:p>
      <w:pPr>
        <w:pStyle w:val="35"/>
        <w:rPr>
          <w:rFonts w:eastAsiaTheme="minorEastAsia"/>
          <w:color w:val="auto"/>
          <w:highlight w:val="none"/>
        </w:rPr>
      </w:pPr>
      <w:r>
        <w:rPr>
          <w:rFonts w:hint="eastAsia" w:eastAsiaTheme="minorEastAsia"/>
          <w:color w:val="auto"/>
          <w:highlight w:val="none"/>
        </w:rPr>
        <w:t>以发行权益性证券取得的长期股权投资，按照发行权益性证券的公允价值作为初始投资成本。</w:t>
      </w:r>
    </w:p>
    <w:p>
      <w:pPr>
        <w:pStyle w:val="35"/>
        <w:rPr>
          <w:rFonts w:eastAsiaTheme="minorEastAsia"/>
          <w:color w:val="auto"/>
          <w:highlight w:val="none"/>
        </w:rPr>
      </w:pPr>
    </w:p>
    <w:p>
      <w:pPr>
        <w:pStyle w:val="44"/>
        <w:rPr>
          <w:color w:val="auto"/>
          <w:highlight w:val="none"/>
        </w:rPr>
      </w:pPr>
      <w:r>
        <w:rPr>
          <w:rFonts w:hint="eastAsia"/>
          <w:color w:val="auto"/>
          <w:highlight w:val="none"/>
        </w:rPr>
        <w:t>后续计量及损益确认方法</w:t>
      </w:r>
    </w:p>
    <w:p>
      <w:pPr>
        <w:pStyle w:val="38"/>
        <w:rPr>
          <w:color w:val="auto"/>
          <w:highlight w:val="none"/>
        </w:rPr>
      </w:pPr>
      <w:r>
        <w:rPr>
          <w:rFonts w:hint="eastAsia"/>
          <w:color w:val="auto"/>
          <w:highlight w:val="none"/>
        </w:rPr>
        <w:t>（1）成本法核算的长期股权投资</w:t>
      </w:r>
    </w:p>
    <w:p>
      <w:pPr>
        <w:pStyle w:val="35"/>
        <w:rPr>
          <w:rFonts w:eastAsiaTheme="minorEastAsia"/>
          <w:color w:val="auto"/>
          <w:highlight w:val="none"/>
        </w:rPr>
      </w:pPr>
      <w:r>
        <w:rPr>
          <w:rFonts w:hint="eastAsia" w:eastAsiaTheme="minorEastAsia"/>
          <w:color w:val="auto"/>
          <w:highlight w:val="none"/>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pPr>
        <w:pStyle w:val="35"/>
        <w:rPr>
          <w:rFonts w:eastAsiaTheme="minorEastAsia"/>
          <w:color w:val="auto"/>
          <w:highlight w:val="none"/>
        </w:rPr>
      </w:pPr>
    </w:p>
    <w:p>
      <w:pPr>
        <w:pStyle w:val="38"/>
        <w:rPr>
          <w:color w:val="auto"/>
          <w:highlight w:val="none"/>
        </w:rPr>
      </w:pPr>
      <w:r>
        <w:rPr>
          <w:rFonts w:hint="eastAsia"/>
          <w:color w:val="auto"/>
          <w:highlight w:val="none"/>
        </w:rPr>
        <w:t>（2）权益法核算的长期股权投资</w:t>
      </w:r>
    </w:p>
    <w:p>
      <w:pPr>
        <w:pStyle w:val="35"/>
        <w:rPr>
          <w:rFonts w:eastAsiaTheme="minorEastAsia"/>
          <w:color w:val="auto"/>
          <w:highlight w:val="none"/>
        </w:rPr>
      </w:pPr>
      <w:r>
        <w:rPr>
          <w:rFonts w:hint="eastAsia" w:eastAsiaTheme="minorEastAsia"/>
          <w:color w:val="auto"/>
          <w:highlight w:val="none"/>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pPr>
        <w:pStyle w:val="35"/>
        <w:rPr>
          <w:rFonts w:eastAsiaTheme="minorEastAsia"/>
          <w:color w:val="auto"/>
          <w:highlight w:val="none"/>
        </w:rPr>
      </w:pPr>
      <w:r>
        <w:rPr>
          <w:rFonts w:hint="eastAsia" w:eastAsiaTheme="minorEastAsia"/>
          <w:color w:val="auto"/>
          <w:highlight w:val="none"/>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w:t>
      </w:r>
      <w:r>
        <w:rPr>
          <w:rFonts w:hint="eastAsia" w:ascii="宋体" w:hAnsi="宋体"/>
          <w:color w:val="auto"/>
          <w:highlight w:val="none"/>
        </w:rPr>
        <w:t>“</w:t>
      </w:r>
      <w:r>
        <w:rPr>
          <w:rFonts w:hint="eastAsia" w:eastAsiaTheme="minorEastAsia"/>
          <w:color w:val="auto"/>
          <w:highlight w:val="none"/>
        </w:rPr>
        <w:t>其他所有者权益变动</w:t>
      </w:r>
      <w:r>
        <w:rPr>
          <w:rFonts w:hint="eastAsia" w:ascii="宋体" w:hAnsi="宋体"/>
          <w:color w:val="auto"/>
          <w:highlight w:val="none"/>
        </w:rPr>
        <w:t>”</w:t>
      </w:r>
      <w:r>
        <w:rPr>
          <w:rFonts w:hint="eastAsia" w:eastAsiaTheme="minorEastAsia"/>
          <w:color w:val="auto"/>
          <w:highlight w:val="none"/>
        </w:rPr>
        <w:t>），调整长期股权投资的账面价值并计入所有者权益。</w:t>
      </w:r>
    </w:p>
    <w:p>
      <w:pPr>
        <w:pStyle w:val="35"/>
        <w:rPr>
          <w:rFonts w:eastAsiaTheme="minorEastAsia"/>
          <w:color w:val="auto"/>
          <w:highlight w:val="none"/>
        </w:rPr>
      </w:pPr>
      <w:r>
        <w:rPr>
          <w:rFonts w:hint="eastAsia" w:eastAsiaTheme="minorEastAsia"/>
          <w:color w:val="auto"/>
          <w:highlight w:val="none"/>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pPr>
        <w:pStyle w:val="35"/>
        <w:rPr>
          <w:rFonts w:eastAsiaTheme="minorEastAsia"/>
          <w:color w:val="auto"/>
          <w:highlight w:val="none"/>
        </w:rPr>
      </w:pPr>
      <w:r>
        <w:rPr>
          <w:rFonts w:hint="eastAsia" w:eastAsiaTheme="minorEastAsia"/>
          <w:color w:val="auto"/>
          <w:highlight w:val="none"/>
        </w:rPr>
        <w:t>公司与联营企业、合营企业之间发生的未实现内部交易损益按照应享有的比例计算归属于公司的部分，予以抵销，在此基础上确认投资收益，但投出或出售的资产构成业务的除外。与被投资单位发生的未实现内部交易损失，属于资产减值损失的，全额确认。</w:t>
      </w:r>
    </w:p>
    <w:p>
      <w:pPr>
        <w:pStyle w:val="35"/>
        <w:rPr>
          <w:rFonts w:eastAsiaTheme="minorEastAsia"/>
          <w:color w:val="auto"/>
          <w:highlight w:val="none"/>
        </w:rPr>
      </w:pPr>
      <w:r>
        <w:rPr>
          <w:rFonts w:hint="eastAsia" w:eastAsiaTheme="minorEastAsia"/>
          <w:color w:val="auto"/>
          <w:highlight w:val="none"/>
        </w:rPr>
        <w:t>公司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pPr>
        <w:pStyle w:val="35"/>
        <w:rPr>
          <w:rFonts w:eastAsiaTheme="minorEastAsia"/>
          <w:color w:val="auto"/>
          <w:highlight w:val="none"/>
        </w:rPr>
      </w:pPr>
    </w:p>
    <w:p>
      <w:pPr>
        <w:pStyle w:val="38"/>
        <w:rPr>
          <w:color w:val="auto"/>
          <w:highlight w:val="none"/>
        </w:rPr>
      </w:pPr>
      <w:r>
        <w:rPr>
          <w:rFonts w:hint="eastAsia"/>
          <w:color w:val="auto"/>
          <w:highlight w:val="none"/>
        </w:rPr>
        <w:t>（3）长期股权投资的处置</w:t>
      </w:r>
    </w:p>
    <w:p>
      <w:pPr>
        <w:pStyle w:val="35"/>
        <w:rPr>
          <w:rFonts w:eastAsiaTheme="minorEastAsia"/>
          <w:color w:val="auto"/>
          <w:highlight w:val="none"/>
        </w:rPr>
      </w:pPr>
      <w:r>
        <w:rPr>
          <w:rFonts w:hint="eastAsia" w:eastAsiaTheme="minorEastAsia"/>
          <w:color w:val="auto"/>
          <w:highlight w:val="none"/>
        </w:rPr>
        <w:t>处置长期股权投资，其账面价值与实际取得价款的差额，计入当期损益。</w:t>
      </w:r>
    </w:p>
    <w:p>
      <w:pPr>
        <w:pStyle w:val="35"/>
        <w:rPr>
          <w:rFonts w:eastAsiaTheme="minorEastAsia"/>
          <w:color w:val="auto"/>
          <w:highlight w:val="none"/>
        </w:rPr>
      </w:pPr>
      <w:r>
        <w:rPr>
          <w:rFonts w:hint="eastAsia" w:eastAsiaTheme="minorEastAsia"/>
          <w:color w:val="auto"/>
          <w:highlight w:val="none"/>
        </w:rPr>
        <w:t>部分处置权益法核算的长期股权投资，剩余股权仍采用权益法核算的，原权益法核算确认的其他综合收益采用与被投资单位直接处置相关资产或负债相同的基础按相应比例结转，其他所有者权益变动按比例结转入当期损益。</w:t>
      </w:r>
    </w:p>
    <w:p>
      <w:pPr>
        <w:pStyle w:val="35"/>
        <w:rPr>
          <w:rFonts w:eastAsiaTheme="minorEastAsia"/>
          <w:color w:val="auto"/>
          <w:highlight w:val="none"/>
        </w:rPr>
      </w:pPr>
      <w:r>
        <w:rPr>
          <w:rFonts w:hint="eastAsia" w:eastAsiaTheme="minorEastAsia"/>
          <w:color w:val="auto"/>
          <w:highlight w:val="none"/>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p>
    <w:p>
      <w:pPr>
        <w:pStyle w:val="35"/>
        <w:rPr>
          <w:rFonts w:eastAsiaTheme="minorEastAsia"/>
          <w:color w:val="auto"/>
          <w:highlight w:val="none"/>
        </w:rPr>
      </w:pPr>
      <w:r>
        <w:rPr>
          <w:rFonts w:hint="eastAsia" w:eastAsiaTheme="minorEastAsia"/>
          <w:color w:val="auto"/>
          <w:highlight w:val="none"/>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变动按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w:t>
      </w:r>
    </w:p>
    <w:p>
      <w:pPr>
        <w:pStyle w:val="35"/>
        <w:rPr>
          <w:rFonts w:eastAsiaTheme="minorEastAsia"/>
          <w:color w:val="auto"/>
          <w:highlight w:val="none"/>
        </w:rPr>
      </w:pPr>
      <w:r>
        <w:rPr>
          <w:rFonts w:hint="eastAsia" w:eastAsiaTheme="minorEastAsia"/>
          <w:color w:val="auto"/>
          <w:highlight w:val="none"/>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p>
      <w:pPr>
        <w:pStyle w:val="35"/>
        <w:rPr>
          <w:rFonts w:eastAsiaTheme="minorEastAsia"/>
          <w:color w:val="auto"/>
          <w:highlight w:val="none"/>
        </w:rPr>
      </w:pPr>
    </w:p>
    <w:p>
      <w:pPr>
        <w:pStyle w:val="44"/>
        <w:rPr>
          <w:color w:val="auto"/>
          <w:highlight w:val="none"/>
        </w:rPr>
      </w:pPr>
      <w:r>
        <w:rPr>
          <w:rFonts w:hint="eastAsia"/>
          <w:color w:val="auto"/>
          <w:highlight w:val="none"/>
        </w:rPr>
        <w:t>长期股权投资减值准备的确认标准、计提方法</w:t>
      </w:r>
    </w:p>
    <w:p>
      <w:pPr>
        <w:pStyle w:val="35"/>
        <w:rPr>
          <w:color w:val="auto"/>
          <w:highlight w:val="none"/>
        </w:rPr>
      </w:pPr>
      <w:r>
        <w:rPr>
          <w:rFonts w:hint="eastAsia"/>
          <w:color w:val="auto"/>
          <w:highlight w:val="none"/>
        </w:rPr>
        <w:t>本公司于资产负债表日判断长期股权投资是否存在可能发生减值的迹象。</w:t>
      </w:r>
    </w:p>
    <w:p>
      <w:pPr>
        <w:pStyle w:val="35"/>
        <w:rPr>
          <w:color w:val="auto"/>
          <w:highlight w:val="none"/>
        </w:rPr>
      </w:pPr>
      <w:r>
        <w:rPr>
          <w:rFonts w:hint="eastAsia"/>
          <w:color w:val="auto"/>
          <w:highlight w:val="none"/>
        </w:rPr>
        <w:t>长期股权投资存在减值迹象的，如当出现长期股权投资的账面价值大于享有被投资单位所有者权益账面价值的份额等类似情况时，本公司对长期股权投资进行减值测试。</w:t>
      </w:r>
    </w:p>
    <w:p>
      <w:pPr>
        <w:pStyle w:val="35"/>
        <w:rPr>
          <w:rFonts w:eastAsiaTheme="minorEastAsia"/>
          <w:color w:val="auto"/>
          <w:highlight w:val="none"/>
        </w:rPr>
      </w:pPr>
      <w:r>
        <w:rPr>
          <w:rFonts w:hint="eastAsia"/>
          <w:color w:val="auto"/>
          <w:highlight w:val="none"/>
        </w:rPr>
        <w:t>减值测试结果表明长期股权投资的可收回金额低于其账面价值的，按其差额计提减值准备并计入减值损失。减值损失一经确认，在以后会计期间不予转回。</w:t>
      </w:r>
    </w:p>
    <w:p>
      <w:pPr>
        <w:pStyle w:val="35"/>
        <w:rPr>
          <w:rFonts w:eastAsiaTheme="minorEastAsia"/>
          <w:color w:val="auto"/>
          <w:highlight w:val="none"/>
        </w:rPr>
      </w:pPr>
    </w:p>
    <w:p>
      <w:pPr>
        <w:pStyle w:val="37"/>
        <w:jc w:val="left"/>
        <w:rPr>
          <w:color w:val="auto"/>
          <w:highlight w:val="none"/>
        </w:rPr>
      </w:pPr>
      <w:r>
        <w:rPr>
          <w:rFonts w:eastAsiaTheme="minorEastAsia"/>
          <w:color w:val="auto"/>
          <w:highlight w:val="none"/>
        </w:rPr>
        <w:t>投资性房地产</w:t>
      </w:r>
    </w:p>
    <w:p>
      <w:pPr>
        <w:pStyle w:val="38"/>
        <w:rPr>
          <w:rFonts w:eastAsiaTheme="minorEastAsia"/>
          <w:color w:val="auto"/>
          <w:highlight w:val="none"/>
        </w:rPr>
      </w:pPr>
      <w:r>
        <w:rPr>
          <w:rFonts w:hint="eastAsia" w:eastAsiaTheme="minorEastAsia"/>
          <w:color w:val="auto"/>
          <w:highlight w:val="none"/>
        </w:rPr>
        <w:t>投资性房地产是指为赚取租金或资本增值，或两者兼有而持有的房地产，包括已出租的土地使用权、持有并准备增值后转让的土地使用权、已出租的建筑物（含自行建造或开发活动完成后用于出租的建筑物以及正在建造或开发过程中将来用于出租的建筑物）。</w:t>
      </w:r>
    </w:p>
    <w:p>
      <w:pPr>
        <w:pStyle w:val="38"/>
        <w:rPr>
          <w:color w:val="auto"/>
          <w:highlight w:val="none"/>
        </w:rPr>
      </w:pPr>
      <w:r>
        <w:rPr>
          <w:rFonts w:hint="eastAsia" w:eastAsiaTheme="minorEastAsia"/>
          <w:color w:val="auto"/>
          <w:highlight w:val="none"/>
        </w:rPr>
        <w:t>与投资性房地产有关的后续支出，在相关的经济利益很可能流入且其成本能够可靠的计量时，计入投资性房地产成本；否则，于发生时计入当期损益。</w:t>
      </w:r>
    </w:p>
    <w:p>
      <w:pPr>
        <w:pStyle w:val="38"/>
        <w:rPr>
          <w:rFonts w:eastAsiaTheme="minorEastAsia"/>
          <w:color w:val="auto"/>
          <w:highlight w:val="none"/>
        </w:rPr>
      </w:pPr>
      <w:r>
        <w:rPr>
          <w:rFonts w:hint="eastAsia" w:eastAsiaTheme="minorEastAsia"/>
          <w:color w:val="auto"/>
          <w:highlight w:val="none"/>
        </w:rPr>
        <w:t>本公司投资性房地产按照取得时的成本进行初始计量，在资产负债表日采用公允价值模式进行后续计量，不对投资性房地产计提折旧或进行摊销，以资产负债表日投资性房地产的公允价值为基础调整其账面价值，公允价值与原账面价值之间的差额计入当期损益。</w:t>
      </w:r>
    </w:p>
    <w:p>
      <w:pPr>
        <w:pStyle w:val="38"/>
        <w:rPr>
          <w:rFonts w:eastAsiaTheme="minorEastAsia"/>
          <w:color w:val="auto"/>
          <w:highlight w:val="none"/>
        </w:rPr>
      </w:pPr>
      <w:r>
        <w:rPr>
          <w:rFonts w:hint="eastAsia" w:eastAsiaTheme="minorEastAsia"/>
          <w:color w:val="auto"/>
          <w:highlight w:val="none"/>
        </w:rPr>
        <w:t>本公司选择公允价值计量的依据：</w:t>
      </w:r>
    </w:p>
    <w:p>
      <w:pPr>
        <w:pStyle w:val="38"/>
        <w:rPr>
          <w:rFonts w:eastAsiaTheme="minorEastAsia"/>
          <w:color w:val="auto"/>
          <w:highlight w:val="none"/>
        </w:rPr>
      </w:pPr>
      <w:r>
        <w:rPr>
          <w:rFonts w:hint="eastAsia" w:eastAsiaTheme="minorEastAsia"/>
          <w:color w:val="auto"/>
          <w:highlight w:val="none"/>
        </w:rPr>
        <w:t>1.投资性房地产所在地有活跃的房地产交易市场。</w:t>
      </w:r>
    </w:p>
    <w:p>
      <w:pPr>
        <w:pStyle w:val="38"/>
        <w:rPr>
          <w:rFonts w:eastAsiaTheme="minorEastAsia"/>
          <w:color w:val="auto"/>
          <w:highlight w:val="none"/>
        </w:rPr>
      </w:pPr>
      <w:r>
        <w:rPr>
          <w:rFonts w:hint="eastAsia" w:eastAsiaTheme="minorEastAsia"/>
          <w:color w:val="auto"/>
          <w:highlight w:val="none"/>
        </w:rPr>
        <w:t>2.本公司能够从房地产交易市场上取得同类或类似房地产的市场价格及其他相关信息，从而对投资性房地产的公允价值作出合理的估计。</w:t>
      </w:r>
    </w:p>
    <w:p>
      <w:pPr>
        <w:pStyle w:val="38"/>
        <w:rPr>
          <w:rFonts w:hint="eastAsia" w:eastAsiaTheme="minorEastAsia"/>
          <w:color w:val="auto"/>
          <w:highlight w:val="none"/>
        </w:rPr>
      </w:pPr>
    </w:p>
    <w:p>
      <w:pPr>
        <w:pStyle w:val="38"/>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固定资产</w:t>
      </w:r>
    </w:p>
    <w:p>
      <w:pPr>
        <w:pStyle w:val="44"/>
        <w:rPr>
          <w:rFonts w:eastAsiaTheme="minorEastAsia"/>
          <w:color w:val="auto"/>
          <w:highlight w:val="none"/>
        </w:rPr>
      </w:pPr>
      <w:r>
        <w:rPr>
          <w:rFonts w:eastAsiaTheme="minorEastAsia"/>
          <w:color w:val="auto"/>
          <w:highlight w:val="none"/>
        </w:rPr>
        <w:t>固定资产</w:t>
      </w:r>
      <w:r>
        <w:rPr>
          <w:rFonts w:hint="eastAsia" w:eastAsiaTheme="minorEastAsia"/>
          <w:color w:val="auto"/>
          <w:highlight w:val="none"/>
        </w:rPr>
        <w:t>的</w:t>
      </w:r>
      <w:r>
        <w:rPr>
          <w:rFonts w:eastAsiaTheme="minorEastAsia"/>
          <w:color w:val="auto"/>
          <w:highlight w:val="none"/>
        </w:rPr>
        <w:t>确认条件</w:t>
      </w:r>
    </w:p>
    <w:p>
      <w:pPr>
        <w:pStyle w:val="35"/>
        <w:rPr>
          <w:color w:val="auto"/>
          <w:highlight w:val="none"/>
        </w:rPr>
      </w:pPr>
      <w:r>
        <w:rPr>
          <w:color w:val="auto"/>
          <w:highlight w:val="none"/>
        </w:rPr>
        <w:t>固定资产指为生产商品、提供劳务、出租或经营管理而持有，并且使用寿命超过一个会计年度的有形资产。</w:t>
      </w:r>
    </w:p>
    <w:p>
      <w:pPr>
        <w:pStyle w:val="35"/>
        <w:rPr>
          <w:color w:val="auto"/>
          <w:highlight w:val="none"/>
        </w:rPr>
      </w:pPr>
      <w:r>
        <w:rPr>
          <w:color w:val="auto"/>
          <w:highlight w:val="none"/>
        </w:rPr>
        <w:t>固定资产在同时满足下列条件时予以确认：</w:t>
      </w:r>
    </w:p>
    <w:p>
      <w:pPr>
        <w:pStyle w:val="35"/>
        <w:rPr>
          <w:color w:val="auto"/>
          <w:highlight w:val="none"/>
        </w:rPr>
      </w:pPr>
      <w:r>
        <w:rPr>
          <w:rFonts w:hint="eastAsia"/>
          <w:color w:val="auto"/>
          <w:highlight w:val="none"/>
        </w:rPr>
        <w:t>（</w:t>
      </w:r>
      <w:r>
        <w:rPr>
          <w:color w:val="auto"/>
          <w:highlight w:val="none"/>
        </w:rPr>
        <w:t>1）与该固定资产有关的经济利益很可能流入企业</w:t>
      </w:r>
      <w:r>
        <w:rPr>
          <w:rFonts w:hint="eastAsia"/>
          <w:color w:val="auto"/>
          <w:highlight w:val="none"/>
        </w:rPr>
        <w:t>；</w:t>
      </w:r>
    </w:p>
    <w:p>
      <w:pPr>
        <w:pStyle w:val="35"/>
        <w:rPr>
          <w:color w:val="auto"/>
          <w:highlight w:val="none"/>
        </w:rPr>
      </w:pPr>
      <w:r>
        <w:rPr>
          <w:rFonts w:hint="eastAsia"/>
          <w:color w:val="auto"/>
          <w:highlight w:val="none"/>
        </w:rPr>
        <w:t>（2）</w:t>
      </w:r>
      <w:r>
        <w:rPr>
          <w:color w:val="auto"/>
          <w:highlight w:val="none"/>
        </w:rPr>
        <w:t>该固定资产的成本能够可靠地计量。</w:t>
      </w:r>
    </w:p>
    <w:p>
      <w:pPr>
        <w:pStyle w:val="35"/>
        <w:rPr>
          <w:color w:val="auto"/>
          <w:highlight w:val="none"/>
        </w:rPr>
      </w:pPr>
      <w:r>
        <w:rPr>
          <w:color w:val="auto"/>
          <w:highlight w:val="none"/>
        </w:rPr>
        <w:t>固定资产按成本</w:t>
      </w:r>
      <w:r>
        <w:rPr>
          <w:rFonts w:hint="eastAsia"/>
          <w:color w:val="auto"/>
          <w:highlight w:val="none"/>
        </w:rPr>
        <w:t>（并考虑预计弃置费用因素的影响）</w:t>
      </w:r>
      <w:r>
        <w:rPr>
          <w:color w:val="auto"/>
          <w:highlight w:val="none"/>
        </w:rPr>
        <w:t>进行初始计量。</w:t>
      </w:r>
    </w:p>
    <w:p>
      <w:pPr>
        <w:pStyle w:val="35"/>
        <w:rPr>
          <w:rFonts w:eastAsiaTheme="minorEastAsia"/>
          <w:color w:val="auto"/>
          <w:highlight w:val="none"/>
        </w:rPr>
      </w:pPr>
    </w:p>
    <w:p>
      <w:pPr>
        <w:pStyle w:val="44"/>
        <w:rPr>
          <w:rFonts w:eastAsiaTheme="minorEastAsia"/>
          <w:color w:val="auto"/>
          <w:highlight w:val="none"/>
        </w:rPr>
      </w:pPr>
      <w:r>
        <w:rPr>
          <w:color w:val="auto"/>
          <w:highlight w:val="none"/>
        </w:rPr>
        <w:t>固定资产分类及折旧政策</w:t>
      </w:r>
    </w:p>
    <w:p>
      <w:pPr>
        <w:pStyle w:val="35"/>
        <w:rPr>
          <w:rFonts w:eastAsiaTheme="minorEastAsia"/>
          <w:color w:val="auto"/>
          <w:highlight w:val="none"/>
        </w:rPr>
      </w:pPr>
      <w:r>
        <w:rPr>
          <w:rFonts w:hint="eastAsia" w:eastAsiaTheme="minorEastAsia"/>
          <w:color w:val="auto"/>
          <w:highlight w:val="none"/>
        </w:rPr>
        <w:t>固定资产折旧采用年限平均法分类计提，根据固定资产类别、预计使用寿命和预计净残值率确定折旧率。对计提了减值准备的固定资产，则在未来期间按扣除减值准备后的账面价值及依据尚可使用年限确定折旧额。如固定资产各组成部分的使用寿命不同或者以不同方式为企业提供经济利益，则选择不同折旧率或折旧方法，分别计提折旧。</w:t>
      </w:r>
    </w:p>
    <w:p>
      <w:pPr>
        <w:pStyle w:val="35"/>
        <w:rPr>
          <w:rFonts w:eastAsiaTheme="minorEastAsia"/>
          <w:color w:val="auto"/>
          <w:highlight w:val="none"/>
        </w:rPr>
      </w:pPr>
    </w:p>
    <w:p>
      <w:pPr>
        <w:pStyle w:val="35"/>
        <w:rPr>
          <w:rFonts w:eastAsiaTheme="minorEastAsia"/>
          <w:color w:val="auto"/>
          <w:highlight w:val="none"/>
        </w:rPr>
      </w:pPr>
      <w:r>
        <w:rPr>
          <w:rFonts w:hint="eastAsia" w:eastAsiaTheme="minorEastAsia"/>
          <w:color w:val="auto"/>
          <w:highlight w:val="none"/>
        </w:rPr>
        <w:t>固定资产自达到预定可使用状态时开始计提折旧，终止确认时或划分为持有待售非流动资产时停止计提折旧。</w:t>
      </w:r>
    </w:p>
    <w:p>
      <w:pPr>
        <w:pStyle w:val="35"/>
        <w:rPr>
          <w:rFonts w:eastAsiaTheme="minorEastAsia"/>
          <w:color w:val="auto"/>
          <w:highlight w:val="none"/>
        </w:rPr>
      </w:pPr>
      <w:r>
        <w:rPr>
          <w:rFonts w:hint="eastAsia" w:eastAsiaTheme="minorEastAsia"/>
          <w:color w:val="auto"/>
          <w:highlight w:val="none"/>
        </w:rPr>
        <w:t>各类固定资产折旧方法、折旧年限、残值率和年折旧率如下：</w:t>
      </w:r>
    </w:p>
    <w:p>
      <w:pPr>
        <w:pStyle w:val="35"/>
        <w:rPr>
          <w:rFonts w:eastAsiaTheme="minorEastAsia"/>
          <w:color w:val="auto"/>
          <w:highlight w:val="none"/>
        </w:rPr>
      </w:pP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24"/>
        <w:gridCol w:w="1435"/>
        <w:gridCol w:w="1729"/>
        <w:gridCol w:w="1503"/>
        <w:gridCol w:w="169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114"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类别</w:t>
            </w:r>
          </w:p>
        </w:tc>
        <w:tc>
          <w:tcPr>
            <w:tcW w:w="87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折旧方法</w:t>
            </w:r>
          </w:p>
        </w:tc>
        <w:tc>
          <w:tcPr>
            <w:tcW w:w="105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折旧年限（年）</w:t>
            </w:r>
          </w:p>
        </w:tc>
        <w:tc>
          <w:tcPr>
            <w:tcW w:w="918"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残值率（%）</w:t>
            </w:r>
          </w:p>
        </w:tc>
        <w:tc>
          <w:tcPr>
            <w:tcW w:w="103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年折旧率（%）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14" w:type="pct"/>
            <w:shd w:val="clear" w:color="auto" w:fill="auto"/>
            <w:vAlign w:val="center"/>
          </w:tcPr>
          <w:p>
            <w:pPr>
              <w:adjustRightInd w:val="0"/>
              <w:snapToGrid w:val="0"/>
              <w:spacing w:line="200" w:lineRule="atLeast"/>
              <w:ind w:left="132" w:leftChars="63"/>
              <w:jc w:val="both"/>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房屋及建筑物</w:t>
            </w:r>
          </w:p>
        </w:tc>
        <w:tc>
          <w:tcPr>
            <w:tcW w:w="87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年限平均法</w:t>
            </w:r>
          </w:p>
        </w:tc>
        <w:tc>
          <w:tcPr>
            <w:tcW w:w="105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20—55</w:t>
            </w:r>
          </w:p>
        </w:tc>
        <w:tc>
          <w:tcPr>
            <w:tcW w:w="918"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0.00-3.00</w:t>
            </w:r>
          </w:p>
        </w:tc>
        <w:tc>
          <w:tcPr>
            <w:tcW w:w="103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5.00-</w:t>
            </w:r>
            <w:r>
              <w:rPr>
                <w:rFonts w:hint="eastAsia" w:ascii="Times New Roman" w:hAnsi="Times New Roman" w:eastAsia="宋体" w:cs="Times New Roman"/>
                <w:color w:val="auto"/>
                <w:sz w:val="16"/>
                <w:highlight w:val="none"/>
              </w:rPr>
              <w:t>1.8</w:t>
            </w:r>
            <w:r>
              <w:rPr>
                <w:rFonts w:ascii="Times New Roman" w:hAnsi="Times New Roman" w:eastAsia="宋体" w:cs="Times New Roman"/>
                <w:color w:val="auto"/>
                <w:sz w:val="16"/>
                <w:highlight w:val="none"/>
              </w:rPr>
              <w:t>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14" w:type="pct"/>
            <w:shd w:val="clear" w:color="auto" w:fill="auto"/>
            <w:vAlign w:val="center"/>
          </w:tcPr>
          <w:p>
            <w:pPr>
              <w:adjustRightInd w:val="0"/>
              <w:snapToGrid w:val="0"/>
              <w:spacing w:line="200" w:lineRule="atLeast"/>
              <w:ind w:left="132" w:leftChars="63"/>
              <w:jc w:val="both"/>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机器设备</w:t>
            </w:r>
          </w:p>
        </w:tc>
        <w:tc>
          <w:tcPr>
            <w:tcW w:w="87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年限平均法</w:t>
            </w:r>
          </w:p>
        </w:tc>
        <w:tc>
          <w:tcPr>
            <w:tcW w:w="105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8—20</w:t>
            </w:r>
          </w:p>
        </w:tc>
        <w:tc>
          <w:tcPr>
            <w:tcW w:w="918"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0.00-3.00</w:t>
            </w:r>
          </w:p>
        </w:tc>
        <w:tc>
          <w:tcPr>
            <w:tcW w:w="1036"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12.50-5.00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14" w:type="pct"/>
            <w:shd w:val="clear" w:color="auto" w:fill="auto"/>
            <w:vAlign w:val="center"/>
          </w:tcPr>
          <w:p>
            <w:pPr>
              <w:adjustRightInd w:val="0"/>
              <w:snapToGrid w:val="0"/>
              <w:spacing w:line="200" w:lineRule="atLeast"/>
              <w:ind w:left="132" w:leftChars="63"/>
              <w:jc w:val="both"/>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运输工具</w:t>
            </w:r>
          </w:p>
        </w:tc>
        <w:tc>
          <w:tcPr>
            <w:tcW w:w="87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年限平均法</w:t>
            </w:r>
          </w:p>
        </w:tc>
        <w:tc>
          <w:tcPr>
            <w:tcW w:w="105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6—10</w:t>
            </w:r>
          </w:p>
        </w:tc>
        <w:tc>
          <w:tcPr>
            <w:tcW w:w="918"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3.00</w:t>
            </w:r>
          </w:p>
        </w:tc>
        <w:tc>
          <w:tcPr>
            <w:tcW w:w="103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16.17-9.70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14" w:type="pct"/>
            <w:shd w:val="clear" w:color="auto" w:fill="auto"/>
            <w:vAlign w:val="center"/>
          </w:tcPr>
          <w:p>
            <w:pPr>
              <w:adjustRightInd w:val="0"/>
              <w:snapToGrid w:val="0"/>
              <w:spacing w:line="200" w:lineRule="atLeast"/>
              <w:ind w:left="132" w:leftChars="63"/>
              <w:jc w:val="both"/>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电子设备及其他</w:t>
            </w:r>
          </w:p>
        </w:tc>
        <w:tc>
          <w:tcPr>
            <w:tcW w:w="87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hint="eastAsia" w:ascii="Times New Roman" w:hAnsi="Times New Roman" w:eastAsia="宋体" w:cs="Times New Roman"/>
                <w:color w:val="auto"/>
                <w:sz w:val="16"/>
                <w:highlight w:val="none"/>
              </w:rPr>
              <w:t>年限平均法</w:t>
            </w:r>
          </w:p>
        </w:tc>
        <w:tc>
          <w:tcPr>
            <w:tcW w:w="105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5.00</w:t>
            </w:r>
          </w:p>
        </w:tc>
        <w:tc>
          <w:tcPr>
            <w:tcW w:w="918" w:type="pct"/>
            <w:shd w:val="clear" w:color="auto" w:fill="auto"/>
            <w:noWrap/>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0.00</w:t>
            </w:r>
          </w:p>
        </w:tc>
        <w:tc>
          <w:tcPr>
            <w:tcW w:w="1036" w:type="pct"/>
            <w:shd w:val="clear" w:color="auto" w:fill="auto"/>
            <w:vAlign w:val="center"/>
          </w:tcPr>
          <w:p>
            <w:pPr>
              <w:adjustRightInd w:val="0"/>
              <w:snapToGrid w:val="0"/>
              <w:spacing w:line="200" w:lineRule="atLeast"/>
              <w:ind w:left="132" w:leftChars="63"/>
              <w:jc w:val="center"/>
              <w:rPr>
                <w:rFonts w:ascii="Times New Roman" w:hAnsi="Times New Roman" w:eastAsia="宋体" w:cs="Times New Roman"/>
                <w:bCs/>
                <w:color w:val="auto"/>
                <w:sz w:val="16"/>
                <w:szCs w:val="18"/>
                <w:highlight w:val="none"/>
              </w:rPr>
            </w:pPr>
            <w:r>
              <w:rPr>
                <w:rFonts w:ascii="Times New Roman" w:hAnsi="Times New Roman" w:eastAsia="宋体" w:cs="Times New Roman"/>
                <w:color w:val="auto"/>
                <w:sz w:val="16"/>
                <w:highlight w:val="none"/>
              </w:rPr>
              <w:t>20.00</w:t>
            </w:r>
          </w:p>
        </w:tc>
      </w:tr>
    </w:tbl>
    <w:p>
      <w:pPr>
        <w:pStyle w:val="35"/>
        <w:rPr>
          <w:rFonts w:eastAsiaTheme="minorEastAsia"/>
          <w:color w:val="auto"/>
          <w:highlight w:val="none"/>
        </w:rPr>
      </w:pPr>
    </w:p>
    <w:p>
      <w:pPr>
        <w:pStyle w:val="44"/>
        <w:rPr>
          <w:color w:val="auto"/>
          <w:highlight w:val="none"/>
        </w:rPr>
      </w:pPr>
      <w:r>
        <w:rPr>
          <w:rFonts w:hint="eastAsia"/>
          <w:color w:val="auto"/>
          <w:highlight w:val="none"/>
        </w:rPr>
        <w:t>固定资产后续支出的会计处理</w:t>
      </w:r>
    </w:p>
    <w:p>
      <w:pPr>
        <w:pStyle w:val="35"/>
        <w:rPr>
          <w:rFonts w:eastAsiaTheme="minorEastAsia"/>
          <w:color w:val="auto"/>
          <w:highlight w:val="none"/>
        </w:rPr>
      </w:pPr>
      <w:r>
        <w:rPr>
          <w:rFonts w:hint="eastAsia" w:eastAsiaTheme="minorEastAsia"/>
          <w:color w:val="auto"/>
          <w:highlight w:val="none"/>
        </w:rPr>
        <w:t>固定资产的后续支出是指固定资产在使用过程中发生的更新改造支出、修理费用等。</w:t>
      </w:r>
    </w:p>
    <w:p>
      <w:pPr>
        <w:pStyle w:val="35"/>
        <w:rPr>
          <w:rFonts w:eastAsiaTheme="minorEastAsia"/>
          <w:color w:val="auto"/>
          <w:highlight w:val="none"/>
        </w:rPr>
      </w:pPr>
      <w:r>
        <w:rPr>
          <w:rFonts w:hint="eastAsia" w:eastAsiaTheme="minorEastAsia"/>
          <w:color w:val="auto"/>
          <w:highlight w:val="none"/>
        </w:rPr>
        <w:t>与固定资产有关的后续支出，在与其有关的经济利益很可能流入且其成本能够可靠计量时，计入固定资产成本；对于被替换的部分，终止确认其账面价值；所有其他后续支出于发生时计入当期损益。</w:t>
      </w:r>
    </w:p>
    <w:p>
      <w:pPr>
        <w:pStyle w:val="35"/>
        <w:rPr>
          <w:rFonts w:hint="eastAsia" w:eastAsiaTheme="minorEastAsia"/>
          <w:color w:val="auto"/>
          <w:highlight w:val="none"/>
        </w:rPr>
      </w:pPr>
    </w:p>
    <w:p>
      <w:pPr>
        <w:pStyle w:val="35"/>
        <w:rPr>
          <w:rFonts w:eastAsiaTheme="minorEastAsia"/>
          <w:color w:val="auto"/>
          <w:highlight w:val="none"/>
        </w:rPr>
      </w:pPr>
    </w:p>
    <w:p>
      <w:pPr>
        <w:pStyle w:val="44"/>
        <w:rPr>
          <w:color w:val="auto"/>
          <w:highlight w:val="none"/>
        </w:rPr>
      </w:pPr>
      <w:r>
        <w:rPr>
          <w:rFonts w:hint="eastAsia"/>
          <w:color w:val="auto"/>
          <w:highlight w:val="none"/>
        </w:rPr>
        <w:t>固定资产减值准备的确认标准、计提方法</w:t>
      </w:r>
    </w:p>
    <w:p>
      <w:pPr>
        <w:pStyle w:val="35"/>
        <w:rPr>
          <w:rFonts w:eastAsiaTheme="minorEastAsia"/>
          <w:color w:val="auto"/>
          <w:highlight w:val="none"/>
        </w:rPr>
      </w:pPr>
      <w:r>
        <w:rPr>
          <w:rFonts w:hint="eastAsia" w:eastAsiaTheme="minorEastAsia"/>
          <w:color w:val="auto"/>
          <w:highlight w:val="none"/>
        </w:rPr>
        <w:t>本公司在每期末判断固定资产是否存在可能发生减值的迹象。</w:t>
      </w:r>
    </w:p>
    <w:p>
      <w:pPr>
        <w:pStyle w:val="35"/>
        <w:rPr>
          <w:rFonts w:eastAsiaTheme="minorEastAsia"/>
          <w:color w:val="auto"/>
          <w:highlight w:val="none"/>
        </w:rPr>
      </w:pPr>
      <w:r>
        <w:rPr>
          <w:rFonts w:hint="eastAsia" w:eastAsiaTheme="minorEastAsia"/>
          <w:color w:val="auto"/>
          <w:highlight w:val="none"/>
        </w:rPr>
        <w:t>固定资产存在减值迹象的，估计其可收回金额。可收回金额根据固定资产的公允价值减去处置费用后的净额与固定资产预计未来现金流量的现值两者之间较高者确定。</w:t>
      </w:r>
    </w:p>
    <w:p>
      <w:pPr>
        <w:pStyle w:val="35"/>
        <w:rPr>
          <w:rFonts w:eastAsiaTheme="minorEastAsia"/>
          <w:color w:val="auto"/>
          <w:highlight w:val="none"/>
        </w:rPr>
      </w:pPr>
      <w:r>
        <w:rPr>
          <w:rFonts w:hint="eastAsia" w:eastAsiaTheme="minorEastAsia"/>
          <w:color w:val="auto"/>
          <w:highlight w:val="none"/>
        </w:rPr>
        <w:t>当固定资产的可收回金额低于其账面价值的，将固定资产的账面价值减记至可收回金额，减记的金额确认为固定资产减值损失，计入当期损益，同时计提相应的固定资产减值准备。</w:t>
      </w:r>
    </w:p>
    <w:p>
      <w:pPr>
        <w:pStyle w:val="35"/>
        <w:rPr>
          <w:rFonts w:eastAsiaTheme="minorEastAsia"/>
          <w:color w:val="auto"/>
          <w:highlight w:val="none"/>
        </w:rPr>
      </w:pPr>
      <w:r>
        <w:rPr>
          <w:rFonts w:hint="eastAsia" w:eastAsiaTheme="minorEastAsia"/>
          <w:color w:val="auto"/>
          <w:highlight w:val="none"/>
        </w:rPr>
        <w:t>固定资产减值损失确认后，减值固定资产的折旧在未来期间作相应调整，以使该固定资产在剩余使用寿命内，系统地分摊调整后的固定资产账面价值（扣除预计净残值）。</w:t>
      </w:r>
    </w:p>
    <w:p>
      <w:pPr>
        <w:pStyle w:val="35"/>
        <w:rPr>
          <w:rFonts w:eastAsiaTheme="minorEastAsia"/>
          <w:color w:val="auto"/>
          <w:highlight w:val="none"/>
        </w:rPr>
      </w:pPr>
      <w:r>
        <w:rPr>
          <w:rFonts w:hint="eastAsia" w:eastAsiaTheme="minorEastAsia"/>
          <w:color w:val="auto"/>
          <w:highlight w:val="none"/>
        </w:rPr>
        <w:t>固定资产的减值损失一经确认，在以后会计期间不再转回。</w:t>
      </w:r>
    </w:p>
    <w:p>
      <w:pPr>
        <w:pStyle w:val="35"/>
        <w:rPr>
          <w:rFonts w:eastAsiaTheme="minorEastAsia"/>
          <w:color w:val="auto"/>
          <w:highlight w:val="none"/>
        </w:rPr>
      </w:pPr>
      <w:r>
        <w:rPr>
          <w:rFonts w:hint="eastAsia" w:eastAsiaTheme="minorEastAsia"/>
          <w:color w:val="auto"/>
          <w:highlight w:val="none"/>
        </w:rPr>
        <w:t>有迹象表明一项固定资产可能发生减值的，本公司以单项固定资产为基础估计其可收回金额。本公司难以对单项固定资产的可收回金额进行估计的，以该固定资产所属的资产组为基础确定资产组的可收回金额。</w:t>
      </w:r>
    </w:p>
    <w:p>
      <w:pPr>
        <w:pStyle w:val="35"/>
        <w:rPr>
          <w:rFonts w:eastAsiaTheme="minorEastAsia"/>
          <w:color w:val="auto"/>
          <w:highlight w:val="none"/>
        </w:rPr>
      </w:pPr>
    </w:p>
    <w:p>
      <w:pPr>
        <w:pStyle w:val="44"/>
        <w:rPr>
          <w:color w:val="auto"/>
          <w:highlight w:val="none"/>
        </w:rPr>
      </w:pPr>
      <w:r>
        <w:rPr>
          <w:rFonts w:hint="eastAsia"/>
          <w:color w:val="auto"/>
          <w:highlight w:val="none"/>
        </w:rPr>
        <w:t>固定资产处置</w:t>
      </w:r>
    </w:p>
    <w:p>
      <w:pPr>
        <w:pStyle w:val="35"/>
        <w:rPr>
          <w:color w:val="auto"/>
          <w:highlight w:val="none"/>
        </w:rPr>
      </w:pPr>
      <w:r>
        <w:rPr>
          <w:rFonts w:hint="eastAsia"/>
          <w:color w:val="auto"/>
          <w:highlight w:val="none"/>
        </w:rPr>
        <w:t>当固定资产被处置、或者预期通过使用或处置不能产生经济利益时，终止确认该固定资产。固定资产出售、转让、报废或毁损的处置收入扣除其账面价值和相关税费后的金额计入当期损益。</w:t>
      </w:r>
    </w:p>
    <w:p>
      <w:pPr>
        <w:pStyle w:val="35"/>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在建工程</w:t>
      </w:r>
    </w:p>
    <w:p>
      <w:pPr>
        <w:pStyle w:val="44"/>
        <w:rPr>
          <w:color w:val="auto"/>
          <w:highlight w:val="none"/>
        </w:rPr>
      </w:pPr>
      <w:r>
        <w:rPr>
          <w:rFonts w:hint="eastAsia"/>
          <w:color w:val="auto"/>
          <w:highlight w:val="none"/>
        </w:rPr>
        <w:t>在建工程的初始计量和在建工程结转为固定资产的标准</w:t>
      </w:r>
    </w:p>
    <w:p>
      <w:pPr>
        <w:pStyle w:val="35"/>
        <w:rPr>
          <w:color w:val="auto"/>
          <w:highlight w:val="none"/>
        </w:rPr>
      </w:pPr>
      <w:r>
        <w:rPr>
          <w:rFonts w:hint="eastAsia"/>
          <w:color w:val="auto"/>
          <w:highlight w:val="none"/>
        </w:rPr>
        <w:t>在建工程成本按实际发生的成本计量。实际成本包括</w:t>
      </w:r>
      <w:r>
        <w:rPr>
          <w:rFonts w:hint="eastAsia" w:eastAsiaTheme="minorEastAsia"/>
          <w:color w:val="auto"/>
          <w:highlight w:val="none"/>
        </w:rPr>
        <w:t>建筑成本、安装成本、符合资本化条件的借款费用以及其他为使在建工程</w:t>
      </w:r>
      <w:r>
        <w:rPr>
          <w:rFonts w:hint="eastAsia"/>
          <w:color w:val="auto"/>
          <w:highlight w:val="none"/>
        </w:rPr>
        <w:t>达到预定可使用状态前所发生的必要支出。在建工程在达到预定可使用状态时，转入固定资产并自次月起开始计提折旧。</w:t>
      </w:r>
    </w:p>
    <w:p>
      <w:pPr>
        <w:pStyle w:val="35"/>
        <w:rPr>
          <w:color w:val="auto"/>
          <w:highlight w:val="none"/>
        </w:rPr>
      </w:pPr>
    </w:p>
    <w:p>
      <w:pPr>
        <w:pStyle w:val="44"/>
        <w:rPr>
          <w:color w:val="auto"/>
          <w:highlight w:val="none"/>
        </w:rPr>
      </w:pPr>
      <w:r>
        <w:rPr>
          <w:rFonts w:hint="eastAsia"/>
          <w:color w:val="auto"/>
          <w:highlight w:val="none"/>
        </w:rPr>
        <w:t>在建工程减值准备的确认标准、计提方法</w:t>
      </w:r>
    </w:p>
    <w:p>
      <w:pPr>
        <w:pStyle w:val="35"/>
        <w:rPr>
          <w:color w:val="auto"/>
          <w:highlight w:val="none"/>
        </w:rPr>
      </w:pPr>
      <w:r>
        <w:rPr>
          <w:rFonts w:hint="eastAsia"/>
          <w:color w:val="auto"/>
          <w:highlight w:val="none"/>
        </w:rPr>
        <w:t>本公司在每期末判断在建工程是否存在可能发生减值的迹象。</w:t>
      </w:r>
    </w:p>
    <w:p>
      <w:pPr>
        <w:pStyle w:val="35"/>
        <w:rPr>
          <w:color w:val="auto"/>
          <w:highlight w:val="none"/>
        </w:rPr>
      </w:pPr>
      <w:r>
        <w:rPr>
          <w:rFonts w:hint="eastAsia"/>
          <w:color w:val="auto"/>
          <w:highlight w:val="none"/>
        </w:rPr>
        <w:t>在建工程存在减值迹象的，估计其可收回金额。有迹象表明一项在建工程可能发生减值的，以单项在建工程为基础估计其可收回金额。难以对单项在建工程的可收回金额进行估计的，以该在建工程所属的资产组为基础确定资产组的可收回金额。</w:t>
      </w:r>
    </w:p>
    <w:p>
      <w:pPr>
        <w:pStyle w:val="35"/>
        <w:rPr>
          <w:color w:val="auto"/>
          <w:highlight w:val="none"/>
        </w:rPr>
      </w:pPr>
      <w:r>
        <w:rPr>
          <w:rFonts w:hint="eastAsia"/>
          <w:color w:val="auto"/>
          <w:highlight w:val="none"/>
        </w:rPr>
        <w:t>可收回金额根据在建工程的公允价值减去处置费用后的净额与在建工程预计未来现金流量的现值两者之间较高者确定。</w:t>
      </w:r>
    </w:p>
    <w:p>
      <w:pPr>
        <w:pStyle w:val="35"/>
        <w:rPr>
          <w:color w:val="auto"/>
          <w:highlight w:val="none"/>
        </w:rPr>
      </w:pPr>
      <w:r>
        <w:rPr>
          <w:rFonts w:hint="eastAsia"/>
          <w:color w:val="auto"/>
          <w:highlight w:val="none"/>
        </w:rPr>
        <w:t>当在建工程的可收回金额低于其账面价值的，将在建工程的账面价值减记至可收回金额，减记的金额确认为在建工程减值损失，计入当期损益，同时计提相应的在建工程减值准备。</w:t>
      </w:r>
    </w:p>
    <w:p>
      <w:pPr>
        <w:pStyle w:val="35"/>
        <w:rPr>
          <w:rFonts w:hint="eastAsia"/>
          <w:color w:val="auto"/>
          <w:highlight w:val="none"/>
        </w:rPr>
      </w:pPr>
      <w:r>
        <w:rPr>
          <w:rFonts w:hint="eastAsia"/>
          <w:color w:val="auto"/>
          <w:highlight w:val="none"/>
        </w:rPr>
        <w:t>在建工程的减值损失一经确认，在以后会计期间不再转回。</w:t>
      </w:r>
    </w:p>
    <w:p>
      <w:pPr>
        <w:pStyle w:val="35"/>
        <w:rPr>
          <w:color w:val="auto"/>
          <w:highlight w:val="none"/>
        </w:rPr>
      </w:pPr>
    </w:p>
    <w:p>
      <w:pPr>
        <w:pStyle w:val="37"/>
        <w:rPr>
          <w:rFonts w:eastAsiaTheme="minorEastAsia"/>
          <w:color w:val="auto"/>
          <w:highlight w:val="none"/>
        </w:rPr>
      </w:pPr>
      <w:r>
        <w:rPr>
          <w:rFonts w:eastAsiaTheme="minorEastAsia"/>
          <w:color w:val="auto"/>
          <w:highlight w:val="none"/>
        </w:rPr>
        <w:t>借款费用</w:t>
      </w:r>
    </w:p>
    <w:p>
      <w:pPr>
        <w:pStyle w:val="44"/>
        <w:rPr>
          <w:color w:val="auto"/>
          <w:highlight w:val="none"/>
        </w:rPr>
      </w:pPr>
      <w:r>
        <w:rPr>
          <w:rFonts w:hint="eastAsia"/>
          <w:color w:val="auto"/>
          <w:highlight w:val="none"/>
        </w:rPr>
        <w:t>借款费用资本化的确认原则</w:t>
      </w:r>
    </w:p>
    <w:p>
      <w:pPr>
        <w:pStyle w:val="35"/>
        <w:rPr>
          <w:color w:val="auto"/>
          <w:highlight w:val="none"/>
        </w:rPr>
      </w:pPr>
      <w:r>
        <w:rPr>
          <w:rFonts w:hint="eastAsia"/>
          <w:color w:val="auto"/>
          <w:highlight w:val="none"/>
        </w:rPr>
        <w:t>公司发生的借款费用，可直接归属于符合资本化条件的资产的购建或者生产的，予以资本化，计入相关资产成本；其他借款费用，在发生时根据其发生额确认为费用，计入当期损益。</w:t>
      </w:r>
    </w:p>
    <w:p>
      <w:pPr>
        <w:pStyle w:val="35"/>
        <w:rPr>
          <w:color w:val="auto"/>
          <w:highlight w:val="none"/>
        </w:rPr>
      </w:pPr>
      <w:r>
        <w:rPr>
          <w:rFonts w:hint="eastAsia"/>
          <w:color w:val="auto"/>
          <w:highlight w:val="none"/>
        </w:rPr>
        <w:t>符合资本化条件的资产，是指需要经过相当长时间的购建或者生产活动才能达到预定可使用或者可销售状态的固定资产、投资性房地产和存货等资产。</w:t>
      </w:r>
    </w:p>
    <w:p>
      <w:pPr>
        <w:pStyle w:val="35"/>
        <w:rPr>
          <w:rFonts w:eastAsiaTheme="minorEastAsia"/>
          <w:color w:val="auto"/>
          <w:highlight w:val="none"/>
        </w:rPr>
      </w:pPr>
    </w:p>
    <w:p>
      <w:pPr>
        <w:pStyle w:val="44"/>
        <w:rPr>
          <w:color w:val="auto"/>
          <w:highlight w:val="none"/>
        </w:rPr>
      </w:pPr>
      <w:r>
        <w:rPr>
          <w:rFonts w:hint="eastAsia"/>
          <w:color w:val="auto"/>
          <w:highlight w:val="none"/>
        </w:rPr>
        <w:t>借款费用资本化期间</w:t>
      </w:r>
    </w:p>
    <w:p>
      <w:pPr>
        <w:pStyle w:val="35"/>
        <w:rPr>
          <w:rFonts w:eastAsiaTheme="minorEastAsia"/>
          <w:color w:val="auto"/>
          <w:highlight w:val="none"/>
        </w:rPr>
      </w:pPr>
      <w:r>
        <w:rPr>
          <w:rFonts w:hint="eastAsia" w:eastAsiaTheme="minorEastAsia"/>
          <w:color w:val="auto"/>
          <w:highlight w:val="none"/>
        </w:rPr>
        <w:t>资本化期间，指从借款费用开始资本化时点到停止资本化时点的期间，借款费用暂停资本化的期间不包括在内。</w:t>
      </w:r>
    </w:p>
    <w:p>
      <w:pPr>
        <w:pStyle w:val="35"/>
        <w:rPr>
          <w:rFonts w:eastAsiaTheme="minorEastAsia"/>
          <w:color w:val="auto"/>
          <w:highlight w:val="none"/>
        </w:rPr>
      </w:pPr>
      <w:r>
        <w:rPr>
          <w:rFonts w:hint="eastAsia" w:eastAsiaTheme="minorEastAsia"/>
          <w:color w:val="auto"/>
          <w:highlight w:val="none"/>
        </w:rPr>
        <w:t>借款费用同时满足下列条件时开始资本化：</w:t>
      </w:r>
    </w:p>
    <w:p>
      <w:pPr>
        <w:pStyle w:val="35"/>
        <w:rPr>
          <w:rFonts w:eastAsiaTheme="minorEastAsia"/>
          <w:color w:val="auto"/>
          <w:highlight w:val="none"/>
        </w:rPr>
      </w:pPr>
      <w:r>
        <w:rPr>
          <w:rFonts w:hint="eastAsia" w:eastAsiaTheme="minorEastAsia"/>
          <w:color w:val="auto"/>
          <w:highlight w:val="none"/>
        </w:rPr>
        <w:t>（1）资产支出已经发生，资产支出包括为购建或者生产符合资本化条件的资产而以支付现金、转移非现金资产或者承担带息债务形式发生的支出；</w:t>
      </w:r>
    </w:p>
    <w:p>
      <w:pPr>
        <w:pStyle w:val="35"/>
        <w:rPr>
          <w:rFonts w:eastAsiaTheme="minorEastAsia"/>
          <w:color w:val="auto"/>
          <w:highlight w:val="none"/>
        </w:rPr>
      </w:pPr>
      <w:r>
        <w:rPr>
          <w:rFonts w:hint="eastAsia" w:eastAsiaTheme="minorEastAsia"/>
          <w:color w:val="auto"/>
          <w:highlight w:val="none"/>
        </w:rPr>
        <w:t>（2）借款费用已经发生；</w:t>
      </w:r>
    </w:p>
    <w:p>
      <w:pPr>
        <w:pStyle w:val="35"/>
        <w:rPr>
          <w:rFonts w:eastAsiaTheme="minorEastAsia"/>
          <w:color w:val="auto"/>
          <w:highlight w:val="none"/>
        </w:rPr>
      </w:pPr>
      <w:r>
        <w:rPr>
          <w:rFonts w:hint="eastAsia" w:eastAsiaTheme="minorEastAsia"/>
          <w:color w:val="auto"/>
          <w:highlight w:val="none"/>
        </w:rPr>
        <w:t>（3）为使资产达到预定可使用或者可销售状态所必要的购建或者生产活动已经开始。</w:t>
      </w:r>
    </w:p>
    <w:p>
      <w:pPr>
        <w:pStyle w:val="35"/>
        <w:rPr>
          <w:rFonts w:eastAsiaTheme="minorEastAsia"/>
          <w:color w:val="auto"/>
          <w:highlight w:val="none"/>
        </w:rPr>
      </w:pPr>
      <w:r>
        <w:rPr>
          <w:rFonts w:hint="eastAsia" w:eastAsiaTheme="minorEastAsia"/>
          <w:color w:val="auto"/>
          <w:highlight w:val="none"/>
        </w:rPr>
        <w:t>当购建或者生产符合资本化条件的资产达到预定可使用或者可销售状态时，借款费用停止资本化。</w:t>
      </w:r>
    </w:p>
    <w:p>
      <w:pPr>
        <w:pStyle w:val="35"/>
        <w:rPr>
          <w:rFonts w:eastAsiaTheme="minorEastAsia"/>
          <w:color w:val="auto"/>
          <w:highlight w:val="none"/>
        </w:rPr>
      </w:pPr>
    </w:p>
    <w:p>
      <w:pPr>
        <w:pStyle w:val="44"/>
        <w:rPr>
          <w:color w:val="auto"/>
          <w:highlight w:val="none"/>
        </w:rPr>
      </w:pPr>
      <w:r>
        <w:rPr>
          <w:rFonts w:hint="eastAsia"/>
          <w:color w:val="auto"/>
          <w:highlight w:val="none"/>
        </w:rPr>
        <w:t>暂停资本化期间</w:t>
      </w:r>
    </w:p>
    <w:p>
      <w:pPr>
        <w:pStyle w:val="35"/>
        <w:rPr>
          <w:rFonts w:eastAsiaTheme="minorEastAsia"/>
          <w:color w:val="auto"/>
          <w:highlight w:val="none"/>
        </w:rPr>
      </w:pPr>
      <w:r>
        <w:rPr>
          <w:rFonts w:hint="eastAsia" w:eastAsiaTheme="minorEastAsia"/>
          <w:color w:val="auto"/>
          <w:highlight w:val="none"/>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pPr>
        <w:pStyle w:val="35"/>
        <w:rPr>
          <w:rFonts w:eastAsiaTheme="minorEastAsia"/>
          <w:color w:val="auto"/>
          <w:highlight w:val="none"/>
        </w:rPr>
      </w:pPr>
    </w:p>
    <w:p>
      <w:pPr>
        <w:pStyle w:val="44"/>
        <w:rPr>
          <w:color w:val="auto"/>
          <w:highlight w:val="none"/>
        </w:rPr>
      </w:pPr>
      <w:r>
        <w:rPr>
          <w:rFonts w:hint="eastAsia"/>
          <w:color w:val="auto"/>
          <w:highlight w:val="none"/>
        </w:rPr>
        <w:t>借款费用资本化金额的计算方法</w:t>
      </w:r>
    </w:p>
    <w:p>
      <w:pPr>
        <w:pStyle w:val="35"/>
        <w:rPr>
          <w:rFonts w:eastAsiaTheme="minorEastAsia"/>
          <w:color w:val="auto"/>
          <w:highlight w:val="none"/>
        </w:rPr>
      </w:pPr>
      <w:r>
        <w:rPr>
          <w:rFonts w:hint="eastAsia" w:eastAsiaTheme="minorEastAsia"/>
          <w:color w:val="auto"/>
          <w:highlight w:val="none"/>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pPr>
        <w:pStyle w:val="35"/>
        <w:rPr>
          <w:rFonts w:eastAsiaTheme="minorEastAsia"/>
          <w:color w:val="auto"/>
          <w:highlight w:val="none"/>
        </w:rPr>
      </w:pPr>
      <w:r>
        <w:rPr>
          <w:rFonts w:hint="eastAsia" w:eastAsiaTheme="minorEastAsia"/>
          <w:color w:val="auto"/>
          <w:highlight w:val="none"/>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pPr>
        <w:pStyle w:val="35"/>
        <w:rPr>
          <w:rFonts w:eastAsiaTheme="minorEastAsia"/>
          <w:b/>
          <w:color w:val="auto"/>
          <w:highlight w:val="none"/>
        </w:rPr>
      </w:pPr>
      <w:r>
        <w:rPr>
          <w:rFonts w:hint="eastAsia"/>
          <w:color w:val="auto"/>
          <w:highlight w:val="none"/>
        </w:rPr>
        <w:t>在资本化期间内，外币专门借款本金及利息的汇兑差额，予以资本化，计入符合资本化条件的资产的成本。除外币专门借款之外的其他外币借款本金及其利息所产生的汇兑差额计入当期损益。</w:t>
      </w:r>
    </w:p>
    <w:p>
      <w:pPr>
        <w:pStyle w:val="35"/>
        <w:rPr>
          <w:color w:val="auto"/>
          <w:highlight w:val="none"/>
        </w:rPr>
      </w:pPr>
    </w:p>
    <w:p>
      <w:pPr>
        <w:pStyle w:val="37"/>
        <w:rPr>
          <w:rFonts w:eastAsiaTheme="minorEastAsia"/>
          <w:color w:val="auto"/>
          <w:highlight w:val="none"/>
        </w:rPr>
      </w:pPr>
      <w:r>
        <w:rPr>
          <w:rFonts w:eastAsiaTheme="minorEastAsia"/>
          <w:color w:val="auto"/>
          <w:highlight w:val="none"/>
        </w:rPr>
        <w:t>无形资产</w:t>
      </w:r>
    </w:p>
    <w:p>
      <w:pPr>
        <w:pStyle w:val="44"/>
        <w:rPr>
          <w:color w:val="auto"/>
          <w:highlight w:val="none"/>
        </w:rPr>
      </w:pPr>
      <w:r>
        <w:rPr>
          <w:rFonts w:hint="eastAsia"/>
          <w:color w:val="auto"/>
          <w:highlight w:val="none"/>
        </w:rPr>
        <w:t>无形资产的确认</w:t>
      </w:r>
    </w:p>
    <w:p>
      <w:pPr>
        <w:pStyle w:val="35"/>
        <w:rPr>
          <w:rFonts w:eastAsiaTheme="minorEastAsia"/>
          <w:color w:val="auto"/>
          <w:highlight w:val="none"/>
        </w:rPr>
      </w:pPr>
      <w:r>
        <w:rPr>
          <w:rFonts w:hint="eastAsia" w:eastAsiaTheme="minorEastAsia"/>
          <w:color w:val="auto"/>
          <w:highlight w:val="none"/>
        </w:rPr>
        <w:t>无形资产，是指本公司拥有或者控制的没有实物形态的可辨认非货币性资产。同时满足下列条件时，无形资产才予以确认：</w:t>
      </w:r>
    </w:p>
    <w:p>
      <w:pPr>
        <w:pStyle w:val="35"/>
        <w:rPr>
          <w:rFonts w:eastAsiaTheme="minorEastAsia"/>
          <w:color w:val="auto"/>
          <w:highlight w:val="none"/>
        </w:rPr>
      </w:pPr>
      <w:r>
        <w:rPr>
          <w:rFonts w:hint="eastAsia" w:eastAsiaTheme="minorEastAsia"/>
          <w:color w:val="auto"/>
          <w:highlight w:val="none"/>
        </w:rPr>
        <w:t>（1）与该无形资产有关的经济利益很可能流入本公司；</w:t>
      </w:r>
    </w:p>
    <w:p>
      <w:pPr>
        <w:pStyle w:val="35"/>
        <w:rPr>
          <w:rFonts w:eastAsiaTheme="minorEastAsia"/>
          <w:color w:val="auto"/>
          <w:highlight w:val="none"/>
        </w:rPr>
      </w:pPr>
      <w:r>
        <w:rPr>
          <w:rFonts w:hint="eastAsia" w:eastAsiaTheme="minorEastAsia"/>
          <w:color w:val="auto"/>
          <w:highlight w:val="none"/>
        </w:rPr>
        <w:t>（2）该无形资产的成本能够可靠地计量。</w:t>
      </w:r>
    </w:p>
    <w:p>
      <w:pPr>
        <w:pStyle w:val="35"/>
        <w:rPr>
          <w:rFonts w:eastAsiaTheme="minorEastAsia"/>
          <w:color w:val="auto"/>
          <w:highlight w:val="none"/>
        </w:rPr>
      </w:pPr>
    </w:p>
    <w:p>
      <w:pPr>
        <w:pStyle w:val="44"/>
        <w:rPr>
          <w:color w:val="auto"/>
          <w:highlight w:val="none"/>
        </w:rPr>
      </w:pPr>
      <w:r>
        <w:rPr>
          <w:rFonts w:hint="eastAsia"/>
          <w:color w:val="auto"/>
          <w:highlight w:val="none"/>
        </w:rPr>
        <w:t>无形资产的计价方法</w:t>
      </w:r>
    </w:p>
    <w:p>
      <w:pPr>
        <w:pStyle w:val="38"/>
        <w:rPr>
          <w:color w:val="auto"/>
          <w:highlight w:val="none"/>
        </w:rPr>
      </w:pPr>
      <w:r>
        <w:rPr>
          <w:rFonts w:hint="eastAsia"/>
          <w:color w:val="auto"/>
          <w:highlight w:val="none"/>
        </w:rPr>
        <w:t>（1）公司取得无形资产时按成本进行初始计量。</w:t>
      </w:r>
    </w:p>
    <w:p>
      <w:pPr>
        <w:pStyle w:val="35"/>
        <w:rPr>
          <w:rFonts w:eastAsiaTheme="minorEastAsia"/>
          <w:color w:val="auto"/>
          <w:highlight w:val="none"/>
        </w:rPr>
      </w:pPr>
      <w:r>
        <w:rPr>
          <w:rFonts w:hint="eastAsia" w:eastAsiaTheme="minorEastAsia"/>
          <w:color w:val="auto"/>
          <w:highlight w:val="none"/>
        </w:rPr>
        <w:t>外购无形资产的成本，包括购买价款、相关税费以及直接归属于使该项资产达到预定用途所发生的其他支出。</w:t>
      </w:r>
    </w:p>
    <w:p>
      <w:pPr>
        <w:pStyle w:val="35"/>
        <w:rPr>
          <w:color w:val="auto"/>
          <w:highlight w:val="none"/>
        </w:rPr>
      </w:pPr>
    </w:p>
    <w:p>
      <w:pPr>
        <w:pStyle w:val="38"/>
        <w:rPr>
          <w:color w:val="auto"/>
          <w:highlight w:val="none"/>
        </w:rPr>
      </w:pPr>
      <w:r>
        <w:rPr>
          <w:rFonts w:hint="eastAsia"/>
          <w:color w:val="auto"/>
          <w:highlight w:val="none"/>
        </w:rPr>
        <w:t>（2）后续计量</w:t>
      </w:r>
    </w:p>
    <w:p>
      <w:pPr>
        <w:pStyle w:val="35"/>
        <w:rPr>
          <w:rFonts w:eastAsiaTheme="minorEastAsia"/>
          <w:color w:val="auto"/>
          <w:highlight w:val="none"/>
        </w:rPr>
      </w:pPr>
      <w:r>
        <w:rPr>
          <w:rFonts w:hint="eastAsia" w:eastAsiaTheme="minorEastAsia"/>
          <w:color w:val="auto"/>
          <w:highlight w:val="none"/>
        </w:rPr>
        <w:t>在取得无形资产时分析判断其使用寿命。</w:t>
      </w:r>
    </w:p>
    <w:p>
      <w:pPr>
        <w:pStyle w:val="35"/>
        <w:rPr>
          <w:rFonts w:eastAsiaTheme="minorEastAsia"/>
          <w:color w:val="auto"/>
          <w:highlight w:val="none"/>
        </w:rPr>
      </w:pPr>
      <w:r>
        <w:rPr>
          <w:rFonts w:hint="eastAsia" w:eastAsiaTheme="minorEastAsia"/>
          <w:color w:val="auto"/>
          <w:highlight w:val="none"/>
        </w:rPr>
        <w:t>对于使用寿命有限的无形资产，在为企业带来经济利益的期限内摊销；无法预见无形资产为企业带来经济利益期限的，视为使用寿命不确定的无形资产，不予摊销。</w:t>
      </w:r>
    </w:p>
    <w:p>
      <w:pPr>
        <w:pStyle w:val="35"/>
        <w:rPr>
          <w:rFonts w:eastAsiaTheme="minorEastAsia"/>
          <w:color w:val="auto"/>
          <w:highlight w:val="none"/>
        </w:rPr>
      </w:pPr>
      <w:r>
        <w:rPr>
          <w:rFonts w:hint="eastAsia" w:eastAsiaTheme="minorEastAsia"/>
          <w:color w:val="auto"/>
          <w:highlight w:val="none"/>
        </w:rPr>
        <w:t>每期末，对使用寿命有限的无形资产的使用寿命及摊销方法进行复核。</w:t>
      </w:r>
    </w:p>
    <w:p>
      <w:pPr>
        <w:pStyle w:val="35"/>
        <w:rPr>
          <w:rFonts w:eastAsiaTheme="minorEastAsia"/>
          <w:color w:val="auto"/>
          <w:highlight w:val="none"/>
        </w:rPr>
      </w:pPr>
    </w:p>
    <w:p>
      <w:pPr>
        <w:pStyle w:val="44"/>
        <w:rPr>
          <w:color w:val="auto"/>
          <w:highlight w:val="none"/>
        </w:rPr>
      </w:pPr>
      <w:r>
        <w:rPr>
          <w:rFonts w:hint="eastAsia"/>
          <w:color w:val="auto"/>
          <w:highlight w:val="none"/>
        </w:rPr>
        <w:t>无形资产减值准备的计提</w:t>
      </w:r>
    </w:p>
    <w:p>
      <w:pPr>
        <w:pStyle w:val="35"/>
        <w:rPr>
          <w:rFonts w:eastAsiaTheme="minorEastAsia"/>
          <w:color w:val="auto"/>
          <w:highlight w:val="none"/>
        </w:rPr>
      </w:pPr>
      <w:r>
        <w:rPr>
          <w:rFonts w:hint="eastAsia" w:eastAsiaTheme="minorEastAsia"/>
          <w:color w:val="auto"/>
          <w:highlight w:val="none"/>
        </w:rPr>
        <w:t>对于使用寿命确定的无形资产，如有明显减值迹象的，期末进行减值测试。</w:t>
      </w:r>
    </w:p>
    <w:p>
      <w:pPr>
        <w:pStyle w:val="35"/>
        <w:rPr>
          <w:rFonts w:eastAsiaTheme="minorEastAsia"/>
          <w:color w:val="auto"/>
          <w:highlight w:val="none"/>
        </w:rPr>
      </w:pPr>
      <w:r>
        <w:rPr>
          <w:rFonts w:hint="eastAsia" w:eastAsiaTheme="minorEastAsia"/>
          <w:color w:val="auto"/>
          <w:highlight w:val="none"/>
        </w:rPr>
        <w:t>对于使用寿命不确定的无形资产，每期末进行减值测试。</w:t>
      </w:r>
    </w:p>
    <w:p>
      <w:pPr>
        <w:pStyle w:val="35"/>
        <w:rPr>
          <w:rFonts w:eastAsiaTheme="minorEastAsia"/>
          <w:color w:val="auto"/>
          <w:highlight w:val="none"/>
        </w:rPr>
      </w:pPr>
      <w:r>
        <w:rPr>
          <w:rFonts w:hint="eastAsia" w:eastAsiaTheme="minorEastAsia"/>
          <w:color w:val="auto"/>
          <w:highlight w:val="none"/>
        </w:rPr>
        <w:t>对无形资产进行减值测试，估计其可收回金额。有迹象表明一项无形资产可能发生减值的，公司以单项无形资产为基础估计其可收回金额。公司难以对单项资产的可收回金额进行估计的，以该无形资产所属的资产组为基础确定无形资产组的可收回金额。</w:t>
      </w:r>
    </w:p>
    <w:p>
      <w:pPr>
        <w:pStyle w:val="35"/>
        <w:rPr>
          <w:rFonts w:eastAsiaTheme="minorEastAsia"/>
          <w:color w:val="auto"/>
          <w:highlight w:val="none"/>
        </w:rPr>
      </w:pPr>
      <w:r>
        <w:rPr>
          <w:rFonts w:hint="eastAsia" w:eastAsiaTheme="minorEastAsia"/>
          <w:color w:val="auto"/>
          <w:highlight w:val="none"/>
        </w:rPr>
        <w:t>可收回金额根据无形资产的公允价值减去处置费用后的净额与无形资产预计未来现金流量的现值两者之间较高者确定。</w:t>
      </w:r>
    </w:p>
    <w:p>
      <w:pPr>
        <w:pStyle w:val="35"/>
        <w:rPr>
          <w:rFonts w:eastAsiaTheme="minorEastAsia"/>
          <w:color w:val="auto"/>
          <w:highlight w:val="none"/>
        </w:rPr>
      </w:pPr>
      <w:r>
        <w:rPr>
          <w:rFonts w:hint="eastAsia" w:eastAsiaTheme="minorEastAsia"/>
          <w:color w:val="auto"/>
          <w:highlight w:val="none"/>
        </w:rPr>
        <w:t>当无形资产的可收回金额低于其账面价值的，将无形资产的账面价值减记至可收回金额，减记的金额确认为无形资产减值损失，计入当期损益，同时计提相应的无形资产减值准备。</w:t>
      </w:r>
    </w:p>
    <w:p>
      <w:pPr>
        <w:pStyle w:val="35"/>
        <w:rPr>
          <w:rFonts w:eastAsiaTheme="minorEastAsia"/>
          <w:color w:val="auto"/>
          <w:highlight w:val="none"/>
        </w:rPr>
      </w:pPr>
      <w:r>
        <w:rPr>
          <w:rFonts w:hint="eastAsia" w:eastAsiaTheme="minorEastAsia"/>
          <w:color w:val="auto"/>
          <w:highlight w:val="none"/>
        </w:rPr>
        <w:t>无形资产减值损失确认后，减值无形资产的折耗或者摊销费用在未来期间作相应调整，以使该无形资产在剩余使用寿命内，系统地分摊调整后的无形资产账面价值（扣除预计净残值）。</w:t>
      </w:r>
    </w:p>
    <w:p>
      <w:pPr>
        <w:pStyle w:val="35"/>
        <w:rPr>
          <w:rFonts w:eastAsiaTheme="minorEastAsia"/>
          <w:color w:val="auto"/>
          <w:highlight w:val="none"/>
        </w:rPr>
      </w:pPr>
      <w:r>
        <w:rPr>
          <w:rFonts w:hint="eastAsia" w:eastAsiaTheme="minorEastAsia"/>
          <w:color w:val="auto"/>
          <w:highlight w:val="none"/>
        </w:rPr>
        <w:t>无形资产的减值损失一经确认，在以后会计期间不再转回。</w:t>
      </w:r>
    </w:p>
    <w:p>
      <w:pPr>
        <w:pStyle w:val="35"/>
        <w:rPr>
          <w:rFonts w:eastAsiaTheme="minorEastAsia"/>
          <w:color w:val="auto"/>
          <w:highlight w:val="none"/>
        </w:rPr>
      </w:pPr>
    </w:p>
    <w:p>
      <w:pPr>
        <w:pStyle w:val="44"/>
        <w:rPr>
          <w:color w:val="auto"/>
          <w:highlight w:val="none"/>
        </w:rPr>
      </w:pPr>
      <w:r>
        <w:rPr>
          <w:rFonts w:hint="eastAsia"/>
          <w:color w:val="auto"/>
          <w:highlight w:val="none"/>
        </w:rPr>
        <w:t>划分公司内部研究开发项目的研究阶段和开发阶段具体标准</w:t>
      </w:r>
    </w:p>
    <w:p>
      <w:pPr>
        <w:pStyle w:val="35"/>
        <w:rPr>
          <w:rFonts w:eastAsiaTheme="minorEastAsia"/>
          <w:color w:val="auto"/>
          <w:highlight w:val="none"/>
        </w:rPr>
      </w:pPr>
      <w:r>
        <w:rPr>
          <w:rFonts w:hint="eastAsia" w:eastAsiaTheme="minorEastAsia"/>
          <w:color w:val="auto"/>
          <w:highlight w:val="none"/>
        </w:rPr>
        <w:t>公司内部研究开发项目的支出分为研究阶段支出和开发阶段支出。</w:t>
      </w:r>
    </w:p>
    <w:p>
      <w:pPr>
        <w:pStyle w:val="35"/>
        <w:rPr>
          <w:rFonts w:eastAsiaTheme="minorEastAsia"/>
          <w:color w:val="auto"/>
          <w:highlight w:val="none"/>
        </w:rPr>
      </w:pPr>
      <w:r>
        <w:rPr>
          <w:rFonts w:hint="eastAsia" w:eastAsiaTheme="minorEastAsia"/>
          <w:color w:val="auto"/>
          <w:highlight w:val="none"/>
        </w:rPr>
        <w:t>研究阶段：为获取并理解新的科学或技术知识等而进行的独创性的有计划调查、研究活动的阶段。</w:t>
      </w:r>
    </w:p>
    <w:p>
      <w:pPr>
        <w:pStyle w:val="35"/>
        <w:rPr>
          <w:rFonts w:eastAsiaTheme="minorEastAsia"/>
          <w:color w:val="auto"/>
          <w:highlight w:val="none"/>
        </w:rPr>
      </w:pPr>
      <w:r>
        <w:rPr>
          <w:rFonts w:hint="eastAsia" w:eastAsiaTheme="minorEastAsia"/>
          <w:color w:val="auto"/>
          <w:highlight w:val="none"/>
        </w:rPr>
        <w:t>开发阶段：在进行商业性生产或使用前，将研究成果或其他知识应用于某项计划或设计，以生产出新的或具有实质性改进的材料、装置、产品等活动的阶段。</w:t>
      </w:r>
    </w:p>
    <w:p>
      <w:pPr>
        <w:pStyle w:val="35"/>
        <w:rPr>
          <w:rFonts w:eastAsiaTheme="minorEastAsia"/>
          <w:color w:val="auto"/>
          <w:highlight w:val="none"/>
        </w:rPr>
      </w:pPr>
    </w:p>
    <w:p>
      <w:pPr>
        <w:pStyle w:val="44"/>
        <w:rPr>
          <w:color w:val="auto"/>
          <w:highlight w:val="none"/>
        </w:rPr>
      </w:pPr>
      <w:r>
        <w:rPr>
          <w:rFonts w:hint="eastAsia"/>
          <w:color w:val="auto"/>
          <w:highlight w:val="none"/>
        </w:rPr>
        <w:t>开发阶段支出符合资本化的具体条件</w:t>
      </w:r>
    </w:p>
    <w:p>
      <w:pPr>
        <w:pStyle w:val="35"/>
        <w:rPr>
          <w:rFonts w:eastAsiaTheme="minorEastAsia"/>
          <w:color w:val="auto"/>
          <w:highlight w:val="none"/>
        </w:rPr>
      </w:pPr>
      <w:r>
        <w:rPr>
          <w:rFonts w:hint="eastAsia"/>
          <w:color w:val="auto"/>
          <w:highlight w:val="none"/>
        </w:rPr>
        <w:t>研究阶段的支出，于发生时计入当期损益。</w:t>
      </w:r>
      <w:r>
        <w:rPr>
          <w:rFonts w:hint="eastAsia" w:eastAsiaTheme="minorEastAsia"/>
          <w:color w:val="auto"/>
          <w:highlight w:val="none"/>
        </w:rPr>
        <w:t>开发阶段的支出同时满足下列条件的，确认为无形资产，</w:t>
      </w:r>
      <w:r>
        <w:rPr>
          <w:rFonts w:hint="eastAsia"/>
          <w:color w:val="auto"/>
          <w:highlight w:val="none"/>
        </w:rPr>
        <w:t>不能满足下述条件的开发阶段的支出计入当期损益</w:t>
      </w:r>
      <w:r>
        <w:rPr>
          <w:rFonts w:hint="eastAsia" w:eastAsiaTheme="minorEastAsia"/>
          <w:color w:val="auto"/>
          <w:highlight w:val="none"/>
        </w:rPr>
        <w:t>：</w:t>
      </w:r>
    </w:p>
    <w:p>
      <w:pPr>
        <w:pStyle w:val="35"/>
        <w:rPr>
          <w:rFonts w:eastAsiaTheme="minorEastAsia"/>
          <w:color w:val="auto"/>
          <w:highlight w:val="none"/>
        </w:rPr>
      </w:pPr>
      <w:r>
        <w:rPr>
          <w:rFonts w:hint="eastAsia" w:eastAsiaTheme="minorEastAsia"/>
          <w:color w:val="auto"/>
          <w:highlight w:val="none"/>
        </w:rPr>
        <w:t>（1）完成该无形资产以使其能够使用或出售在技术上具有可行性；</w:t>
      </w:r>
    </w:p>
    <w:p>
      <w:pPr>
        <w:pStyle w:val="35"/>
        <w:rPr>
          <w:rFonts w:eastAsiaTheme="minorEastAsia"/>
          <w:color w:val="auto"/>
          <w:highlight w:val="none"/>
        </w:rPr>
      </w:pPr>
      <w:r>
        <w:rPr>
          <w:rFonts w:hint="eastAsia" w:eastAsiaTheme="minorEastAsia"/>
          <w:color w:val="auto"/>
          <w:highlight w:val="none"/>
        </w:rPr>
        <w:t>（2）具有完成该无形资产并使用或出售的意图；</w:t>
      </w:r>
    </w:p>
    <w:p>
      <w:pPr>
        <w:pStyle w:val="35"/>
        <w:rPr>
          <w:rFonts w:eastAsiaTheme="minorEastAsia"/>
          <w:color w:val="auto"/>
          <w:highlight w:val="none"/>
        </w:rPr>
      </w:pPr>
      <w:r>
        <w:rPr>
          <w:rFonts w:hint="eastAsia" w:eastAsiaTheme="minorEastAsia"/>
          <w:color w:val="auto"/>
          <w:highlight w:val="none"/>
        </w:rPr>
        <w:t>（3）无形资产产生经济利益的方式，包括能够证明运用该无形资产生产的</w:t>
      </w:r>
    </w:p>
    <w:p>
      <w:pPr>
        <w:pStyle w:val="35"/>
        <w:rPr>
          <w:rFonts w:eastAsiaTheme="minorEastAsia"/>
          <w:color w:val="auto"/>
          <w:highlight w:val="none"/>
        </w:rPr>
      </w:pPr>
      <w:r>
        <w:rPr>
          <w:rFonts w:hint="eastAsia" w:eastAsiaTheme="minorEastAsia"/>
          <w:color w:val="auto"/>
          <w:highlight w:val="none"/>
        </w:rPr>
        <w:t>产品存在市场或无形资产自身存在市场，无形资产将在内部使用的，能够证明其有用性；</w:t>
      </w:r>
    </w:p>
    <w:p>
      <w:pPr>
        <w:pStyle w:val="35"/>
        <w:rPr>
          <w:rFonts w:eastAsiaTheme="minorEastAsia"/>
          <w:color w:val="auto"/>
          <w:highlight w:val="none"/>
        </w:rPr>
      </w:pPr>
      <w:r>
        <w:rPr>
          <w:rFonts w:hint="eastAsia" w:eastAsiaTheme="minorEastAsia"/>
          <w:color w:val="auto"/>
          <w:highlight w:val="none"/>
        </w:rPr>
        <w:t>（4）有足够的技术、财务资源和其他资源支持，以完成该无形资产的开发，</w:t>
      </w:r>
    </w:p>
    <w:p>
      <w:pPr>
        <w:pStyle w:val="35"/>
        <w:rPr>
          <w:rFonts w:eastAsiaTheme="minorEastAsia"/>
          <w:color w:val="auto"/>
          <w:highlight w:val="none"/>
        </w:rPr>
      </w:pPr>
      <w:r>
        <w:rPr>
          <w:rFonts w:hint="eastAsia" w:eastAsiaTheme="minorEastAsia"/>
          <w:color w:val="auto"/>
          <w:highlight w:val="none"/>
        </w:rPr>
        <w:t>并有能力使用或出售该无形资产；</w:t>
      </w:r>
    </w:p>
    <w:p>
      <w:pPr>
        <w:pStyle w:val="35"/>
        <w:rPr>
          <w:rFonts w:eastAsiaTheme="minorEastAsia"/>
          <w:color w:val="auto"/>
          <w:highlight w:val="none"/>
        </w:rPr>
      </w:pPr>
      <w:r>
        <w:rPr>
          <w:rFonts w:hint="eastAsia" w:eastAsiaTheme="minorEastAsia"/>
          <w:color w:val="auto"/>
          <w:highlight w:val="none"/>
        </w:rPr>
        <w:t>（5）归属于该无形资产开发阶段的支出能够可靠地计量。</w:t>
      </w:r>
    </w:p>
    <w:p>
      <w:pPr>
        <w:pStyle w:val="35"/>
        <w:rPr>
          <w:rFonts w:eastAsiaTheme="minorEastAsia"/>
          <w:color w:val="auto"/>
          <w:highlight w:val="none"/>
        </w:rPr>
      </w:pPr>
      <w:r>
        <w:rPr>
          <w:rFonts w:hint="eastAsia" w:eastAsiaTheme="minorEastAsia"/>
          <w:color w:val="auto"/>
          <w:highlight w:val="none"/>
        </w:rPr>
        <w:t>开发阶段的支出，若不满足上列条件的，于发生时计入当期损益。研究阶段的支出，在发生时计入当期损益。</w:t>
      </w:r>
    </w:p>
    <w:p>
      <w:pPr>
        <w:pStyle w:val="37"/>
        <w:rPr>
          <w:rFonts w:eastAsiaTheme="minorEastAsia"/>
          <w:color w:val="auto"/>
          <w:highlight w:val="none"/>
        </w:rPr>
      </w:pPr>
      <w:r>
        <w:rPr>
          <w:color w:val="auto"/>
          <w:highlight w:val="none"/>
        </w:rPr>
        <w:t>商誉</w:t>
      </w:r>
    </w:p>
    <w:p>
      <w:pPr>
        <w:pStyle w:val="38"/>
        <w:rPr>
          <w:rFonts w:eastAsiaTheme="minorEastAsia"/>
          <w:color w:val="auto"/>
          <w:highlight w:val="none"/>
        </w:rPr>
      </w:pPr>
      <w:r>
        <w:rPr>
          <w:rFonts w:hint="eastAsia" w:eastAsiaTheme="minorEastAsia"/>
          <w:color w:val="auto"/>
          <w:highlight w:val="none"/>
        </w:rPr>
        <w:t>因非同一控制下企业合并形成的商誉，其初始成本是合并成本大于合并中取得的被购买方可辨认净资产公允价值份额的差额。</w:t>
      </w:r>
    </w:p>
    <w:p>
      <w:pPr>
        <w:pStyle w:val="38"/>
        <w:rPr>
          <w:rFonts w:eastAsiaTheme="minorEastAsia"/>
          <w:color w:val="auto"/>
          <w:highlight w:val="none"/>
        </w:rPr>
      </w:pPr>
      <w:r>
        <w:rPr>
          <w:rFonts w:hint="eastAsia" w:eastAsiaTheme="minorEastAsia"/>
          <w:color w:val="auto"/>
          <w:highlight w:val="none"/>
        </w:rPr>
        <w:t>商誉在其相关资产组或资产组组合处置时予以转出，计入当期损益。</w:t>
      </w:r>
    </w:p>
    <w:p>
      <w:pPr>
        <w:pStyle w:val="38"/>
        <w:rPr>
          <w:rFonts w:eastAsiaTheme="minorEastAsia"/>
          <w:color w:val="auto"/>
          <w:highlight w:val="none"/>
        </w:rPr>
      </w:pPr>
      <w:r>
        <w:rPr>
          <w:rFonts w:hint="eastAsia" w:eastAsiaTheme="minorEastAsia"/>
          <w:color w:val="auto"/>
          <w:highlight w:val="none"/>
        </w:rPr>
        <w:t>本公司对商誉不摊销，无论是否存在减值迹象，商誉至少在每年年度终了进行减值测试。</w:t>
      </w:r>
    </w:p>
    <w:p>
      <w:pPr>
        <w:pStyle w:val="38"/>
        <w:rPr>
          <w:rFonts w:eastAsiaTheme="minorEastAsia"/>
          <w:color w:val="auto"/>
          <w:highlight w:val="none"/>
        </w:rPr>
      </w:pPr>
      <w:r>
        <w:rPr>
          <w:color w:val="auto"/>
          <w:highlight w:val="none"/>
        </w:rPr>
        <w:t>本公司进行商誉减值测试，对于因企业合并形成的商誉的账面价值，自购买日起按照合理的方法分摊至相关的资产组；难以分摊至相关的资产组的，将其分摊至相关的资产组组合。</w:t>
      </w:r>
      <w:r>
        <w:rPr>
          <w:rFonts w:hint="eastAsia"/>
          <w:color w:val="auto"/>
          <w:highlight w:val="none"/>
        </w:rPr>
        <w:t>相关的资产组或者资产组组合，是能够从企业合并的协同效应中受益的资产组或者资产组组合。</w:t>
      </w:r>
    </w:p>
    <w:p>
      <w:pPr>
        <w:pStyle w:val="38"/>
        <w:rPr>
          <w:rFonts w:eastAsiaTheme="minorEastAsia"/>
          <w:color w:val="auto"/>
          <w:highlight w:val="none"/>
        </w:rPr>
      </w:pPr>
      <w:r>
        <w:rPr>
          <w:rFonts w:eastAsiaTheme="minorEastAsia"/>
          <w:color w:val="auto"/>
          <w:highlight w:val="none"/>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w:t>
      </w:r>
      <w:r>
        <w:rPr>
          <w:rFonts w:hint="eastAsia" w:eastAsiaTheme="minorEastAsia"/>
          <w:color w:val="auto"/>
          <w:highlight w:val="none"/>
        </w:rPr>
        <w:t>然后</w:t>
      </w:r>
      <w:r>
        <w:rPr>
          <w:rFonts w:eastAsiaTheme="minorEastAsia"/>
          <w:color w:val="auto"/>
          <w:highlight w:val="none"/>
        </w:rPr>
        <w:t>对包含商誉的资产组或者资产组组合进行减值测试，比较</w:t>
      </w:r>
      <w:r>
        <w:rPr>
          <w:rFonts w:hint="eastAsia" w:eastAsiaTheme="minorEastAsia"/>
          <w:color w:val="auto"/>
          <w:highlight w:val="none"/>
        </w:rPr>
        <w:t>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商誉</w:t>
      </w:r>
      <w:r>
        <w:rPr>
          <w:rFonts w:eastAsiaTheme="minorEastAsia"/>
          <w:color w:val="auto"/>
          <w:highlight w:val="none"/>
        </w:rPr>
        <w:t>减值损失一经确认，在以后会计期间不予转回。</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长期待摊费用</w:t>
      </w:r>
    </w:p>
    <w:p>
      <w:pPr>
        <w:pStyle w:val="38"/>
        <w:rPr>
          <w:color w:val="auto"/>
          <w:highlight w:val="none"/>
        </w:rPr>
      </w:pPr>
      <w:r>
        <w:rPr>
          <w:rFonts w:hint="eastAsia"/>
          <w:color w:val="auto"/>
          <w:highlight w:val="none"/>
        </w:rPr>
        <w:t>本公司长期待摊费用包括：租入固定资产的改良支出、固定资产修理支出以及摊销期限在1年以上的其他待摊费用。</w:t>
      </w:r>
    </w:p>
    <w:p>
      <w:pPr>
        <w:pStyle w:val="38"/>
        <w:rPr>
          <w:color w:val="auto"/>
          <w:highlight w:val="none"/>
        </w:rPr>
      </w:pPr>
      <w:r>
        <w:rPr>
          <w:rFonts w:hint="eastAsia"/>
          <w:color w:val="auto"/>
          <w:highlight w:val="none"/>
        </w:rPr>
        <w:t>本公司发生的长期待摊费用按实际成本计价，并按预计受益期限平均摊销，对不能使以后会计期间受益的长期待摊费用项目，在确定时将该项目的摊余价值全部计入当期损益。</w:t>
      </w:r>
    </w:p>
    <w:p>
      <w:pPr>
        <w:pStyle w:val="38"/>
        <w:rPr>
          <w:color w:val="auto"/>
          <w:highlight w:val="none"/>
        </w:rPr>
      </w:pPr>
    </w:p>
    <w:p>
      <w:pPr>
        <w:pStyle w:val="37"/>
        <w:rPr>
          <w:color w:val="auto"/>
          <w:highlight w:val="none"/>
        </w:rPr>
      </w:pPr>
      <w:r>
        <w:rPr>
          <w:color w:val="auto"/>
          <w:highlight w:val="none"/>
        </w:rPr>
        <w:t>合同负债</w:t>
      </w:r>
    </w:p>
    <w:p>
      <w:pPr>
        <w:pStyle w:val="38"/>
        <w:rPr>
          <w:color w:val="auto"/>
          <w:highlight w:val="none"/>
        </w:rPr>
      </w:pPr>
      <w:r>
        <w:rPr>
          <w:rFonts w:hint="eastAsia"/>
          <w:color w:val="auto"/>
          <w:highlight w:val="none"/>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p>
    <w:p>
      <w:pPr>
        <w:pStyle w:val="38"/>
        <w:rPr>
          <w:rFonts w:hint="eastAsia"/>
          <w:color w:val="auto"/>
          <w:highlight w:val="none"/>
        </w:rPr>
      </w:pPr>
    </w:p>
    <w:p>
      <w:pPr>
        <w:pStyle w:val="38"/>
        <w:rPr>
          <w:rFonts w:hint="eastAsia"/>
          <w:color w:val="auto"/>
          <w:highlight w:val="none"/>
        </w:rPr>
      </w:pPr>
    </w:p>
    <w:p>
      <w:pPr>
        <w:pStyle w:val="38"/>
        <w:rPr>
          <w:rFonts w:hint="eastAsia"/>
          <w:color w:val="auto"/>
          <w:highlight w:val="none"/>
        </w:rPr>
      </w:pPr>
    </w:p>
    <w:p>
      <w:pPr>
        <w:pStyle w:val="38"/>
        <w:rPr>
          <w:color w:val="auto"/>
          <w:highlight w:val="none"/>
        </w:rPr>
      </w:pPr>
    </w:p>
    <w:p>
      <w:pPr>
        <w:pStyle w:val="37"/>
        <w:rPr>
          <w:rFonts w:eastAsiaTheme="minorEastAsia"/>
          <w:color w:val="auto"/>
          <w:highlight w:val="none"/>
        </w:rPr>
      </w:pPr>
      <w:r>
        <w:rPr>
          <w:rFonts w:eastAsiaTheme="minorEastAsia"/>
          <w:color w:val="auto"/>
          <w:highlight w:val="none"/>
        </w:rPr>
        <w:t>职工薪酬</w:t>
      </w:r>
    </w:p>
    <w:p>
      <w:pPr>
        <w:pStyle w:val="44"/>
        <w:rPr>
          <w:color w:val="auto"/>
          <w:highlight w:val="none"/>
        </w:rPr>
      </w:pPr>
      <w:r>
        <w:rPr>
          <w:rFonts w:hint="eastAsia"/>
          <w:color w:val="auto"/>
          <w:highlight w:val="none"/>
        </w:rPr>
        <w:t>短期薪酬</w:t>
      </w:r>
    </w:p>
    <w:p>
      <w:pPr>
        <w:pStyle w:val="35"/>
        <w:rPr>
          <w:color w:val="auto"/>
          <w:highlight w:val="none"/>
        </w:rPr>
      </w:pPr>
      <w:r>
        <w:rPr>
          <w:rFonts w:hint="eastAsia"/>
          <w:color w:val="auto"/>
          <w:highlight w:val="none"/>
        </w:rPr>
        <w:t>本公司在职工为本公司提供服务的会计期间，将实际发生的短期薪酬确认为负债，并计入当期损益或相关资产成本。</w:t>
      </w:r>
    </w:p>
    <w:p>
      <w:pPr>
        <w:pStyle w:val="35"/>
        <w:rPr>
          <w:color w:val="auto"/>
          <w:highlight w:val="none"/>
        </w:rPr>
      </w:pPr>
      <w:r>
        <w:rPr>
          <w:rFonts w:hint="eastAsia"/>
          <w:color w:val="auto"/>
          <w:highlight w:val="none"/>
        </w:rPr>
        <w:t>本公司为职工缴纳的医疗保险费、工伤保险费、生育保险费等社会保险费和住房公积金，以及按规定提取的工会经费和职工教育经费，在职工为本公司提供服务的会计期间，根据规定的计提基础和计提比例计算确定相应的职工薪酬金额。</w:t>
      </w:r>
    </w:p>
    <w:p>
      <w:pPr>
        <w:pStyle w:val="35"/>
        <w:rPr>
          <w:color w:val="auto"/>
          <w:highlight w:val="none"/>
        </w:rPr>
      </w:pPr>
      <w:r>
        <w:rPr>
          <w:rFonts w:hint="eastAsia"/>
          <w:color w:val="auto"/>
          <w:highlight w:val="none"/>
        </w:rPr>
        <w:t>本公司发生的职工福利费，在实际发生时根据实际发生额计入当期损益或相关资产成本，其中，非货币性福利按照公允价值计量。</w:t>
      </w:r>
    </w:p>
    <w:p>
      <w:pPr>
        <w:pStyle w:val="35"/>
        <w:rPr>
          <w:rFonts w:eastAsiaTheme="minorEastAsia"/>
          <w:color w:val="auto"/>
          <w:highlight w:val="none"/>
        </w:rPr>
      </w:pPr>
    </w:p>
    <w:p>
      <w:pPr>
        <w:pStyle w:val="44"/>
        <w:rPr>
          <w:color w:val="auto"/>
          <w:highlight w:val="none"/>
        </w:rPr>
      </w:pPr>
      <w:r>
        <w:rPr>
          <w:rFonts w:hint="eastAsia"/>
          <w:color w:val="auto"/>
          <w:highlight w:val="none"/>
        </w:rPr>
        <w:t>辞退福利</w:t>
      </w:r>
    </w:p>
    <w:p>
      <w:pPr>
        <w:pStyle w:val="35"/>
        <w:rPr>
          <w:rFonts w:eastAsiaTheme="minorEastAsia"/>
          <w:color w:val="auto"/>
          <w:highlight w:val="none"/>
        </w:rPr>
      </w:pPr>
      <w:r>
        <w:rPr>
          <w:rFonts w:hint="eastAsia"/>
          <w:color w:val="auto"/>
          <w:kern w:val="0"/>
          <w:highlight w:val="none"/>
        </w:rPr>
        <w:t>本公司向职工提供辞退福利的，在下列两者孰早日确认辞退福利产生的职工薪酬负债，并计入当期损益：</w:t>
      </w:r>
      <w:r>
        <w:rPr>
          <w:rFonts w:hint="eastAsia" w:eastAsiaTheme="minorEastAsia"/>
          <w:color w:val="auto"/>
          <w:highlight w:val="none"/>
        </w:rPr>
        <w:t>公司不能单方面撤回因解除劳动关系计划或裁减建议所提供的辞退福利时；公司确认与涉及支付辞退福利的重组相关的成本或费用时。</w:t>
      </w:r>
    </w:p>
    <w:p>
      <w:pPr>
        <w:pStyle w:val="35"/>
        <w:rPr>
          <w:rFonts w:eastAsiaTheme="minorEastAsia"/>
          <w:color w:val="auto"/>
          <w:highlight w:val="none"/>
        </w:rPr>
      </w:pPr>
    </w:p>
    <w:p>
      <w:pPr>
        <w:pStyle w:val="44"/>
        <w:rPr>
          <w:color w:val="auto"/>
          <w:highlight w:val="none"/>
        </w:rPr>
      </w:pPr>
      <w:r>
        <w:rPr>
          <w:rFonts w:hint="eastAsia"/>
          <w:color w:val="auto"/>
          <w:highlight w:val="none"/>
        </w:rPr>
        <w:t>离职后福利</w:t>
      </w:r>
    </w:p>
    <w:p>
      <w:pPr>
        <w:pStyle w:val="38"/>
        <w:rPr>
          <w:color w:val="auto"/>
          <w:highlight w:val="none"/>
        </w:rPr>
      </w:pPr>
      <w:r>
        <w:rPr>
          <w:rFonts w:hint="eastAsia"/>
          <w:color w:val="auto"/>
          <w:highlight w:val="none"/>
        </w:rPr>
        <w:t>（1）设定提存计划</w:t>
      </w:r>
    </w:p>
    <w:p>
      <w:pPr>
        <w:pStyle w:val="35"/>
        <w:rPr>
          <w:rFonts w:eastAsiaTheme="minorEastAsia"/>
          <w:color w:val="auto"/>
          <w:highlight w:val="none"/>
        </w:rPr>
      </w:pPr>
      <w:r>
        <w:rPr>
          <w:rFonts w:hint="eastAsia" w:eastAsiaTheme="minorEastAsia"/>
          <w:color w:val="auto"/>
          <w:highlight w:val="none"/>
        </w:rPr>
        <w:t>本公司按当地政府的相关规定为职工缴纳基本养老保险和失业保险，在职工为本公司提供服务的会计期间，按以当地规定的缴纳基数和比例计算应缴纳金额，确认为负债，并计入当期损益或相关资产成本。</w:t>
      </w:r>
    </w:p>
    <w:p>
      <w:pPr>
        <w:pStyle w:val="35"/>
        <w:rPr>
          <w:rFonts w:eastAsiaTheme="minorEastAsia"/>
          <w:color w:val="auto"/>
          <w:highlight w:val="none"/>
        </w:rPr>
      </w:pPr>
      <w:r>
        <w:rPr>
          <w:rFonts w:hint="eastAsia"/>
          <w:color w:val="auto"/>
          <w:kern w:val="0"/>
          <w:highlight w:val="none"/>
        </w:rPr>
        <w:t>此外，本公司还参与了由国家相关部门批准的企业年金计划</w:t>
      </w:r>
      <w:r>
        <w:rPr>
          <w:color w:val="auto"/>
          <w:kern w:val="0"/>
          <w:highlight w:val="none"/>
        </w:rPr>
        <w:t>/</w:t>
      </w:r>
      <w:r>
        <w:rPr>
          <w:rFonts w:hint="eastAsia"/>
          <w:color w:val="auto"/>
          <w:kern w:val="0"/>
          <w:highlight w:val="none"/>
        </w:rPr>
        <w:t>补充养老保险基金。本公司按职工工资总额的一定比例向年金计划</w:t>
      </w:r>
      <w:r>
        <w:rPr>
          <w:color w:val="auto"/>
          <w:kern w:val="0"/>
          <w:highlight w:val="none"/>
        </w:rPr>
        <w:t>/</w:t>
      </w:r>
      <w:r>
        <w:rPr>
          <w:rFonts w:hint="eastAsia"/>
          <w:color w:val="auto"/>
          <w:kern w:val="0"/>
          <w:highlight w:val="none"/>
        </w:rPr>
        <w:t>当地社会保险机构缴费，相应支出计入当期损益或相关资产成本。</w:t>
      </w:r>
    </w:p>
    <w:p>
      <w:pPr>
        <w:pStyle w:val="35"/>
        <w:rPr>
          <w:rFonts w:eastAsiaTheme="minorEastAsia"/>
          <w:b/>
          <w:color w:val="auto"/>
          <w:highlight w:val="none"/>
        </w:rPr>
      </w:pPr>
    </w:p>
    <w:p>
      <w:pPr>
        <w:pStyle w:val="38"/>
        <w:rPr>
          <w:color w:val="auto"/>
          <w:highlight w:val="none"/>
        </w:rPr>
      </w:pPr>
      <w:r>
        <w:rPr>
          <w:rFonts w:hint="eastAsia"/>
          <w:color w:val="auto"/>
          <w:highlight w:val="none"/>
        </w:rPr>
        <w:t>（2）设定受益计划</w:t>
      </w:r>
    </w:p>
    <w:p>
      <w:pPr>
        <w:pStyle w:val="35"/>
        <w:rPr>
          <w:rFonts w:eastAsiaTheme="minorEastAsia"/>
          <w:color w:val="auto"/>
          <w:highlight w:val="none"/>
        </w:rPr>
      </w:pPr>
      <w:r>
        <w:rPr>
          <w:rFonts w:hint="eastAsia" w:eastAsiaTheme="minorEastAsia"/>
          <w:color w:val="auto"/>
          <w:highlight w:val="none"/>
        </w:rPr>
        <w:t>本公司根据预期累计福利单位法确定的公式将设定受益计划产生的福利义务归属于职工提供服务的期间，并计入当期损益或相关资产成本。</w:t>
      </w:r>
    </w:p>
    <w:p>
      <w:pPr>
        <w:pStyle w:val="35"/>
        <w:rPr>
          <w:rFonts w:eastAsiaTheme="minorEastAsia"/>
          <w:color w:val="auto"/>
          <w:highlight w:val="none"/>
        </w:rPr>
      </w:pPr>
      <w:r>
        <w:rPr>
          <w:rFonts w:hint="eastAsia" w:eastAsiaTheme="minorEastAsia"/>
          <w:color w:val="auto"/>
          <w:highlight w:val="none"/>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pPr>
        <w:pStyle w:val="35"/>
        <w:rPr>
          <w:rFonts w:eastAsiaTheme="minorEastAsia"/>
          <w:color w:val="auto"/>
          <w:highlight w:val="none"/>
        </w:rPr>
      </w:pPr>
      <w:r>
        <w:rPr>
          <w:rFonts w:hint="eastAsia" w:eastAsiaTheme="minorEastAsia"/>
          <w:color w:val="auto"/>
          <w:highlight w:val="none"/>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pPr>
        <w:pStyle w:val="35"/>
        <w:rPr>
          <w:rFonts w:eastAsiaTheme="minorEastAsia"/>
          <w:color w:val="auto"/>
          <w:highlight w:val="none"/>
        </w:rPr>
      </w:pPr>
      <w:r>
        <w:rPr>
          <w:rFonts w:hint="eastAsia" w:eastAsiaTheme="minorEastAsia"/>
          <w:color w:val="auto"/>
          <w:highlight w:val="none"/>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pPr>
        <w:pStyle w:val="35"/>
        <w:rPr>
          <w:rFonts w:eastAsiaTheme="minorEastAsia"/>
          <w:color w:val="auto"/>
          <w:highlight w:val="none"/>
        </w:rPr>
      </w:pPr>
      <w:r>
        <w:rPr>
          <w:rFonts w:hint="eastAsia" w:eastAsiaTheme="minorEastAsia"/>
          <w:color w:val="auto"/>
          <w:highlight w:val="none"/>
        </w:rPr>
        <w:t>在设定受益计划结算时，按在结算日确定的设定受益计划义务现值和结算价格两者的差额，确认结算利得或损失。</w:t>
      </w:r>
    </w:p>
    <w:p>
      <w:pPr>
        <w:pStyle w:val="35"/>
        <w:rPr>
          <w:rFonts w:eastAsiaTheme="minorEastAsia"/>
          <w:color w:val="auto"/>
          <w:highlight w:val="none"/>
        </w:rPr>
      </w:pPr>
    </w:p>
    <w:p>
      <w:pPr>
        <w:pStyle w:val="37"/>
        <w:rPr>
          <w:color w:val="auto"/>
          <w:highlight w:val="none"/>
        </w:rPr>
      </w:pPr>
      <w:r>
        <w:rPr>
          <w:rFonts w:hint="eastAsia"/>
          <w:color w:val="auto"/>
          <w:highlight w:val="none"/>
        </w:rPr>
        <w:t>预计负债</w:t>
      </w:r>
    </w:p>
    <w:p>
      <w:pPr>
        <w:pStyle w:val="38"/>
        <w:rPr>
          <w:color w:val="auto"/>
          <w:highlight w:val="none"/>
        </w:rPr>
      </w:pPr>
      <w:r>
        <w:rPr>
          <w:rFonts w:hint="eastAsia"/>
          <w:color w:val="auto"/>
          <w:highlight w:val="none"/>
        </w:rPr>
        <w:t>与或有事项相关的义务同时</w:t>
      </w:r>
      <w:r>
        <w:rPr>
          <w:color w:val="auto"/>
          <w:highlight w:val="none"/>
        </w:rPr>
        <w:t>满足下列</w:t>
      </w:r>
      <w:r>
        <w:rPr>
          <w:rFonts w:hint="eastAsia"/>
          <w:color w:val="auto"/>
          <w:highlight w:val="none"/>
        </w:rPr>
        <w:t>条件时，本公司将其确认为预计负债：</w:t>
      </w:r>
    </w:p>
    <w:p>
      <w:pPr>
        <w:pStyle w:val="38"/>
        <w:rPr>
          <w:color w:val="auto"/>
          <w:highlight w:val="none"/>
        </w:rPr>
      </w:pPr>
      <w:r>
        <w:rPr>
          <w:rFonts w:hint="eastAsia"/>
          <w:color w:val="auto"/>
          <w:highlight w:val="none"/>
        </w:rPr>
        <w:t>（1）该义务是本公司承担的现时义务；</w:t>
      </w:r>
    </w:p>
    <w:p>
      <w:pPr>
        <w:pStyle w:val="38"/>
        <w:rPr>
          <w:color w:val="auto"/>
          <w:highlight w:val="none"/>
        </w:rPr>
      </w:pPr>
      <w:r>
        <w:rPr>
          <w:rFonts w:hint="eastAsia"/>
          <w:color w:val="auto"/>
          <w:highlight w:val="none"/>
        </w:rPr>
        <w:t>（2）履行该义务很可能导致经济利益流出本公司；</w:t>
      </w:r>
    </w:p>
    <w:p>
      <w:pPr>
        <w:pStyle w:val="38"/>
        <w:rPr>
          <w:color w:val="auto"/>
          <w:highlight w:val="none"/>
        </w:rPr>
      </w:pPr>
      <w:r>
        <w:rPr>
          <w:rFonts w:hint="eastAsia"/>
          <w:color w:val="auto"/>
          <w:highlight w:val="none"/>
        </w:rPr>
        <w:t>（3）该义务的金额能够可靠地计量。</w:t>
      </w:r>
    </w:p>
    <w:p>
      <w:pPr>
        <w:pStyle w:val="38"/>
        <w:rPr>
          <w:color w:val="auto"/>
          <w:highlight w:val="none"/>
        </w:rPr>
      </w:pPr>
    </w:p>
    <w:p>
      <w:pPr>
        <w:pStyle w:val="38"/>
        <w:rPr>
          <w:color w:val="auto"/>
          <w:highlight w:val="none"/>
        </w:rPr>
      </w:pPr>
      <w:r>
        <w:rPr>
          <w:rFonts w:hint="eastAsia"/>
          <w:color w:val="auto"/>
          <w:highlight w:val="none"/>
        </w:rPr>
        <w:t>预计负债按履行相关现时义务所需的支出的最佳估计数进行初始计量。</w:t>
      </w:r>
    </w:p>
    <w:p>
      <w:pPr>
        <w:pStyle w:val="38"/>
        <w:rPr>
          <w:color w:val="auto"/>
          <w:highlight w:val="none"/>
        </w:rPr>
      </w:pPr>
      <w:r>
        <w:rPr>
          <w:rFonts w:hint="eastAsia"/>
          <w:color w:val="auto"/>
          <w:highlight w:val="none"/>
        </w:rPr>
        <w:t>在确定最佳估计数时，综合考虑与或有事项有关的风险、不确定性和货币时间价值等因素。对于货币时间价值影响重大的，通过对相关未来现金流出进行折现后确定最佳估计数。</w:t>
      </w:r>
    </w:p>
    <w:p>
      <w:pPr>
        <w:pStyle w:val="38"/>
        <w:rPr>
          <w:color w:val="auto"/>
          <w:highlight w:val="none"/>
        </w:rPr>
      </w:pPr>
      <w:r>
        <w:rPr>
          <w:rFonts w:hint="eastAsia"/>
          <w:color w:val="auto"/>
          <w:highlight w:val="none"/>
        </w:rPr>
        <w:t>所需支出存在一个连续范围，且该范围内各种结果发生的可能性相同的，最佳估计数按照该范围内的中间值确定；在其他情况下，最佳估计数分别下列情况处理：</w:t>
      </w:r>
    </w:p>
    <w:p>
      <w:pPr>
        <w:pStyle w:val="38"/>
        <w:numPr>
          <w:ilvl w:val="0"/>
          <w:numId w:val="16"/>
        </w:numPr>
        <w:rPr>
          <w:color w:val="auto"/>
          <w:highlight w:val="none"/>
        </w:rPr>
      </w:pPr>
      <w:r>
        <w:rPr>
          <w:rFonts w:hint="eastAsia"/>
          <w:color w:val="auto"/>
          <w:highlight w:val="none"/>
        </w:rPr>
        <w:t>或有事项涉及单个项目的，按照最可能发生金额确定；</w:t>
      </w:r>
    </w:p>
    <w:p>
      <w:pPr>
        <w:pStyle w:val="38"/>
        <w:numPr>
          <w:ilvl w:val="0"/>
          <w:numId w:val="16"/>
        </w:numPr>
        <w:rPr>
          <w:color w:val="auto"/>
          <w:highlight w:val="none"/>
        </w:rPr>
      </w:pPr>
      <w:r>
        <w:rPr>
          <w:rFonts w:hint="eastAsia"/>
          <w:color w:val="auto"/>
          <w:highlight w:val="none"/>
        </w:rPr>
        <w:t>或有事项涉及多个项目的，按照各种可能结果及相关概率计算确定。</w:t>
      </w:r>
    </w:p>
    <w:p>
      <w:pPr>
        <w:pStyle w:val="38"/>
        <w:rPr>
          <w:color w:val="auto"/>
          <w:highlight w:val="none"/>
        </w:rPr>
      </w:pPr>
      <w:r>
        <w:rPr>
          <w:rFonts w:hint="eastAsia"/>
          <w:color w:val="auto"/>
          <w:highlight w:val="none"/>
        </w:rPr>
        <w:t>清偿预计负债所需支出全部或部分预期由第三方补偿的，补偿金额在基本确定能够收到时，作为资产单独确认，确认的补偿金额不超过预计负债的账面价值。</w:t>
      </w:r>
    </w:p>
    <w:p>
      <w:pPr>
        <w:pStyle w:val="38"/>
        <w:rPr>
          <w:color w:val="auto"/>
          <w:highlight w:val="none"/>
        </w:rPr>
      </w:pPr>
      <w:r>
        <w:rPr>
          <w:rFonts w:hint="eastAsia"/>
          <w:color w:val="auto"/>
          <w:highlight w:val="none"/>
        </w:rPr>
        <w:t>本公司在资产负债表日对预计负债的账面价值进行复核，有确凿证据表明该账面价值不能反映当前最佳估计数的，按照当前最佳估计数对该账面价值进行调整。</w:t>
      </w:r>
    </w:p>
    <w:p>
      <w:pPr>
        <w:pStyle w:val="35"/>
        <w:rPr>
          <w:color w:val="auto"/>
          <w:highlight w:val="none"/>
        </w:rPr>
      </w:pPr>
    </w:p>
    <w:p>
      <w:pPr>
        <w:pStyle w:val="37"/>
        <w:rPr>
          <w:color w:val="auto"/>
          <w:highlight w:val="none"/>
        </w:rPr>
      </w:pPr>
      <w:r>
        <w:rPr>
          <w:rFonts w:hint="eastAsia"/>
          <w:color w:val="auto"/>
          <w:highlight w:val="none"/>
        </w:rPr>
        <w:t>优先股、永续债等其他金融工具</w:t>
      </w:r>
    </w:p>
    <w:p>
      <w:pPr>
        <w:pStyle w:val="38"/>
        <w:rPr>
          <w:color w:val="auto"/>
          <w:highlight w:val="none"/>
        </w:rPr>
      </w:pPr>
      <w:r>
        <w:rPr>
          <w:rFonts w:hint="eastAsia"/>
          <w:color w:val="auto"/>
          <w:highlight w:val="none"/>
        </w:rPr>
        <w:t>本公司根据所发行优先股/永续债的合同条款及其所反映的经济实质</w:t>
      </w:r>
      <w:r>
        <w:rPr>
          <w:rFonts w:hint="eastAsia"/>
          <w:color w:val="auto"/>
          <w:kern w:val="0"/>
          <w:highlight w:val="none"/>
        </w:rPr>
        <w:t>而非仅以法律形式</w:t>
      </w:r>
      <w:r>
        <w:rPr>
          <w:rFonts w:hint="eastAsia"/>
          <w:color w:val="auto"/>
          <w:highlight w:val="none"/>
        </w:rPr>
        <w:t>，在初始确认时将该金融工具或其组成部分分类为金融资产、金融负债或权益工具。</w:t>
      </w:r>
    </w:p>
    <w:p>
      <w:pPr>
        <w:pStyle w:val="38"/>
        <w:rPr>
          <w:color w:val="auto"/>
          <w:highlight w:val="none"/>
        </w:rPr>
      </w:pPr>
      <w:r>
        <w:rPr>
          <w:rFonts w:hint="eastAsia"/>
          <w:color w:val="auto"/>
          <w:highlight w:val="none"/>
        </w:rPr>
        <w:t>本公司发行的永续债/优先股等金融工具满足以下条件之一，在初始确认时将该金融工具整体或其组成部分分类为金融负债：</w:t>
      </w:r>
    </w:p>
    <w:p>
      <w:pPr>
        <w:pStyle w:val="38"/>
        <w:rPr>
          <w:color w:val="auto"/>
          <w:highlight w:val="none"/>
        </w:rPr>
      </w:pPr>
      <w:r>
        <w:rPr>
          <w:rFonts w:hint="eastAsia"/>
          <w:color w:val="auto"/>
          <w:highlight w:val="none"/>
        </w:rPr>
        <w:t>（1）存在本公司不能无条件地避免以交付现金或其他金融资产履行的合同义务；</w:t>
      </w:r>
    </w:p>
    <w:p>
      <w:pPr>
        <w:pStyle w:val="38"/>
        <w:rPr>
          <w:color w:val="auto"/>
          <w:highlight w:val="none"/>
        </w:rPr>
      </w:pPr>
      <w:r>
        <w:rPr>
          <w:rFonts w:hint="eastAsia"/>
          <w:color w:val="auto"/>
          <w:highlight w:val="none"/>
        </w:rPr>
        <w:t>（2）包含交付可变数量的自身权益工具进行结算的合同义务；</w:t>
      </w:r>
    </w:p>
    <w:p>
      <w:pPr>
        <w:pStyle w:val="38"/>
        <w:rPr>
          <w:color w:val="auto"/>
          <w:highlight w:val="none"/>
        </w:rPr>
      </w:pPr>
      <w:r>
        <w:rPr>
          <w:rFonts w:hint="eastAsia"/>
          <w:color w:val="auto"/>
          <w:highlight w:val="none"/>
        </w:rPr>
        <w:t>（3）包含以自身权益进行结算的衍生工具（例如转股权等），且该衍生工具不以固定数量的自身权益工具交换固定金额的现金或其他金融资产进行结算；</w:t>
      </w:r>
    </w:p>
    <w:p>
      <w:pPr>
        <w:pStyle w:val="38"/>
        <w:rPr>
          <w:color w:val="auto"/>
          <w:highlight w:val="none"/>
        </w:rPr>
      </w:pPr>
      <w:r>
        <w:rPr>
          <w:rFonts w:hint="eastAsia"/>
          <w:color w:val="auto"/>
          <w:highlight w:val="none"/>
        </w:rPr>
        <w:t>（4）存在间接地形成合同义务的合同条款；</w:t>
      </w:r>
    </w:p>
    <w:p>
      <w:pPr>
        <w:pStyle w:val="38"/>
        <w:rPr>
          <w:color w:val="auto"/>
          <w:highlight w:val="none"/>
        </w:rPr>
      </w:pPr>
      <w:r>
        <w:rPr>
          <w:rFonts w:hint="eastAsia"/>
          <w:color w:val="auto"/>
          <w:highlight w:val="none"/>
        </w:rPr>
        <w:t>（5）发行方清算时永续债与发行方发行的普通债券和其他债务处于相同清偿顺序的。</w:t>
      </w:r>
    </w:p>
    <w:p>
      <w:pPr>
        <w:pStyle w:val="38"/>
        <w:rPr>
          <w:color w:val="auto"/>
          <w:highlight w:val="none"/>
        </w:rPr>
      </w:pPr>
      <w:r>
        <w:rPr>
          <w:rFonts w:hint="eastAsia"/>
          <w:color w:val="auto"/>
          <w:highlight w:val="none"/>
        </w:rPr>
        <w:t>不满足上述任何一项条件的永续债/优先股等金融工具，在初始确认时将该金融工具整体或其组成部分分类为权益工具。</w:t>
      </w:r>
    </w:p>
    <w:p>
      <w:pPr>
        <w:pStyle w:val="38"/>
        <w:rPr>
          <w:color w:val="auto"/>
          <w:highlight w:val="none"/>
        </w:rPr>
      </w:pPr>
      <w:r>
        <w:rPr>
          <w:rFonts w:hint="eastAsia"/>
          <w:color w:val="auto"/>
          <w:highlight w:val="none"/>
        </w:rPr>
        <w:t>本公司对于其发行的同时包含权益成份和负债成份的优先股或永续债，按照与含权益成份的可转换工具相同的会计政策进行处理。本公司对于其发行的不包含权益成份的优先股或永续债，按照与不含权益成份的可转换工具相同的会计政策进行处理。</w:t>
      </w:r>
    </w:p>
    <w:p>
      <w:pPr>
        <w:pStyle w:val="38"/>
        <w:rPr>
          <w:color w:val="auto"/>
          <w:highlight w:val="none"/>
        </w:rPr>
      </w:pPr>
      <w:r>
        <w:rPr>
          <w:rFonts w:hint="eastAsia"/>
          <w:color w:val="auto"/>
          <w:highlight w:val="none"/>
        </w:rPr>
        <w:t>本公司对于其发行的应归类为权益工具的优先股，按照实际收到金额，计入权益工具。存续期间分配股利和利息的，应作利润分配处理。依照合同条款约定赎回优先股的，按赎回价格冲减权益。</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收入</w:t>
      </w:r>
    </w:p>
    <w:p>
      <w:pPr>
        <w:pStyle w:val="44"/>
        <w:rPr>
          <w:color w:val="auto"/>
          <w:highlight w:val="none"/>
        </w:rPr>
      </w:pPr>
      <w:r>
        <w:rPr>
          <w:color w:val="auto"/>
          <w:highlight w:val="none"/>
        </w:rPr>
        <w:t>收入确认和计量所采用的会计政策</w:t>
      </w:r>
    </w:p>
    <w:p>
      <w:pPr>
        <w:pStyle w:val="35"/>
        <w:rPr>
          <w:color w:val="auto"/>
          <w:highlight w:val="none"/>
        </w:rPr>
      </w:pPr>
      <w:r>
        <w:rPr>
          <w:color w:val="auto"/>
          <w:highlight w:val="none"/>
        </w:rPr>
        <w:t>本公司在履行了合同中的履约义务，即在客户取得相关商品或服务控制权时确认收入。取得相关商品或服务控制权，是指能够主导该商品或服务的使用并从中获得几乎全部的经济利益。</w:t>
      </w:r>
    </w:p>
    <w:p>
      <w:pPr>
        <w:pStyle w:val="35"/>
        <w:rPr>
          <w:color w:val="auto"/>
          <w:highlight w:val="none"/>
        </w:rPr>
      </w:pPr>
      <w:r>
        <w:rPr>
          <w:rFonts w:hint="eastAsia"/>
          <w:color w:val="auto"/>
          <w:highlight w:val="none"/>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pPr>
        <w:pStyle w:val="35"/>
        <w:rPr>
          <w:color w:val="auto"/>
          <w:highlight w:val="none"/>
        </w:rPr>
      </w:pPr>
      <w:r>
        <w:rPr>
          <w:rFonts w:hint="eastAsia"/>
          <w:color w:val="auto"/>
          <w:highlight w:val="none"/>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pPr>
        <w:pStyle w:val="35"/>
        <w:rPr>
          <w:color w:val="auto"/>
          <w:highlight w:val="none"/>
        </w:rPr>
      </w:pPr>
      <w:r>
        <w:rPr>
          <w:rFonts w:hint="eastAsia"/>
          <w:color w:val="auto"/>
          <w:highlight w:val="none"/>
        </w:rPr>
        <w:t>满足下列条件之一的，属于在某一时段内履行履约义务，否则，属于在某一时点履行履约义务：</w:t>
      </w:r>
    </w:p>
    <w:p>
      <w:pPr>
        <w:pStyle w:val="35"/>
        <w:rPr>
          <w:color w:val="auto"/>
          <w:highlight w:val="none"/>
        </w:rPr>
      </w:pPr>
      <w:r>
        <w:rPr>
          <w:rFonts w:hint="eastAsia"/>
          <w:color w:val="auto"/>
          <w:highlight w:val="none"/>
        </w:rPr>
        <w:t>•客户在本公司履约的同时即取得并消耗本公司履约所带来的经济利益。</w:t>
      </w:r>
    </w:p>
    <w:p>
      <w:pPr>
        <w:pStyle w:val="35"/>
        <w:rPr>
          <w:color w:val="auto"/>
          <w:highlight w:val="none"/>
        </w:rPr>
      </w:pPr>
      <w:r>
        <w:rPr>
          <w:rFonts w:hint="eastAsia"/>
          <w:color w:val="auto"/>
          <w:highlight w:val="none"/>
        </w:rPr>
        <w:t>•客户能够控制本公司履约过程中在建的商品。</w:t>
      </w:r>
    </w:p>
    <w:p>
      <w:pPr>
        <w:pStyle w:val="35"/>
        <w:rPr>
          <w:color w:val="auto"/>
          <w:highlight w:val="none"/>
        </w:rPr>
      </w:pPr>
      <w:r>
        <w:rPr>
          <w:rFonts w:hint="eastAsia"/>
          <w:color w:val="auto"/>
          <w:highlight w:val="none"/>
        </w:rPr>
        <w:t>•本公司履约过程中所产出的商品具有不可替代用途，且本公司在整个合同期内有权就累计至今已完成的履约部分收取款项。</w:t>
      </w:r>
    </w:p>
    <w:p>
      <w:pPr>
        <w:pStyle w:val="35"/>
        <w:rPr>
          <w:color w:val="auto"/>
          <w:highlight w:val="none"/>
        </w:rPr>
      </w:pPr>
      <w:r>
        <w:rPr>
          <w:rFonts w:hint="eastAsia"/>
          <w:color w:val="auto"/>
          <w:highlight w:val="none"/>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pPr>
        <w:pStyle w:val="35"/>
        <w:rPr>
          <w:color w:val="auto"/>
          <w:highlight w:val="none"/>
        </w:rPr>
      </w:pPr>
      <w:r>
        <w:rPr>
          <w:rFonts w:hint="eastAsia"/>
          <w:color w:val="auto"/>
          <w:highlight w:val="none"/>
        </w:rPr>
        <w:t>对于在某一时点履行的履约义务，本公司在客户取得相关商品或服务控制权时点确认收入。在判断客户是否已取得商品或服务控制权时，本公司考虑下列迹象：</w:t>
      </w:r>
    </w:p>
    <w:p>
      <w:pPr>
        <w:pStyle w:val="35"/>
        <w:rPr>
          <w:color w:val="auto"/>
          <w:highlight w:val="none"/>
        </w:rPr>
      </w:pPr>
      <w:r>
        <w:rPr>
          <w:rFonts w:hint="eastAsia"/>
          <w:color w:val="auto"/>
          <w:highlight w:val="none"/>
        </w:rPr>
        <w:t>•</w:t>
      </w:r>
      <w:r>
        <w:rPr>
          <w:color w:val="auto"/>
          <w:highlight w:val="none"/>
        </w:rPr>
        <w:tab/>
      </w:r>
      <w:r>
        <w:rPr>
          <w:rFonts w:hint="eastAsia"/>
          <w:color w:val="auto"/>
          <w:highlight w:val="none"/>
        </w:rPr>
        <w:t>本公司就该商品或服务享有现时收款权利，即客户就该商品或服务负有现时付款义务。</w:t>
      </w:r>
    </w:p>
    <w:p>
      <w:pPr>
        <w:pStyle w:val="35"/>
        <w:rPr>
          <w:color w:val="auto"/>
          <w:highlight w:val="none"/>
        </w:rPr>
      </w:pPr>
      <w:r>
        <w:rPr>
          <w:rFonts w:hint="eastAsia"/>
          <w:color w:val="auto"/>
          <w:highlight w:val="none"/>
        </w:rPr>
        <w:t>•</w:t>
      </w:r>
      <w:r>
        <w:rPr>
          <w:color w:val="auto"/>
          <w:highlight w:val="none"/>
        </w:rPr>
        <w:tab/>
      </w:r>
      <w:r>
        <w:rPr>
          <w:rFonts w:hint="eastAsia"/>
          <w:color w:val="auto"/>
          <w:highlight w:val="none"/>
        </w:rPr>
        <w:t>本公司已将该商品的法定所有权转移给客户，即客户已拥有该商品的法定所有权。</w:t>
      </w:r>
    </w:p>
    <w:p>
      <w:pPr>
        <w:pStyle w:val="35"/>
        <w:rPr>
          <w:color w:val="auto"/>
          <w:highlight w:val="none"/>
        </w:rPr>
      </w:pPr>
      <w:r>
        <w:rPr>
          <w:rFonts w:hint="eastAsia"/>
          <w:color w:val="auto"/>
          <w:highlight w:val="none"/>
        </w:rPr>
        <w:t>•</w:t>
      </w:r>
      <w:r>
        <w:rPr>
          <w:color w:val="auto"/>
          <w:highlight w:val="none"/>
        </w:rPr>
        <w:tab/>
      </w:r>
      <w:r>
        <w:rPr>
          <w:rFonts w:hint="eastAsia"/>
          <w:color w:val="auto"/>
          <w:highlight w:val="none"/>
        </w:rPr>
        <w:t>本公司已将该商品实物转移给客户，即客户已实物占有该商品。</w:t>
      </w:r>
    </w:p>
    <w:p>
      <w:pPr>
        <w:pStyle w:val="35"/>
        <w:rPr>
          <w:color w:val="auto"/>
          <w:highlight w:val="none"/>
        </w:rPr>
      </w:pPr>
      <w:r>
        <w:rPr>
          <w:rFonts w:hint="eastAsia"/>
          <w:color w:val="auto"/>
          <w:highlight w:val="none"/>
        </w:rPr>
        <w:t>•</w:t>
      </w:r>
      <w:r>
        <w:rPr>
          <w:color w:val="auto"/>
          <w:highlight w:val="none"/>
        </w:rPr>
        <w:tab/>
      </w:r>
      <w:r>
        <w:rPr>
          <w:rFonts w:hint="eastAsia"/>
          <w:color w:val="auto"/>
          <w:highlight w:val="none"/>
        </w:rPr>
        <w:t>本公司已将该商品所有权上的主要风险和报酬转移给客户，即客户已取得该商品所有权上的主要风险和报酬。</w:t>
      </w:r>
    </w:p>
    <w:p>
      <w:pPr>
        <w:pStyle w:val="35"/>
        <w:rPr>
          <w:color w:val="auto"/>
          <w:highlight w:val="none"/>
        </w:rPr>
      </w:pPr>
      <w:r>
        <w:rPr>
          <w:rFonts w:hint="eastAsia"/>
          <w:color w:val="auto"/>
          <w:highlight w:val="none"/>
        </w:rPr>
        <w:t>•</w:t>
      </w:r>
      <w:r>
        <w:rPr>
          <w:color w:val="auto"/>
          <w:highlight w:val="none"/>
        </w:rPr>
        <w:tab/>
      </w:r>
      <w:r>
        <w:rPr>
          <w:rFonts w:hint="eastAsia"/>
          <w:color w:val="auto"/>
          <w:highlight w:val="none"/>
        </w:rPr>
        <w:t>客户已接受该商品或服务等。</w:t>
      </w:r>
    </w:p>
    <w:p>
      <w:pPr>
        <w:pStyle w:val="35"/>
        <w:rPr>
          <w:rFonts w:eastAsiaTheme="minorEastAsia"/>
          <w:color w:val="auto"/>
          <w:highlight w:val="none"/>
        </w:rPr>
      </w:pPr>
    </w:p>
    <w:p>
      <w:pPr>
        <w:pStyle w:val="37"/>
        <w:rPr>
          <w:color w:val="auto"/>
          <w:highlight w:val="none"/>
        </w:rPr>
      </w:pPr>
      <w:r>
        <w:rPr>
          <w:color w:val="auto"/>
          <w:highlight w:val="none"/>
        </w:rPr>
        <w:t>合同成本</w:t>
      </w:r>
    </w:p>
    <w:p>
      <w:pPr>
        <w:pStyle w:val="38"/>
        <w:rPr>
          <w:color w:val="auto"/>
          <w:highlight w:val="none"/>
        </w:rPr>
      </w:pPr>
      <w:r>
        <w:rPr>
          <w:rFonts w:hint="eastAsia"/>
          <w:color w:val="auto"/>
          <w:highlight w:val="none"/>
        </w:rPr>
        <w:t>合同成本分为合同履约成本与合同取得成本。</w:t>
      </w:r>
    </w:p>
    <w:p>
      <w:pPr>
        <w:pStyle w:val="38"/>
        <w:rPr>
          <w:color w:val="auto"/>
          <w:highlight w:val="none"/>
        </w:rPr>
      </w:pPr>
      <w:r>
        <w:rPr>
          <w:color w:val="auto"/>
          <w:highlight w:val="none"/>
        </w:rPr>
        <w:t>本公司为履行合同而发生的成本，</w:t>
      </w:r>
      <w:r>
        <w:rPr>
          <w:rFonts w:hint="eastAsia"/>
          <w:color w:val="auto"/>
          <w:kern w:val="0"/>
          <w:highlight w:val="none"/>
        </w:rPr>
        <w:t>不属于其他企业会计准则规范范围的，</w:t>
      </w:r>
      <w:r>
        <w:rPr>
          <w:color w:val="auto"/>
          <w:highlight w:val="none"/>
        </w:rPr>
        <w:t>在同时满足下列条件时作为合同履约成本确认为一项资产：</w:t>
      </w:r>
    </w:p>
    <w:p>
      <w:pPr>
        <w:pStyle w:val="38"/>
        <w:rPr>
          <w:color w:val="auto"/>
          <w:highlight w:val="none"/>
        </w:rPr>
      </w:pPr>
      <w:r>
        <w:rPr>
          <w:color w:val="auto"/>
          <w:highlight w:val="none"/>
        </w:rPr>
        <w:t>1、该成本与一份当前或预期取得的合同直接相关</w:t>
      </w:r>
      <w:r>
        <w:rPr>
          <w:rFonts w:hint="eastAsia"/>
          <w:color w:val="auto"/>
          <w:highlight w:val="none"/>
        </w:rPr>
        <w:t>；</w:t>
      </w:r>
    </w:p>
    <w:p>
      <w:pPr>
        <w:pStyle w:val="38"/>
        <w:rPr>
          <w:color w:val="auto"/>
          <w:highlight w:val="none"/>
        </w:rPr>
      </w:pPr>
      <w:r>
        <w:rPr>
          <w:color w:val="auto"/>
          <w:highlight w:val="none"/>
        </w:rPr>
        <w:t>2、该成本增加了本公司未来用于履行履约义务的资源</w:t>
      </w:r>
      <w:r>
        <w:rPr>
          <w:rFonts w:hint="eastAsia"/>
          <w:color w:val="auto"/>
          <w:highlight w:val="none"/>
        </w:rPr>
        <w:t>；</w:t>
      </w:r>
    </w:p>
    <w:p>
      <w:pPr>
        <w:pStyle w:val="38"/>
        <w:rPr>
          <w:color w:val="auto"/>
          <w:highlight w:val="none"/>
        </w:rPr>
      </w:pPr>
      <w:r>
        <w:rPr>
          <w:color w:val="auto"/>
          <w:highlight w:val="none"/>
        </w:rPr>
        <w:t>3、该成本预期能够收回。</w:t>
      </w:r>
    </w:p>
    <w:p>
      <w:pPr>
        <w:pStyle w:val="38"/>
        <w:rPr>
          <w:color w:val="auto"/>
          <w:highlight w:val="none"/>
        </w:rPr>
      </w:pPr>
      <w:r>
        <w:rPr>
          <w:color w:val="auto"/>
          <w:highlight w:val="none"/>
        </w:rPr>
        <w:t>本公司为取得合同发生的增量成本预期能够收回的，作为合同取得成本确认为一项资产。</w:t>
      </w:r>
    </w:p>
    <w:p>
      <w:pPr>
        <w:pStyle w:val="38"/>
        <w:rPr>
          <w:color w:val="auto"/>
          <w:highlight w:val="none"/>
        </w:rPr>
      </w:pPr>
      <w:r>
        <w:rPr>
          <w:color w:val="auto"/>
          <w:highlight w:val="none"/>
        </w:rPr>
        <w:t>与合同成本有关的资产采用与该资产相关的商品或服务收入确认相同的基础进行摊销；但是对于合同取得成本摊销期限未超过一年的，本公司将其在发生时计入当期损益。</w:t>
      </w:r>
    </w:p>
    <w:p>
      <w:pPr>
        <w:pStyle w:val="38"/>
        <w:rPr>
          <w:color w:val="auto"/>
          <w:highlight w:val="none"/>
        </w:rPr>
      </w:pPr>
    </w:p>
    <w:p>
      <w:pPr>
        <w:pStyle w:val="38"/>
        <w:rPr>
          <w:color w:val="auto"/>
          <w:highlight w:val="none"/>
        </w:rPr>
      </w:pPr>
      <w:r>
        <w:rPr>
          <w:color w:val="auto"/>
          <w:highlight w:val="none"/>
        </w:rPr>
        <w:t>与合同成本有关的资产，其账面价值高于下列两项的差额的，本公司将对于超出部分计提减值准备，并确认为资产减值损失：</w:t>
      </w:r>
    </w:p>
    <w:p>
      <w:pPr>
        <w:pStyle w:val="38"/>
        <w:rPr>
          <w:color w:val="auto"/>
          <w:highlight w:val="none"/>
        </w:rPr>
      </w:pPr>
      <w:r>
        <w:rPr>
          <w:color w:val="auto"/>
          <w:highlight w:val="none"/>
        </w:rPr>
        <w:t>1、因转让与该资产相关的商品或服务预期能够取得的剩余对价；</w:t>
      </w:r>
    </w:p>
    <w:p>
      <w:pPr>
        <w:pStyle w:val="38"/>
        <w:rPr>
          <w:color w:val="auto"/>
          <w:highlight w:val="none"/>
        </w:rPr>
      </w:pPr>
      <w:r>
        <w:rPr>
          <w:color w:val="auto"/>
          <w:highlight w:val="none"/>
        </w:rPr>
        <w:t>2、为转让该相关商品或服务估计将要发生的成本。</w:t>
      </w:r>
    </w:p>
    <w:p>
      <w:pPr>
        <w:pStyle w:val="38"/>
        <w:rPr>
          <w:color w:val="auto"/>
          <w:highlight w:val="none"/>
        </w:rPr>
      </w:pPr>
      <w:r>
        <w:rPr>
          <w:rFonts w:hint="eastAsia"/>
          <w:color w:val="auto"/>
          <w:kern w:val="0"/>
          <w:highlight w:val="none"/>
        </w:rPr>
        <w:t>以前期间减值的因素之后发生变化，使得前述差额高于该资产账面价值的，本公司转回原已计提的减值准备，并计入当期损益，但</w:t>
      </w:r>
      <w:r>
        <w:rPr>
          <w:color w:val="auto"/>
          <w:highlight w:val="none"/>
        </w:rPr>
        <w:t>转回后的资产账面价值不超过假定不计提减值准备情况下该资产在转回日的账面价值。</w:t>
      </w:r>
    </w:p>
    <w:p>
      <w:pPr>
        <w:pStyle w:val="38"/>
        <w:rPr>
          <w:color w:val="auto"/>
          <w:highlight w:val="none"/>
        </w:rPr>
      </w:pPr>
    </w:p>
    <w:p>
      <w:pPr>
        <w:pStyle w:val="37"/>
        <w:rPr>
          <w:rFonts w:eastAsiaTheme="minorEastAsia"/>
          <w:color w:val="auto"/>
          <w:highlight w:val="none"/>
        </w:rPr>
      </w:pPr>
      <w:r>
        <w:rPr>
          <w:rFonts w:eastAsiaTheme="minorEastAsia"/>
          <w:color w:val="auto"/>
          <w:highlight w:val="none"/>
        </w:rPr>
        <w:t>政府补助</w:t>
      </w:r>
    </w:p>
    <w:p>
      <w:pPr>
        <w:pStyle w:val="44"/>
        <w:rPr>
          <w:color w:val="auto"/>
          <w:highlight w:val="none"/>
        </w:rPr>
      </w:pPr>
      <w:r>
        <w:rPr>
          <w:color w:val="auto"/>
          <w:highlight w:val="none"/>
        </w:rPr>
        <w:t>政府补助的分类</w:t>
      </w:r>
    </w:p>
    <w:p>
      <w:pPr>
        <w:pStyle w:val="35"/>
        <w:rPr>
          <w:color w:val="auto"/>
          <w:highlight w:val="none"/>
        </w:rPr>
      </w:pPr>
      <w:r>
        <w:rPr>
          <w:color w:val="auto"/>
          <w:highlight w:val="none"/>
        </w:rPr>
        <w:t>政府补助，是本公司从政府无偿取得的货币性资产</w:t>
      </w:r>
      <w:r>
        <w:rPr>
          <w:rFonts w:hint="eastAsia"/>
          <w:color w:val="auto"/>
          <w:highlight w:val="none"/>
        </w:rPr>
        <w:t>或</w:t>
      </w:r>
      <w:r>
        <w:rPr>
          <w:color w:val="auto"/>
          <w:highlight w:val="none"/>
        </w:rPr>
        <w:t>非货币性资产。分为与资产相关的政府补助和与收益相关的政府补助。</w:t>
      </w:r>
    </w:p>
    <w:p>
      <w:pPr>
        <w:pStyle w:val="35"/>
        <w:rPr>
          <w:color w:val="auto"/>
          <w:highlight w:val="none"/>
        </w:rPr>
      </w:pPr>
      <w:r>
        <w:rPr>
          <w:color w:val="auto"/>
          <w:highlight w:val="none"/>
        </w:rPr>
        <w:t>与资产相关的政府补助，是指本公司取得的、用于购建或以其他方式形成长期资产的政府补助。与收益相关的政府补助，是指除与资产相关的政府补助之外的政府补助。</w:t>
      </w:r>
    </w:p>
    <w:p>
      <w:pPr>
        <w:pStyle w:val="35"/>
        <w:rPr>
          <w:color w:val="auto"/>
          <w:highlight w:val="none"/>
        </w:rPr>
      </w:pPr>
    </w:p>
    <w:p>
      <w:pPr>
        <w:pStyle w:val="44"/>
        <w:rPr>
          <w:color w:val="auto"/>
          <w:highlight w:val="none"/>
        </w:rPr>
      </w:pPr>
      <w:r>
        <w:rPr>
          <w:color w:val="auto"/>
          <w:highlight w:val="none"/>
        </w:rPr>
        <w:t>政府补助的计量及终止确认</w:t>
      </w:r>
    </w:p>
    <w:p>
      <w:pPr>
        <w:pStyle w:val="35"/>
        <w:rPr>
          <w:color w:val="auto"/>
          <w:highlight w:val="none"/>
        </w:rPr>
      </w:pPr>
      <w:r>
        <w:rPr>
          <w:color w:val="auto"/>
          <w:highlight w:val="none"/>
        </w:rPr>
        <w:t>政府补助在</w:t>
      </w:r>
      <w:r>
        <w:rPr>
          <w:rFonts w:hint="eastAsia"/>
          <w:color w:val="auto"/>
          <w:highlight w:val="none"/>
        </w:rPr>
        <w:t>本公司能够</w:t>
      </w:r>
      <w:r>
        <w:rPr>
          <w:color w:val="auto"/>
          <w:highlight w:val="none"/>
        </w:rPr>
        <w:t>满足</w:t>
      </w:r>
      <w:r>
        <w:rPr>
          <w:rFonts w:hint="eastAsia"/>
          <w:color w:val="auto"/>
          <w:highlight w:val="none"/>
        </w:rPr>
        <w:t>其</w:t>
      </w:r>
      <w:r>
        <w:rPr>
          <w:color w:val="auto"/>
          <w:highlight w:val="none"/>
        </w:rPr>
        <w:t>所附条件并且能够收到时</w:t>
      </w:r>
      <w:r>
        <w:rPr>
          <w:rFonts w:hint="eastAsia"/>
          <w:color w:val="auto"/>
          <w:highlight w:val="none"/>
        </w:rPr>
        <w:t>，</w:t>
      </w:r>
      <w:r>
        <w:rPr>
          <w:color w:val="auto"/>
          <w:highlight w:val="none"/>
        </w:rPr>
        <w:t>予以确认。</w:t>
      </w:r>
    </w:p>
    <w:p>
      <w:pPr>
        <w:pStyle w:val="35"/>
        <w:rPr>
          <w:color w:val="auto"/>
          <w:highlight w:val="none"/>
        </w:rPr>
      </w:pPr>
      <w:r>
        <w:rPr>
          <w:color w:val="auto"/>
          <w:highlight w:val="none"/>
        </w:rPr>
        <w:t>对于货币性资产的政府补助，按照收到或应收的金额计量。对于非货币性资产的政府补助，按照公允价值计量；公允价值不能够可靠取得的，按照名义金额计量。</w:t>
      </w:r>
    </w:p>
    <w:p>
      <w:pPr>
        <w:pStyle w:val="35"/>
        <w:rPr>
          <w:color w:val="auto"/>
          <w:highlight w:val="none"/>
        </w:rPr>
      </w:pPr>
      <w:r>
        <w:rPr>
          <w:color w:val="auto"/>
          <w:highlight w:val="none"/>
        </w:rPr>
        <w:t>与资产相关的政府补助，冲减相关资产账面价值或确认为递延收益。确认为递延收益的，在相关 资产使用寿命内按照合理、系统的方法分期计入当期损益（与本公司日常活动相关的，计入其他收益；与本公司日常活动无关的，计入营业外收入）。相关资产在使用寿命结束前被出售、转让、报废或发生毁损的，将尚未分配的递延收益余额转入资产处置当期的损益。</w:t>
      </w:r>
    </w:p>
    <w:p>
      <w:pPr>
        <w:pStyle w:val="35"/>
        <w:rPr>
          <w:color w:val="auto"/>
          <w:highlight w:val="none"/>
        </w:rPr>
      </w:pPr>
      <w:r>
        <w:rPr>
          <w:color w:val="auto"/>
          <w:highlight w:val="none"/>
        </w:rPr>
        <w:t>与收益相关的政府补助，用于补偿</w:t>
      </w:r>
      <w:r>
        <w:rPr>
          <w:rFonts w:hint="eastAsia"/>
          <w:color w:val="auto"/>
          <w:highlight w:val="none"/>
        </w:rPr>
        <w:t>企业</w:t>
      </w:r>
      <w:r>
        <w:rPr>
          <w:color w:val="auto"/>
          <w:highlight w:val="none"/>
        </w:rPr>
        <w:t>以后期间的相关</w:t>
      </w:r>
      <w:r>
        <w:rPr>
          <w:rFonts w:hint="eastAsia"/>
          <w:color w:val="auto"/>
          <w:highlight w:val="none"/>
        </w:rPr>
        <w:t>成本</w:t>
      </w:r>
      <w:r>
        <w:rPr>
          <w:color w:val="auto"/>
          <w:highlight w:val="none"/>
        </w:rPr>
        <w:t>费用或损失的，</w:t>
      </w:r>
      <w:r>
        <w:rPr>
          <w:rFonts w:hint="eastAsia"/>
          <w:color w:val="auto"/>
          <w:highlight w:val="none"/>
        </w:rPr>
        <w:t>确认</w:t>
      </w:r>
      <w:r>
        <w:rPr>
          <w:color w:val="auto"/>
          <w:highlight w:val="none"/>
        </w:rPr>
        <w:t>为递延收益，</w:t>
      </w:r>
      <w:r>
        <w:rPr>
          <w:rFonts w:hint="eastAsia"/>
          <w:color w:val="auto"/>
          <w:highlight w:val="none"/>
        </w:rPr>
        <w:t>并在</w:t>
      </w:r>
      <w:r>
        <w:rPr>
          <w:color w:val="auto"/>
          <w:highlight w:val="none"/>
        </w:rPr>
        <w:t>确认相关成本费用或损失的期间</w:t>
      </w:r>
      <w:r>
        <w:rPr>
          <w:rFonts w:hint="eastAsia"/>
          <w:color w:val="auto"/>
          <w:highlight w:val="none"/>
        </w:rPr>
        <w:t>，</w:t>
      </w:r>
      <w:r>
        <w:rPr>
          <w:color w:val="auto"/>
          <w:highlight w:val="none"/>
        </w:rPr>
        <w:t>计入当期损益（</w:t>
      </w:r>
      <w:r>
        <w:rPr>
          <w:rFonts w:hint="eastAsia"/>
          <w:color w:val="auto"/>
          <w:highlight w:val="none"/>
        </w:rPr>
        <w:t>与</w:t>
      </w:r>
      <w:r>
        <w:rPr>
          <w:color w:val="auto"/>
          <w:highlight w:val="none"/>
        </w:rPr>
        <w:t>本公司日常活动相关的，计入其他收益；与本公司日常活动无关的，计入营业外收入）</w:t>
      </w:r>
      <w:r>
        <w:rPr>
          <w:rFonts w:hint="eastAsia"/>
          <w:color w:val="auto"/>
          <w:highlight w:val="none"/>
        </w:rPr>
        <w:t>或</w:t>
      </w:r>
      <w:r>
        <w:rPr>
          <w:color w:val="auto"/>
          <w:highlight w:val="none"/>
        </w:rPr>
        <w:t>冲减相关成本费用或损失；用于补偿企业已发生的相关</w:t>
      </w:r>
      <w:r>
        <w:rPr>
          <w:rFonts w:hint="eastAsia"/>
          <w:color w:val="auto"/>
          <w:highlight w:val="none"/>
        </w:rPr>
        <w:t>成本</w:t>
      </w:r>
      <w:r>
        <w:rPr>
          <w:color w:val="auto"/>
          <w:highlight w:val="none"/>
        </w:rPr>
        <w:t>费用或损失的，直接计入当期</w:t>
      </w:r>
      <w:r>
        <w:rPr>
          <w:rFonts w:hint="eastAsia"/>
          <w:color w:val="auto"/>
          <w:highlight w:val="none"/>
        </w:rPr>
        <w:t>损益</w:t>
      </w:r>
      <w:r>
        <w:rPr>
          <w:color w:val="auto"/>
          <w:highlight w:val="none"/>
        </w:rPr>
        <w:t>（</w:t>
      </w:r>
      <w:r>
        <w:rPr>
          <w:rFonts w:hint="eastAsia"/>
          <w:color w:val="auto"/>
          <w:highlight w:val="none"/>
        </w:rPr>
        <w:t>与</w:t>
      </w:r>
      <w:r>
        <w:rPr>
          <w:color w:val="auto"/>
          <w:highlight w:val="none"/>
        </w:rPr>
        <w:t>本公司日常活动相关的，计入其他收益；与本公司日常活动无关的，计入营业外收入）或冲减相关成本费用或损失。</w:t>
      </w:r>
    </w:p>
    <w:p>
      <w:pPr>
        <w:pStyle w:val="35"/>
        <w:rPr>
          <w:color w:val="auto"/>
          <w:highlight w:val="none"/>
        </w:rPr>
      </w:pPr>
      <w:r>
        <w:rPr>
          <w:color w:val="auto"/>
          <w:highlight w:val="none"/>
        </w:rPr>
        <w:t>按照名义金额计量的政府补助，直接计入当期损益。</w:t>
      </w:r>
    </w:p>
    <w:p>
      <w:pPr>
        <w:pStyle w:val="35"/>
        <w:rPr>
          <w:color w:val="auto"/>
          <w:highlight w:val="none"/>
        </w:rPr>
      </w:pPr>
      <w:r>
        <w:rPr>
          <w:rFonts w:hint="eastAsia"/>
          <w:color w:val="auto"/>
          <w:highlight w:val="none"/>
        </w:rPr>
        <w:t>本公司</w:t>
      </w:r>
      <w:r>
        <w:rPr>
          <w:color w:val="auto"/>
          <w:highlight w:val="none"/>
        </w:rPr>
        <w:t>取得</w:t>
      </w:r>
      <w:r>
        <w:rPr>
          <w:rFonts w:hint="eastAsia"/>
          <w:color w:val="auto"/>
          <w:highlight w:val="none"/>
        </w:rPr>
        <w:t>的</w:t>
      </w:r>
      <w:r>
        <w:rPr>
          <w:color w:val="auto"/>
          <w:highlight w:val="none"/>
        </w:rPr>
        <w:t>政策性优惠贷款贴息，区分以下两种</w:t>
      </w:r>
      <w:r>
        <w:rPr>
          <w:rFonts w:hint="eastAsia"/>
          <w:color w:val="auto"/>
          <w:highlight w:val="none"/>
        </w:rPr>
        <w:t>情况</w:t>
      </w:r>
      <w:r>
        <w:rPr>
          <w:color w:val="auto"/>
          <w:highlight w:val="none"/>
        </w:rPr>
        <w:t>，分别进行会计处理：</w:t>
      </w:r>
    </w:p>
    <w:p>
      <w:pPr>
        <w:pStyle w:val="35"/>
        <w:rPr>
          <w:color w:val="auto"/>
          <w:highlight w:val="none"/>
        </w:rPr>
      </w:pPr>
      <w:r>
        <w:rPr>
          <w:rFonts w:hint="eastAsia"/>
          <w:color w:val="auto"/>
          <w:highlight w:val="none"/>
        </w:rPr>
        <w:t>（</w:t>
      </w:r>
      <w:r>
        <w:rPr>
          <w:color w:val="auto"/>
          <w:highlight w:val="none"/>
        </w:rPr>
        <w:t>1</w:t>
      </w:r>
      <w:r>
        <w:rPr>
          <w:rFonts w:hint="eastAsia"/>
          <w:color w:val="auto"/>
          <w:highlight w:val="none"/>
        </w:rPr>
        <w:t>）财政将贴息资金拨付给贷款银行，由贷款银行以政策性优惠利率向本公司提供贷款的，本公司以实际收到的借款金额作为借款的入账价值，按照借款本金和该政策性优惠利率计算相关借款费用。</w:t>
      </w:r>
    </w:p>
    <w:p>
      <w:pPr>
        <w:pStyle w:val="35"/>
        <w:rPr>
          <w:color w:val="auto"/>
          <w:highlight w:val="none"/>
        </w:rPr>
      </w:pPr>
      <w:r>
        <w:rPr>
          <w:rFonts w:hint="eastAsia"/>
          <w:color w:val="auto"/>
          <w:highlight w:val="none"/>
        </w:rPr>
        <w:t>（</w:t>
      </w:r>
      <w:r>
        <w:rPr>
          <w:color w:val="auto"/>
          <w:highlight w:val="none"/>
        </w:rPr>
        <w:t>2</w:t>
      </w:r>
      <w:r>
        <w:rPr>
          <w:rFonts w:hint="eastAsia"/>
          <w:color w:val="auto"/>
          <w:highlight w:val="none"/>
        </w:rPr>
        <w:t>）财政将贴息资金直接拨付给本公司的，本公司将对应的贴息冲减相关借款费用。</w:t>
      </w:r>
    </w:p>
    <w:p>
      <w:pPr>
        <w:pStyle w:val="35"/>
        <w:rPr>
          <w:color w:val="auto"/>
          <w:highlight w:val="none"/>
        </w:rPr>
      </w:pPr>
    </w:p>
    <w:p>
      <w:pPr>
        <w:pStyle w:val="44"/>
        <w:rPr>
          <w:color w:val="auto"/>
          <w:highlight w:val="none"/>
        </w:rPr>
      </w:pPr>
      <w:r>
        <w:rPr>
          <w:color w:val="auto"/>
          <w:highlight w:val="none"/>
        </w:rPr>
        <w:t>政府补助的返还的会计处理</w:t>
      </w:r>
    </w:p>
    <w:p>
      <w:pPr>
        <w:pStyle w:val="35"/>
        <w:rPr>
          <w:color w:val="auto"/>
          <w:highlight w:val="none"/>
        </w:rPr>
      </w:pPr>
      <w:r>
        <w:rPr>
          <w:color w:val="auto"/>
          <w:highlight w:val="none"/>
        </w:rPr>
        <w:t>本公司对于已确认的政府补助需要退回的，在需要退回的当期分情况进行会计处理：</w:t>
      </w:r>
    </w:p>
    <w:p>
      <w:pPr>
        <w:pStyle w:val="35"/>
        <w:rPr>
          <w:color w:val="auto"/>
          <w:highlight w:val="none"/>
        </w:rPr>
      </w:pPr>
      <w:r>
        <w:rPr>
          <w:color w:val="auto"/>
          <w:highlight w:val="none"/>
        </w:rPr>
        <w:t>（一）初始确认时冲减相关资产账面价值的，调整资产账面价值；</w:t>
      </w:r>
    </w:p>
    <w:p>
      <w:pPr>
        <w:pStyle w:val="35"/>
        <w:rPr>
          <w:color w:val="auto"/>
          <w:highlight w:val="none"/>
        </w:rPr>
      </w:pPr>
      <w:r>
        <w:rPr>
          <w:color w:val="auto"/>
          <w:highlight w:val="none"/>
        </w:rPr>
        <w:t>（二）存在相关递延收益的，冲减相关递延收益账面余额，超出部分计入当期损益；</w:t>
      </w:r>
    </w:p>
    <w:p>
      <w:pPr>
        <w:pStyle w:val="35"/>
        <w:rPr>
          <w:color w:val="auto"/>
          <w:highlight w:val="none"/>
        </w:rPr>
      </w:pPr>
      <w:r>
        <w:rPr>
          <w:color w:val="auto"/>
          <w:highlight w:val="none"/>
        </w:rPr>
        <w:t>（三）属于其他情况的，直接计入当期损益。</w:t>
      </w:r>
    </w:p>
    <w:p>
      <w:pPr>
        <w:pStyle w:val="35"/>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递延所得税资产和递延所得税负债</w:t>
      </w:r>
    </w:p>
    <w:p>
      <w:pPr>
        <w:pStyle w:val="38"/>
        <w:rPr>
          <w:color w:val="auto"/>
          <w:kern w:val="0"/>
          <w:highlight w:val="none"/>
        </w:rPr>
      </w:pPr>
      <w:r>
        <w:rPr>
          <w:rFonts w:hint="eastAsia"/>
          <w:color w:val="auto"/>
          <w:kern w:val="0"/>
          <w:highlight w:val="none"/>
        </w:rPr>
        <w:t>所得税包括当期所得税和递延所得税。除因企业合并和直接计入所有者权益</w:t>
      </w:r>
      <w:r>
        <w:rPr>
          <w:color w:val="auto"/>
          <w:kern w:val="0"/>
          <w:highlight w:val="none"/>
        </w:rPr>
        <w:t>(</w:t>
      </w:r>
      <w:r>
        <w:rPr>
          <w:rFonts w:hint="eastAsia"/>
          <w:color w:val="auto"/>
          <w:kern w:val="0"/>
          <w:highlight w:val="none"/>
        </w:rPr>
        <w:t>包括其他综合收益</w:t>
      </w:r>
      <w:r>
        <w:rPr>
          <w:color w:val="auto"/>
          <w:kern w:val="0"/>
          <w:highlight w:val="none"/>
        </w:rPr>
        <w:t>)</w:t>
      </w:r>
      <w:r>
        <w:rPr>
          <w:rFonts w:hint="eastAsia"/>
          <w:color w:val="auto"/>
          <w:kern w:val="0"/>
          <w:highlight w:val="none"/>
        </w:rPr>
        <w:t>的交易或者事项产生的所得税外，本公司将当期所得税和递延所得税计入当期损益。</w:t>
      </w:r>
    </w:p>
    <w:p>
      <w:pPr>
        <w:pStyle w:val="38"/>
        <w:rPr>
          <w:rFonts w:eastAsiaTheme="minorEastAsia"/>
          <w:color w:val="auto"/>
          <w:highlight w:val="none"/>
        </w:rPr>
      </w:pPr>
      <w:r>
        <w:rPr>
          <w:rFonts w:hint="eastAsia"/>
          <w:color w:val="auto"/>
          <w:kern w:val="0"/>
          <w:highlight w:val="none"/>
        </w:rPr>
        <w:t>递延所得税资产和递延所得税负债根据资产和负债的计税基础与其账面价值的差额（暂时性差异）计算确认。</w:t>
      </w:r>
    </w:p>
    <w:p>
      <w:pPr>
        <w:pStyle w:val="38"/>
        <w:rPr>
          <w:rFonts w:eastAsiaTheme="minorEastAsia"/>
          <w:color w:val="auto"/>
          <w:highlight w:val="none"/>
        </w:rPr>
      </w:pPr>
      <w:r>
        <w:rPr>
          <w:rFonts w:hint="eastAsia" w:eastAsiaTheme="minorEastAsia"/>
          <w:color w:val="auto"/>
          <w:highlight w:val="none"/>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pPr>
        <w:pStyle w:val="38"/>
        <w:rPr>
          <w:rFonts w:eastAsiaTheme="minorEastAsia"/>
          <w:color w:val="auto"/>
          <w:highlight w:val="none"/>
        </w:rPr>
      </w:pPr>
      <w:r>
        <w:rPr>
          <w:rFonts w:hint="eastAsia" w:eastAsiaTheme="minorEastAsia"/>
          <w:color w:val="auto"/>
          <w:highlight w:val="none"/>
        </w:rPr>
        <w:t>对于应纳税暂时性差异，除特殊情况外，确认递延所得税负债。</w:t>
      </w:r>
    </w:p>
    <w:p>
      <w:pPr>
        <w:pStyle w:val="38"/>
        <w:rPr>
          <w:rFonts w:eastAsiaTheme="minorEastAsia"/>
          <w:color w:val="auto"/>
          <w:highlight w:val="none"/>
        </w:rPr>
      </w:pPr>
      <w:r>
        <w:rPr>
          <w:rFonts w:hint="eastAsia" w:eastAsiaTheme="minorEastAsia"/>
          <w:color w:val="auto"/>
          <w:highlight w:val="none"/>
        </w:rPr>
        <w:t>不确认递延所得税资产或递延所得税负债的特殊情况包括：</w:t>
      </w:r>
    </w:p>
    <w:p>
      <w:pPr>
        <w:pStyle w:val="38"/>
        <w:numPr>
          <w:ilvl w:val="0"/>
          <w:numId w:val="16"/>
        </w:numPr>
        <w:rPr>
          <w:rFonts w:eastAsiaTheme="minorEastAsia"/>
          <w:color w:val="auto"/>
          <w:highlight w:val="none"/>
        </w:rPr>
      </w:pPr>
      <w:r>
        <w:rPr>
          <w:rFonts w:hint="eastAsia" w:eastAsiaTheme="minorEastAsia"/>
          <w:color w:val="auto"/>
          <w:highlight w:val="none"/>
        </w:rPr>
        <w:t>商誉的初始确认；</w:t>
      </w:r>
    </w:p>
    <w:p>
      <w:pPr>
        <w:pStyle w:val="38"/>
        <w:numPr>
          <w:ilvl w:val="0"/>
          <w:numId w:val="16"/>
        </w:numPr>
        <w:rPr>
          <w:rFonts w:eastAsiaTheme="minorEastAsia"/>
          <w:color w:val="auto"/>
          <w:highlight w:val="none"/>
        </w:rPr>
      </w:pPr>
      <w:r>
        <w:rPr>
          <w:rFonts w:hint="eastAsia" w:eastAsiaTheme="minorEastAsia"/>
          <w:color w:val="auto"/>
          <w:highlight w:val="none"/>
        </w:rPr>
        <w:t>既不是企业合并、发生时也不影响会计利润和应纳税所得额（或可抵扣亏损）的交易或事项。</w:t>
      </w:r>
    </w:p>
    <w:p>
      <w:pPr>
        <w:pStyle w:val="38"/>
        <w:rPr>
          <w:color w:val="auto"/>
          <w:kern w:val="0"/>
          <w:highlight w:val="none"/>
        </w:rPr>
      </w:pPr>
      <w:r>
        <w:rPr>
          <w:rFonts w:hint="eastAsia"/>
          <w:color w:val="auto"/>
          <w:kern w:val="0"/>
          <w:highlight w:val="none"/>
        </w:rPr>
        <w:t>对与</w:t>
      </w:r>
      <w:r>
        <w:rPr>
          <w:rFonts w:hint="eastAsia" w:eastAsiaTheme="minorEastAsia"/>
          <w:color w:val="auto"/>
          <w:highlight w:val="none"/>
        </w:rPr>
        <w:t>子公司、</w:t>
      </w:r>
      <w:r>
        <w:rPr>
          <w:rFonts w:hint="eastAsia"/>
          <w:color w:val="auto"/>
          <w:kern w:val="0"/>
          <w:highlight w:val="none"/>
        </w:rPr>
        <w:t>联营企业及合营企业投资相关的应纳税暂时性差异，确认递延所得税负债，除非本公司能够控制该暂时性差异转回的时间且该暂时性差异在可预见的未来很可能不会转回。对与</w:t>
      </w:r>
      <w:r>
        <w:rPr>
          <w:rFonts w:hint="eastAsia" w:eastAsiaTheme="minorEastAsia"/>
          <w:color w:val="auto"/>
          <w:highlight w:val="none"/>
        </w:rPr>
        <w:t>子公司、</w:t>
      </w:r>
      <w:r>
        <w:rPr>
          <w:rFonts w:hint="eastAsia"/>
          <w:color w:val="auto"/>
          <w:kern w:val="0"/>
          <w:highlight w:val="none"/>
        </w:rPr>
        <w:t>联营企业及合营企业投资相关的可抵扣暂时性差异，当该暂时性差异在可预见的未来很可能转回且未来很可能获得用来抵扣可抵扣暂时性差异的应纳税所得额时，确认递延所得税资产。</w:t>
      </w:r>
    </w:p>
    <w:p>
      <w:pPr>
        <w:pStyle w:val="38"/>
        <w:rPr>
          <w:color w:val="auto"/>
          <w:kern w:val="0"/>
          <w:highlight w:val="none"/>
        </w:rPr>
      </w:pPr>
      <w:r>
        <w:rPr>
          <w:rFonts w:hint="eastAsia"/>
          <w:color w:val="auto"/>
          <w:kern w:val="0"/>
          <w:highlight w:val="none"/>
        </w:rPr>
        <w:t>资产负债表日，对于递延所得税资产和递延所得税负债，根据税法规定，按照预期收回相关资产或清偿相关负债期间的适用税率计量。</w:t>
      </w:r>
    </w:p>
    <w:p>
      <w:pPr>
        <w:pStyle w:val="38"/>
        <w:rPr>
          <w:rFonts w:eastAsiaTheme="minorEastAsia"/>
          <w:color w:val="auto"/>
          <w:highlight w:val="none"/>
        </w:rPr>
      </w:pPr>
      <w:r>
        <w:rPr>
          <w:rFonts w:hint="eastAsia"/>
          <w:color w:val="auto"/>
          <w:kern w:val="0"/>
          <w:highlight w:val="none"/>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pPr>
        <w:pStyle w:val="38"/>
        <w:rPr>
          <w:rFonts w:eastAsiaTheme="minorEastAsia"/>
          <w:color w:val="auto"/>
          <w:highlight w:val="none"/>
        </w:rPr>
      </w:pPr>
      <w:r>
        <w:rPr>
          <w:rFonts w:hint="eastAsia" w:eastAsiaTheme="minorEastAsia"/>
          <w:color w:val="auto"/>
          <w:highlight w:val="none"/>
        </w:rPr>
        <w:t>当拥有以净额结算的法定权利，且意图以净额结算或取得资产、清偿负债同时进行时，当期所得税资产及当期所得税负债以抵销后的净额列报。</w:t>
      </w:r>
    </w:p>
    <w:p>
      <w:pPr>
        <w:pStyle w:val="38"/>
        <w:rPr>
          <w:color w:val="auto"/>
          <w:kern w:val="0"/>
          <w:highlight w:val="none"/>
        </w:rPr>
      </w:pPr>
      <w:r>
        <w:rPr>
          <w:rFonts w:hint="eastAsia"/>
          <w:color w:val="auto"/>
          <w:kern w:val="0"/>
          <w:highlight w:val="none"/>
        </w:rPr>
        <w:t>资产负债表日，递延所得税资产及递延所得税负债在同时满足以下条件时以抵销后的净额列示：</w:t>
      </w:r>
    </w:p>
    <w:p>
      <w:pPr>
        <w:pStyle w:val="38"/>
        <w:numPr>
          <w:ilvl w:val="0"/>
          <w:numId w:val="16"/>
        </w:numPr>
        <w:rPr>
          <w:rFonts w:eastAsiaTheme="minorEastAsia"/>
          <w:color w:val="auto"/>
          <w:highlight w:val="none"/>
        </w:rPr>
      </w:pPr>
      <w:r>
        <w:rPr>
          <w:rFonts w:hint="eastAsia" w:eastAsiaTheme="minorEastAsia"/>
          <w:color w:val="auto"/>
          <w:highlight w:val="none"/>
        </w:rPr>
        <w:t>纳税主体拥有以净额结算当期所得税资产及当期所得税负债的法定权利；</w:t>
      </w:r>
    </w:p>
    <w:p>
      <w:pPr>
        <w:pStyle w:val="38"/>
        <w:numPr>
          <w:ilvl w:val="0"/>
          <w:numId w:val="16"/>
        </w:numPr>
        <w:rPr>
          <w:rFonts w:eastAsiaTheme="minorEastAsia"/>
          <w:color w:val="auto"/>
          <w:highlight w:val="none"/>
        </w:rPr>
      </w:pPr>
      <w:r>
        <w:rPr>
          <w:rFonts w:hint="eastAsia"/>
          <w:color w:val="auto"/>
          <w:kern w:val="0"/>
          <w:highlight w:val="none"/>
        </w:rPr>
        <w:t>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p>
      <w:pPr>
        <w:pStyle w:val="38"/>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租赁</w:t>
      </w:r>
    </w:p>
    <w:p>
      <w:pPr>
        <w:pStyle w:val="38"/>
        <w:rPr>
          <w:color w:val="auto"/>
          <w:highlight w:val="none"/>
        </w:rPr>
      </w:pPr>
      <w:r>
        <w:rPr>
          <w:color w:val="auto"/>
          <w:highlight w:val="none"/>
        </w:rPr>
        <w:t>租赁，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pPr>
        <w:pStyle w:val="38"/>
        <w:rPr>
          <w:color w:val="auto"/>
          <w:highlight w:val="none"/>
        </w:rPr>
      </w:pPr>
      <w:r>
        <w:rPr>
          <w:color w:val="auto"/>
          <w:highlight w:val="none"/>
        </w:rPr>
        <w:t>合同中同时包含多项单独租赁的，</w:t>
      </w:r>
      <w:r>
        <w:rPr>
          <w:rFonts w:hint="eastAsia"/>
          <w:color w:val="auto"/>
          <w:highlight w:val="none"/>
        </w:rPr>
        <w:t>本公司</w:t>
      </w:r>
      <w:r>
        <w:rPr>
          <w:color w:val="auto"/>
          <w:highlight w:val="none"/>
        </w:rPr>
        <w:t>将合同予以分拆，并分别各项单独租赁进行会计处理。合同中同时包含租赁和非租赁部分的，承租人和出租人将租赁和非租赁部分进行分拆。</w:t>
      </w:r>
    </w:p>
    <w:p>
      <w:pPr>
        <w:pStyle w:val="38"/>
        <w:rPr>
          <w:color w:val="auto"/>
          <w:highlight w:val="none"/>
        </w:rPr>
      </w:pPr>
      <w:r>
        <w:rPr>
          <w:rFonts w:hint="eastAsia"/>
          <w:color w:val="auto"/>
          <w:highlight w:val="none"/>
        </w:rPr>
        <w:t>对于由新冠肺炎疫情直接引发的、就现有租赁合同达成的租金减免、延期支付等租金减让，同时满足下列条件的，本公司对所有租赁选择采用简化方法，不评估是否发生租赁变更，也不重新评估租赁分类：</w:t>
      </w:r>
    </w:p>
    <w:p>
      <w:pPr>
        <w:pStyle w:val="38"/>
        <w:numPr>
          <w:ilvl w:val="0"/>
          <w:numId w:val="17"/>
        </w:numPr>
        <w:rPr>
          <w:color w:val="auto"/>
          <w:highlight w:val="none"/>
        </w:rPr>
      </w:pPr>
      <w:r>
        <w:rPr>
          <w:rFonts w:hint="eastAsia"/>
          <w:color w:val="auto"/>
          <w:highlight w:val="none"/>
        </w:rPr>
        <w:t>减让后的租赁对价较减让前减少或基本不变，其中，租赁对价未折现或按减让前折现率折现均可；</w:t>
      </w:r>
    </w:p>
    <w:p>
      <w:pPr>
        <w:pStyle w:val="38"/>
        <w:numPr>
          <w:ilvl w:val="0"/>
          <w:numId w:val="17"/>
        </w:numPr>
        <w:rPr>
          <w:color w:val="auto"/>
          <w:highlight w:val="none"/>
        </w:rPr>
      </w:pPr>
      <w:r>
        <w:rPr>
          <w:rFonts w:hint="eastAsia"/>
          <w:color w:val="auto"/>
          <w:highlight w:val="none"/>
        </w:rPr>
        <w:t>综合考虑定性和定量因素后认定租赁的其他条款和条件无重大变化。</w:t>
      </w:r>
    </w:p>
    <w:p>
      <w:pPr>
        <w:pStyle w:val="38"/>
        <w:rPr>
          <w:color w:val="auto"/>
          <w:highlight w:val="none"/>
        </w:rPr>
      </w:pPr>
    </w:p>
    <w:p>
      <w:pPr>
        <w:pStyle w:val="44"/>
        <w:rPr>
          <w:color w:val="auto"/>
          <w:highlight w:val="none"/>
        </w:rPr>
      </w:pPr>
      <w:r>
        <w:rPr>
          <w:rFonts w:hint="eastAsia"/>
          <w:color w:val="auto"/>
          <w:highlight w:val="none"/>
        </w:rPr>
        <w:t>本公司</w:t>
      </w:r>
      <w:r>
        <w:rPr>
          <w:color w:val="auto"/>
          <w:highlight w:val="none"/>
        </w:rPr>
        <w:t>作为承租人</w:t>
      </w:r>
    </w:p>
    <w:p>
      <w:pPr>
        <w:pStyle w:val="35"/>
        <w:rPr>
          <w:color w:val="auto"/>
          <w:highlight w:val="none"/>
        </w:rPr>
      </w:pPr>
      <w:r>
        <w:rPr>
          <w:color w:val="auto"/>
          <w:highlight w:val="none"/>
        </w:rPr>
        <w:t>（1）使用权资产</w:t>
      </w:r>
    </w:p>
    <w:p>
      <w:pPr>
        <w:pStyle w:val="35"/>
        <w:rPr>
          <w:color w:val="auto"/>
          <w:highlight w:val="none"/>
        </w:rPr>
      </w:pPr>
      <w:r>
        <w:rPr>
          <w:color w:val="auto"/>
          <w:highlight w:val="none"/>
        </w:rPr>
        <w:t>在租赁期开始日，本公司对除短期租赁和低价值资产租赁以外的租赁确认使用权资产。使用权资产按照成本进行初始计量。该成本包括：</w:t>
      </w:r>
    </w:p>
    <w:p>
      <w:pPr>
        <w:pStyle w:val="35"/>
        <w:numPr>
          <w:ilvl w:val="0"/>
          <w:numId w:val="18"/>
        </w:numPr>
        <w:rPr>
          <w:color w:val="auto"/>
          <w:highlight w:val="none"/>
        </w:rPr>
      </w:pPr>
      <w:r>
        <w:rPr>
          <w:color w:val="auto"/>
          <w:highlight w:val="none"/>
        </w:rPr>
        <w:t>租赁负债的初始计量金额；</w:t>
      </w:r>
    </w:p>
    <w:p>
      <w:pPr>
        <w:pStyle w:val="35"/>
        <w:numPr>
          <w:ilvl w:val="0"/>
          <w:numId w:val="18"/>
        </w:numPr>
        <w:rPr>
          <w:color w:val="auto"/>
          <w:highlight w:val="none"/>
        </w:rPr>
      </w:pPr>
      <w:r>
        <w:rPr>
          <w:rFonts w:hint="eastAsia"/>
          <w:color w:val="auto"/>
          <w:highlight w:val="none"/>
        </w:rPr>
        <w:t>在租赁期开始日或之前支付的租赁付款额，存在租赁激励的，扣除已享受的租赁激励相关金额；</w:t>
      </w:r>
    </w:p>
    <w:p>
      <w:pPr>
        <w:pStyle w:val="35"/>
        <w:numPr>
          <w:ilvl w:val="0"/>
          <w:numId w:val="18"/>
        </w:numPr>
        <w:rPr>
          <w:color w:val="auto"/>
          <w:highlight w:val="none"/>
        </w:rPr>
      </w:pPr>
      <w:r>
        <w:rPr>
          <w:rFonts w:hint="eastAsia"/>
          <w:color w:val="auto"/>
          <w:highlight w:val="none"/>
        </w:rPr>
        <w:t>公司发生的初始直接费用；</w:t>
      </w:r>
    </w:p>
    <w:p>
      <w:pPr>
        <w:pStyle w:val="35"/>
        <w:numPr>
          <w:ilvl w:val="0"/>
          <w:numId w:val="18"/>
        </w:numPr>
        <w:rPr>
          <w:color w:val="auto"/>
          <w:highlight w:val="none"/>
        </w:rPr>
      </w:pPr>
      <w:r>
        <w:rPr>
          <w:rFonts w:hint="eastAsia"/>
          <w:color w:val="auto"/>
          <w:highlight w:val="none"/>
        </w:rPr>
        <w:t>公司为拆卸及移除租赁资产、复原租赁资产所在场地或将租赁资产恢复至租赁条款约定状态预计将发生的成本。但不包括属于为生产存货而发生的成本。</w:t>
      </w:r>
    </w:p>
    <w:p>
      <w:pPr>
        <w:pStyle w:val="35"/>
        <w:rPr>
          <w:color w:val="auto"/>
          <w:highlight w:val="none"/>
        </w:rPr>
      </w:pPr>
      <w:r>
        <w:rPr>
          <w:rFonts w:hint="eastAsia"/>
          <w:color w:val="auto"/>
          <w:highlight w:val="none"/>
        </w:rPr>
        <w:t>本公司后续釆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pPr>
        <w:pStyle w:val="35"/>
        <w:rPr>
          <w:color w:val="auto"/>
          <w:highlight w:val="none"/>
        </w:rPr>
      </w:pPr>
    </w:p>
    <w:p>
      <w:pPr>
        <w:pStyle w:val="35"/>
        <w:rPr>
          <w:color w:val="auto"/>
          <w:highlight w:val="none"/>
        </w:rPr>
      </w:pPr>
      <w:r>
        <w:rPr>
          <w:rFonts w:hint="eastAsia"/>
          <w:color w:val="auto"/>
          <w:highlight w:val="none"/>
        </w:rPr>
        <w:t>（</w:t>
      </w:r>
      <w:r>
        <w:rPr>
          <w:color w:val="auto"/>
          <w:highlight w:val="none"/>
        </w:rPr>
        <w:t>2</w:t>
      </w:r>
      <w:r>
        <w:rPr>
          <w:rFonts w:hint="eastAsia"/>
          <w:color w:val="auto"/>
          <w:highlight w:val="none"/>
        </w:rPr>
        <w:t>）租赁负债</w:t>
      </w:r>
    </w:p>
    <w:p>
      <w:pPr>
        <w:pStyle w:val="35"/>
        <w:rPr>
          <w:color w:val="auto"/>
          <w:highlight w:val="none"/>
        </w:rPr>
      </w:pPr>
      <w:r>
        <w:rPr>
          <w:rFonts w:hint="eastAsia"/>
          <w:color w:val="auto"/>
          <w:highlight w:val="none"/>
        </w:rPr>
        <w:t>在租赁期开始日，本公司对除短期租赁和低价值资产租赁以外的租赁确认租赁负债。租赁负债按照尚未支付的租赁付款额的现值进行初始计量。租赁付款额包括：</w:t>
      </w:r>
    </w:p>
    <w:p>
      <w:pPr>
        <w:pStyle w:val="35"/>
        <w:numPr>
          <w:ilvl w:val="0"/>
          <w:numId w:val="19"/>
        </w:numPr>
        <w:rPr>
          <w:color w:val="auto"/>
          <w:highlight w:val="none"/>
        </w:rPr>
      </w:pPr>
      <w:r>
        <w:rPr>
          <w:rFonts w:hint="eastAsia"/>
          <w:color w:val="auto"/>
          <w:highlight w:val="none"/>
        </w:rPr>
        <w:t>固定付款额（包括实质固定付款额），存在租赁激励的，扣除租赁激励相关金额；</w:t>
      </w:r>
    </w:p>
    <w:p>
      <w:pPr>
        <w:pStyle w:val="35"/>
        <w:numPr>
          <w:ilvl w:val="0"/>
          <w:numId w:val="19"/>
        </w:numPr>
        <w:rPr>
          <w:color w:val="auto"/>
          <w:highlight w:val="none"/>
        </w:rPr>
      </w:pPr>
      <w:r>
        <w:rPr>
          <w:rFonts w:hint="eastAsia"/>
          <w:color w:val="auto"/>
          <w:highlight w:val="none"/>
        </w:rPr>
        <w:t>取决于指数或比率的可变租赁付款额；</w:t>
      </w:r>
    </w:p>
    <w:p>
      <w:pPr>
        <w:pStyle w:val="35"/>
        <w:numPr>
          <w:ilvl w:val="0"/>
          <w:numId w:val="19"/>
        </w:numPr>
        <w:rPr>
          <w:color w:val="auto"/>
          <w:highlight w:val="none"/>
        </w:rPr>
      </w:pPr>
      <w:r>
        <w:rPr>
          <w:rFonts w:hint="eastAsia"/>
          <w:color w:val="auto"/>
          <w:highlight w:val="none"/>
        </w:rPr>
        <w:t>根据公司提供的担保余值预计应支付的款项；</w:t>
      </w:r>
    </w:p>
    <w:p>
      <w:pPr>
        <w:pStyle w:val="35"/>
        <w:numPr>
          <w:ilvl w:val="0"/>
          <w:numId w:val="19"/>
        </w:numPr>
        <w:rPr>
          <w:color w:val="auto"/>
          <w:highlight w:val="none"/>
        </w:rPr>
      </w:pPr>
      <w:r>
        <w:rPr>
          <w:rFonts w:hint="eastAsia"/>
          <w:color w:val="auto"/>
          <w:highlight w:val="none"/>
        </w:rPr>
        <w:t>购买选择权的行权价格，前提是公司合理确定将行使该选择权；</w:t>
      </w:r>
    </w:p>
    <w:p>
      <w:pPr>
        <w:pStyle w:val="35"/>
        <w:numPr>
          <w:ilvl w:val="0"/>
          <w:numId w:val="19"/>
        </w:numPr>
        <w:rPr>
          <w:color w:val="auto"/>
          <w:highlight w:val="none"/>
        </w:rPr>
      </w:pPr>
      <w:r>
        <w:rPr>
          <w:rFonts w:hint="eastAsia"/>
          <w:color w:val="auto"/>
          <w:highlight w:val="none"/>
        </w:rPr>
        <w:t>行使终止租赁选择权需支付的款项，前提是租赁期反映出公司将行使终止租赁选择权；</w:t>
      </w:r>
    </w:p>
    <w:p>
      <w:pPr>
        <w:pStyle w:val="35"/>
        <w:rPr>
          <w:color w:val="auto"/>
          <w:highlight w:val="none"/>
        </w:rPr>
      </w:pPr>
      <w:r>
        <w:rPr>
          <w:rFonts w:hint="eastAsia"/>
          <w:color w:val="auto"/>
          <w:highlight w:val="none"/>
        </w:rPr>
        <w:t>本公司采用租赁内含利率作为折现率，但如果无法合理确定租赁内含利率的，则采用本公司的增量借款利率作为折现率。</w:t>
      </w:r>
    </w:p>
    <w:p>
      <w:pPr>
        <w:pStyle w:val="35"/>
        <w:rPr>
          <w:color w:val="auto"/>
          <w:highlight w:val="none"/>
        </w:rPr>
      </w:pPr>
      <w:r>
        <w:rPr>
          <w:rFonts w:hint="eastAsia"/>
          <w:color w:val="auto"/>
          <w:highlight w:val="none"/>
        </w:rPr>
        <w:t>本公司按照固定的周期性利率计算租赁负债在租赁期内各期间的利息费用，并计入当期损益或相关资产成本。</w:t>
      </w:r>
    </w:p>
    <w:p>
      <w:pPr>
        <w:pStyle w:val="35"/>
        <w:rPr>
          <w:color w:val="auto"/>
          <w:highlight w:val="none"/>
        </w:rPr>
      </w:pPr>
      <w:r>
        <w:rPr>
          <w:rFonts w:hint="eastAsia"/>
          <w:color w:val="auto"/>
          <w:highlight w:val="none"/>
        </w:rPr>
        <w:t>未纳入租赁负债计量的可变租赁付款额在实际发生时计入当期损益或相关资产成本。</w:t>
      </w:r>
    </w:p>
    <w:p>
      <w:pPr>
        <w:pStyle w:val="35"/>
        <w:rPr>
          <w:color w:val="auto"/>
          <w:highlight w:val="none"/>
        </w:rPr>
      </w:pPr>
      <w:r>
        <w:rPr>
          <w:rFonts w:hint="eastAsia"/>
          <w:color w:val="auto"/>
          <w:highlight w:val="none"/>
        </w:rPr>
        <w:t>在租赁期开始日后，发生下列情形的，本</w:t>
      </w:r>
      <w:r>
        <w:rPr>
          <w:color w:val="auto"/>
          <w:highlight w:val="none"/>
        </w:rPr>
        <w:t>公司</w:t>
      </w:r>
      <w:r>
        <w:rPr>
          <w:rFonts w:hint="eastAsia"/>
          <w:color w:val="auto"/>
          <w:highlight w:val="none"/>
        </w:rPr>
        <w:t>重新计量租赁负债，并调整相应的使用权资产，若使用权资产的账面价值已调减至零，但租赁负债仍需进一步调减的，将差额计入当期损益：</w:t>
      </w:r>
    </w:p>
    <w:p>
      <w:pPr>
        <w:pStyle w:val="35"/>
        <w:numPr>
          <w:ilvl w:val="0"/>
          <w:numId w:val="20"/>
        </w:numPr>
        <w:rPr>
          <w:color w:val="auto"/>
          <w:highlight w:val="none"/>
        </w:rPr>
      </w:pPr>
      <w:r>
        <w:rPr>
          <w:rFonts w:hint="eastAsia"/>
          <w:color w:val="auto"/>
          <w:highlight w:val="none"/>
        </w:rPr>
        <w:t>当购买选择权、续租选择权或终止选择权的评估结果发生变化，或前述选择权的实际行权情况与原评估结果不一致的，本公司按变动后租赁付款额和修订后的折现率计算的现值重新计量租赁负债；</w:t>
      </w:r>
    </w:p>
    <w:p>
      <w:pPr>
        <w:pStyle w:val="35"/>
        <w:numPr>
          <w:ilvl w:val="0"/>
          <w:numId w:val="20"/>
        </w:numPr>
        <w:rPr>
          <w:color w:val="auto"/>
          <w:highlight w:val="none"/>
        </w:rPr>
      </w:pPr>
      <w:r>
        <w:rPr>
          <w:rFonts w:hint="eastAsia"/>
          <w:color w:val="auto"/>
          <w:highlight w:val="none"/>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pPr>
        <w:pStyle w:val="35"/>
        <w:rPr>
          <w:color w:val="auto"/>
          <w:highlight w:val="none"/>
        </w:rPr>
      </w:pPr>
    </w:p>
    <w:p>
      <w:pPr>
        <w:pStyle w:val="35"/>
        <w:rPr>
          <w:color w:val="auto"/>
          <w:highlight w:val="none"/>
        </w:rPr>
      </w:pPr>
      <w:r>
        <w:rPr>
          <w:rFonts w:hint="eastAsia"/>
          <w:color w:val="auto"/>
          <w:highlight w:val="none"/>
        </w:rPr>
        <w:t>（</w:t>
      </w:r>
      <w:r>
        <w:rPr>
          <w:color w:val="auto"/>
          <w:highlight w:val="none"/>
        </w:rPr>
        <w:t>3</w:t>
      </w:r>
      <w:r>
        <w:rPr>
          <w:rFonts w:hint="eastAsia"/>
          <w:color w:val="auto"/>
          <w:highlight w:val="none"/>
        </w:rPr>
        <w:t>）短期租赁和低价值资产租赁</w:t>
      </w:r>
    </w:p>
    <w:p>
      <w:pPr>
        <w:pStyle w:val="35"/>
        <w:rPr>
          <w:color w:val="auto"/>
          <w:highlight w:val="none"/>
        </w:rPr>
      </w:pPr>
      <w:r>
        <w:rPr>
          <w:rFonts w:hint="eastAsia"/>
          <w:color w:val="auto"/>
          <w:highlight w:val="none"/>
        </w:rPr>
        <w:t>本公司选择对短期租赁和低价值资产租赁不确认使用权资产和租赁负债，并将相关的租赁付款额在租赁期内各个期间按照直线法计入当期损益或相关资产成本。短期租赁，是指在租赁期开始日，租赁期不超过</w:t>
      </w:r>
      <w:r>
        <w:rPr>
          <w:color w:val="auto"/>
          <w:highlight w:val="none"/>
        </w:rPr>
        <w:t>12</w:t>
      </w:r>
      <w:r>
        <w:rPr>
          <w:rFonts w:hint="eastAsia"/>
          <w:color w:val="auto"/>
          <w:highlight w:val="none"/>
        </w:rPr>
        <w:t>个月且不包含购买选择权的租赁。低价值资产租赁，是指单项租赁资产为全新资产时价值较低的租赁。公司转租或预期转租租赁资产的，原租赁不属于低价值资产租赁。</w:t>
      </w:r>
    </w:p>
    <w:p>
      <w:pPr>
        <w:pStyle w:val="35"/>
        <w:rPr>
          <w:color w:val="auto"/>
          <w:highlight w:val="none"/>
        </w:rPr>
      </w:pPr>
    </w:p>
    <w:p>
      <w:pPr>
        <w:pStyle w:val="35"/>
        <w:rPr>
          <w:color w:val="auto"/>
          <w:highlight w:val="none"/>
        </w:rPr>
      </w:pPr>
      <w:r>
        <w:rPr>
          <w:rFonts w:hint="eastAsia"/>
          <w:color w:val="auto"/>
          <w:highlight w:val="none"/>
        </w:rPr>
        <w:t>（</w:t>
      </w:r>
      <w:r>
        <w:rPr>
          <w:color w:val="auto"/>
          <w:highlight w:val="none"/>
        </w:rPr>
        <w:t>4</w:t>
      </w:r>
      <w:r>
        <w:rPr>
          <w:rFonts w:hint="eastAsia"/>
          <w:color w:val="auto"/>
          <w:highlight w:val="none"/>
        </w:rPr>
        <w:t>）租赁变更</w:t>
      </w:r>
    </w:p>
    <w:p>
      <w:pPr>
        <w:pStyle w:val="35"/>
        <w:rPr>
          <w:color w:val="auto"/>
          <w:highlight w:val="none"/>
        </w:rPr>
      </w:pPr>
      <w:r>
        <w:rPr>
          <w:rFonts w:hint="eastAsia"/>
          <w:color w:val="auto"/>
          <w:highlight w:val="none"/>
        </w:rPr>
        <w:t>租赁发生变更且同时符合下列条件的，公司将该租赁变更作为一项单独租赁进行会计处理：</w:t>
      </w:r>
    </w:p>
    <w:p>
      <w:pPr>
        <w:pStyle w:val="35"/>
        <w:numPr>
          <w:ilvl w:val="0"/>
          <w:numId w:val="21"/>
        </w:numPr>
        <w:rPr>
          <w:color w:val="auto"/>
          <w:highlight w:val="none"/>
        </w:rPr>
      </w:pPr>
      <w:r>
        <w:rPr>
          <w:rFonts w:hint="eastAsia"/>
          <w:color w:val="auto"/>
          <w:highlight w:val="none"/>
        </w:rPr>
        <w:t>该租赁变更通过增加一项或多项租赁资产的使用权而扩大了租赁范围；</w:t>
      </w:r>
    </w:p>
    <w:p>
      <w:pPr>
        <w:pStyle w:val="35"/>
        <w:numPr>
          <w:ilvl w:val="0"/>
          <w:numId w:val="21"/>
        </w:numPr>
        <w:rPr>
          <w:color w:val="auto"/>
          <w:highlight w:val="none"/>
        </w:rPr>
      </w:pPr>
      <w:r>
        <w:rPr>
          <w:rFonts w:hint="eastAsia"/>
          <w:color w:val="auto"/>
          <w:highlight w:val="none"/>
        </w:rPr>
        <w:t>增加的对价与租赁范围扩大部分的单独价格按该合同情况调整后的金额相当。</w:t>
      </w:r>
    </w:p>
    <w:p>
      <w:pPr>
        <w:pStyle w:val="35"/>
        <w:rPr>
          <w:color w:val="auto"/>
          <w:highlight w:val="none"/>
        </w:rPr>
      </w:pPr>
      <w:r>
        <w:rPr>
          <w:rFonts w:hint="eastAsia"/>
          <w:color w:val="auto"/>
          <w:highlight w:val="none"/>
        </w:rPr>
        <w:t>租赁变更未作为一项单独租赁进行会计处理的，在租赁变更生效日，公司重新分摊变更后合同的对价，重新确定租赁期，并按照变更后租赁付款额和修订后的折现率计算的现值重新计量租赁负债。</w:t>
      </w:r>
    </w:p>
    <w:p>
      <w:pPr>
        <w:pStyle w:val="35"/>
        <w:rPr>
          <w:color w:val="auto"/>
          <w:highlight w:val="none"/>
        </w:rPr>
      </w:pPr>
      <w:r>
        <w:rPr>
          <w:rFonts w:hint="eastAsia"/>
          <w:color w:val="auto"/>
          <w:highlight w:val="none"/>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pPr>
        <w:pStyle w:val="35"/>
        <w:rPr>
          <w:color w:val="auto"/>
          <w:highlight w:val="none"/>
        </w:rPr>
      </w:pPr>
    </w:p>
    <w:p>
      <w:pPr>
        <w:pStyle w:val="35"/>
        <w:rPr>
          <w:color w:val="auto"/>
          <w:highlight w:val="none"/>
        </w:rPr>
      </w:pPr>
      <w:r>
        <w:rPr>
          <w:rFonts w:hint="eastAsia"/>
          <w:color w:val="auto"/>
          <w:highlight w:val="none"/>
        </w:rPr>
        <w:t>（5）新冠肺炎疫情相关的租金减让</w:t>
      </w:r>
    </w:p>
    <w:p>
      <w:pPr>
        <w:pStyle w:val="35"/>
        <w:rPr>
          <w:color w:val="auto"/>
          <w:highlight w:val="none"/>
        </w:rPr>
      </w:pPr>
      <w:r>
        <w:rPr>
          <w:rFonts w:hint="eastAsia"/>
          <w:color w:val="auto"/>
          <w:highlight w:val="none"/>
        </w:rPr>
        <w:t>对于采用新冠肺炎疫情相关租金减让简化方法的，本公司不评估是否发生租赁变更，继续按照与减让前一致的折现率计算租赁负债的利息费用并计入当期损益，继续按照与减让前一致的方法对使用权资产进行计提折旧。发生租金减免的，本公司将减免的租金作为可变租赁付款额，在达成减让协议等解除原租金支付义务时，按未折现或减让前折现率折现金额冲减相关资产成本或费用，同时相应调整租赁负债；延期支付租金的，本公司在实际支付时冲减前期确认的租赁负债。</w:t>
      </w:r>
    </w:p>
    <w:p>
      <w:pPr>
        <w:pStyle w:val="35"/>
        <w:rPr>
          <w:color w:val="auto"/>
          <w:highlight w:val="none"/>
        </w:rPr>
      </w:pPr>
      <w:r>
        <w:rPr>
          <w:rFonts w:hint="eastAsia"/>
          <w:color w:val="auto"/>
          <w:highlight w:val="none"/>
        </w:rPr>
        <w:t>对于短期租赁和低价值资产租赁，本公司继续按照与减让前一致的方法将原合同租金计入相关资产成本或费用。发生租金减免的，本公司将减免的租金作为可变租赁付款额，在减免期间冲减相关资产成本或费用；延期支付租金的，本公司在原支付期间将应支付的租金确认为应付款项，在实际支付时冲减前期确认的应付款项。</w:t>
      </w:r>
    </w:p>
    <w:p>
      <w:pPr>
        <w:pStyle w:val="35"/>
        <w:rPr>
          <w:color w:val="auto"/>
          <w:highlight w:val="none"/>
        </w:rPr>
      </w:pPr>
    </w:p>
    <w:p>
      <w:pPr>
        <w:pStyle w:val="44"/>
        <w:rPr>
          <w:color w:val="auto"/>
          <w:highlight w:val="none"/>
        </w:rPr>
      </w:pPr>
      <w:r>
        <w:rPr>
          <w:rFonts w:hint="eastAsia"/>
          <w:color w:val="auto"/>
          <w:highlight w:val="none"/>
        </w:rPr>
        <w:t>本公司</w:t>
      </w:r>
      <w:r>
        <w:rPr>
          <w:color w:val="auto"/>
          <w:highlight w:val="none"/>
        </w:rPr>
        <w:t>作为出租人</w:t>
      </w:r>
    </w:p>
    <w:p>
      <w:pPr>
        <w:pStyle w:val="35"/>
        <w:rPr>
          <w:color w:val="auto"/>
          <w:highlight w:val="none"/>
        </w:rPr>
      </w:pPr>
      <w:r>
        <w:rPr>
          <w:color w:val="auto"/>
          <w:highlight w:val="none"/>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pPr>
        <w:pStyle w:val="35"/>
        <w:rPr>
          <w:color w:val="auto"/>
          <w:highlight w:val="none"/>
        </w:rPr>
      </w:pPr>
    </w:p>
    <w:p>
      <w:pPr>
        <w:pStyle w:val="35"/>
        <w:rPr>
          <w:color w:val="auto"/>
          <w:highlight w:val="none"/>
        </w:rPr>
      </w:pPr>
      <w:r>
        <w:rPr>
          <w:color w:val="auto"/>
          <w:highlight w:val="none"/>
        </w:rPr>
        <w:t>（1）经营租赁会计处理</w:t>
      </w:r>
    </w:p>
    <w:p>
      <w:pPr>
        <w:pStyle w:val="35"/>
        <w:rPr>
          <w:color w:val="auto"/>
          <w:highlight w:val="none"/>
        </w:rPr>
      </w:pPr>
      <w:r>
        <w:rPr>
          <w:rFonts w:hint="eastAsia"/>
          <w:color w:val="auto"/>
          <w:highlight w:val="none"/>
        </w:rPr>
        <w:t>经营租赁的租赁收款额在租赁期内各个期间按照直线法确认为租金收入。本公司将发生的与经营租赁有关的初始直接费用予以资本化，在租赁期内按照与租金收入确认相同的基础分摊计入当期损益。未计入租赁收款额的可变租赁付款额在实际发生时计入当期损益。经营租赁发生变更的，公司自变更生效日起将其作为一项新租赁进行会计处理，与变更前租赁有关的预收或应收租赁收款额视为新租赁的收款额。</w:t>
      </w:r>
    </w:p>
    <w:p>
      <w:pPr>
        <w:pStyle w:val="35"/>
        <w:rPr>
          <w:color w:val="auto"/>
          <w:highlight w:val="none"/>
        </w:rPr>
      </w:pPr>
    </w:p>
    <w:p>
      <w:pPr>
        <w:pStyle w:val="35"/>
        <w:rPr>
          <w:color w:val="auto"/>
          <w:highlight w:val="none"/>
        </w:rPr>
      </w:pPr>
      <w:r>
        <w:rPr>
          <w:rFonts w:hint="eastAsia"/>
          <w:color w:val="auto"/>
          <w:highlight w:val="none"/>
        </w:rPr>
        <w:t>（</w:t>
      </w:r>
      <w:r>
        <w:rPr>
          <w:color w:val="auto"/>
          <w:highlight w:val="none"/>
        </w:rPr>
        <w:t>2</w:t>
      </w:r>
      <w:r>
        <w:rPr>
          <w:rFonts w:hint="eastAsia"/>
          <w:color w:val="auto"/>
          <w:highlight w:val="none"/>
        </w:rPr>
        <w:t>）融资租赁会计处理</w:t>
      </w:r>
    </w:p>
    <w:p>
      <w:pPr>
        <w:pStyle w:val="35"/>
        <w:rPr>
          <w:color w:val="auto"/>
          <w:highlight w:val="none"/>
        </w:rPr>
      </w:pPr>
      <w:r>
        <w:rPr>
          <w:rFonts w:hint="eastAsia"/>
          <w:color w:val="auto"/>
          <w:highlight w:val="none"/>
        </w:rPr>
        <w:t>在租赁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租赁收款额按照租赁内含利率折现的现值之和。</w:t>
      </w:r>
    </w:p>
    <w:p>
      <w:pPr>
        <w:pStyle w:val="35"/>
        <w:rPr>
          <w:color w:val="auto"/>
          <w:highlight w:val="none"/>
        </w:rPr>
      </w:pPr>
      <w:r>
        <w:rPr>
          <w:rFonts w:hint="eastAsia"/>
          <w:color w:val="auto"/>
          <w:highlight w:val="none"/>
        </w:rPr>
        <w:t>本公司按照固定的周期性利率计算并确认租赁期内各个期间的利息收入。应收融资租赁款的终止确认和减值按照本附注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w:t>
      </w:r>
      <w:r>
        <w:rPr>
          <w:rFonts w:hint="eastAsia" w:ascii="宋体" w:hAnsi="宋体"/>
          <w:color w:val="auto"/>
          <w:highlight w:val="none"/>
        </w:rPr>
        <w:t>”</w:t>
      </w:r>
      <w:r>
        <w:rPr>
          <w:rFonts w:hint="eastAsia"/>
          <w:color w:val="auto"/>
          <w:highlight w:val="none"/>
        </w:rPr>
        <w:t>进行会计处理</w:t>
      </w:r>
      <w:r>
        <w:rPr>
          <w:color w:val="auto"/>
          <w:highlight w:val="none"/>
        </w:rPr>
        <w:t>。</w:t>
      </w:r>
    </w:p>
    <w:p>
      <w:pPr>
        <w:pStyle w:val="35"/>
        <w:rPr>
          <w:color w:val="auto"/>
          <w:highlight w:val="none"/>
        </w:rPr>
      </w:pPr>
      <w:r>
        <w:rPr>
          <w:color w:val="auto"/>
          <w:highlight w:val="none"/>
        </w:rPr>
        <w:t>未纳入租赁投资净额计量的可变租赁付款额在实际发生时计入当期损益。</w:t>
      </w:r>
    </w:p>
    <w:p>
      <w:pPr>
        <w:pStyle w:val="35"/>
        <w:rPr>
          <w:color w:val="auto"/>
          <w:highlight w:val="none"/>
        </w:rPr>
      </w:pPr>
      <w:r>
        <w:rPr>
          <w:rFonts w:hint="eastAsia"/>
          <w:color w:val="auto"/>
          <w:highlight w:val="none"/>
        </w:rPr>
        <w:t>融资租赁发生变更且同时符合下列条件的，本公司将该变更作为一项单独租赁进行会计处理：</w:t>
      </w:r>
    </w:p>
    <w:p>
      <w:pPr>
        <w:pStyle w:val="35"/>
        <w:numPr>
          <w:ilvl w:val="0"/>
          <w:numId w:val="22"/>
        </w:numPr>
        <w:rPr>
          <w:color w:val="auto"/>
          <w:highlight w:val="none"/>
        </w:rPr>
      </w:pPr>
      <w:r>
        <w:rPr>
          <w:rFonts w:hint="eastAsia"/>
          <w:color w:val="auto"/>
          <w:highlight w:val="none"/>
        </w:rPr>
        <w:t>该变更通过增加一项或多项租赁资产的使用权而扩大了租赁范围；</w:t>
      </w:r>
    </w:p>
    <w:p>
      <w:pPr>
        <w:pStyle w:val="35"/>
        <w:numPr>
          <w:ilvl w:val="0"/>
          <w:numId w:val="22"/>
        </w:numPr>
        <w:rPr>
          <w:color w:val="auto"/>
          <w:highlight w:val="none"/>
        </w:rPr>
      </w:pPr>
      <w:r>
        <w:rPr>
          <w:rFonts w:hint="eastAsia"/>
          <w:color w:val="auto"/>
          <w:highlight w:val="none"/>
        </w:rPr>
        <w:t>增加的对价与租赁范围扩大部分的单独价格按该合同情况调整后的金额相当。</w:t>
      </w:r>
    </w:p>
    <w:p>
      <w:pPr>
        <w:pStyle w:val="35"/>
        <w:rPr>
          <w:color w:val="auto"/>
          <w:highlight w:val="none"/>
        </w:rPr>
      </w:pPr>
      <w:r>
        <w:rPr>
          <w:rFonts w:hint="eastAsia"/>
          <w:color w:val="auto"/>
          <w:highlight w:val="none"/>
        </w:rPr>
        <w:t>融资租赁的变更未作为一项单独租赁进行会计处理的，本公司分别下列情形对变更后的租赁进行处理：</w:t>
      </w:r>
    </w:p>
    <w:p>
      <w:pPr>
        <w:pStyle w:val="35"/>
        <w:numPr>
          <w:ilvl w:val="0"/>
          <w:numId w:val="23"/>
        </w:numPr>
        <w:rPr>
          <w:color w:val="auto"/>
          <w:highlight w:val="none"/>
        </w:rPr>
      </w:pPr>
      <w:r>
        <w:rPr>
          <w:rFonts w:hint="eastAsia"/>
          <w:color w:val="auto"/>
          <w:highlight w:val="none"/>
        </w:rPr>
        <w:t>假如变更在租赁开始日生效，该租赁会被分类为经营租赁的，本公司自租赁变更生效日开始将其作为一项新租赁进行会计处理，并以租赁变更生效日前的租赁投资净额作为租赁资产的账面价值；</w:t>
      </w:r>
    </w:p>
    <w:p>
      <w:pPr>
        <w:pStyle w:val="35"/>
        <w:rPr>
          <w:color w:val="auto"/>
          <w:highlight w:val="none"/>
        </w:rPr>
      </w:pPr>
      <w:r>
        <w:rPr>
          <w:rFonts w:hint="eastAsia"/>
          <w:color w:val="auto"/>
          <w:highlight w:val="none"/>
        </w:rPr>
        <w:t>假如变更在租赁开始日生效，该租赁会被分类为融资租赁的，本公司按照本附注</w:t>
      </w:r>
      <w:r>
        <w:rPr>
          <w:rFonts w:hint="eastAsia" w:ascii="宋体" w:hAnsi="宋体"/>
          <w:color w:val="auto"/>
          <w:highlight w:val="none"/>
        </w:rPr>
        <w:t>“</w:t>
      </w:r>
      <w:r>
        <w:rPr>
          <w:rFonts w:hint="eastAsia"/>
          <w:color w:val="auto"/>
          <w:highlight w:val="none"/>
        </w:rPr>
        <w:t>四、（七）金融工具</w:t>
      </w:r>
      <w:r>
        <w:rPr>
          <w:rFonts w:hint="eastAsia" w:ascii="宋体" w:hAnsi="宋体"/>
          <w:color w:val="auto"/>
          <w:highlight w:val="none"/>
        </w:rPr>
        <w:t>”</w:t>
      </w:r>
      <w:r>
        <w:rPr>
          <w:rFonts w:hint="eastAsia"/>
          <w:color w:val="auto"/>
          <w:highlight w:val="none"/>
        </w:rPr>
        <w:t>关于修改或重新议定合同的政策进行会计处理。</w:t>
      </w:r>
    </w:p>
    <w:p>
      <w:pPr>
        <w:pStyle w:val="35"/>
        <w:rPr>
          <w:color w:val="auto"/>
          <w:highlight w:val="none"/>
        </w:rPr>
      </w:pPr>
    </w:p>
    <w:p>
      <w:pPr>
        <w:pStyle w:val="35"/>
        <w:rPr>
          <w:color w:val="auto"/>
          <w:highlight w:val="none"/>
        </w:rPr>
      </w:pPr>
      <w:r>
        <w:rPr>
          <w:rFonts w:hint="eastAsia"/>
          <w:color w:val="auto"/>
          <w:highlight w:val="none"/>
        </w:rPr>
        <w:t>（</w:t>
      </w:r>
      <w:r>
        <w:rPr>
          <w:color w:val="auto"/>
          <w:highlight w:val="none"/>
        </w:rPr>
        <w:t>3</w:t>
      </w:r>
      <w:r>
        <w:rPr>
          <w:rFonts w:hint="eastAsia"/>
          <w:color w:val="auto"/>
          <w:highlight w:val="none"/>
        </w:rPr>
        <w:t>）新冠肺炎疫情相关的租金减让</w:t>
      </w:r>
    </w:p>
    <w:p>
      <w:pPr>
        <w:pStyle w:val="35"/>
        <w:numPr>
          <w:ilvl w:val="0"/>
          <w:numId w:val="24"/>
        </w:numPr>
        <w:rPr>
          <w:color w:val="auto"/>
          <w:highlight w:val="none"/>
        </w:rPr>
      </w:pPr>
      <w:r>
        <w:rPr>
          <w:rFonts w:hint="eastAsia"/>
          <w:color w:val="auto"/>
          <w:highlight w:val="none"/>
        </w:rPr>
        <w:t>对于采用新冠肺炎疫情相关租金减让简化方法的经营租赁，本公司继续按照与减让前一致的方法将原合同租金确认为租赁收入；发生租金减免的，本公司将减免的租金作为可变租赁付款额，在减免期间冲减租赁收入；延期收取租金的，本公司在原收取期间将应收取的租金确认为应收款项，并在实际收到时冲减前期确认的应收款项。</w:t>
      </w:r>
    </w:p>
    <w:p>
      <w:pPr>
        <w:pStyle w:val="35"/>
        <w:numPr>
          <w:ilvl w:val="0"/>
          <w:numId w:val="24"/>
        </w:numPr>
        <w:rPr>
          <w:color w:val="auto"/>
          <w:highlight w:val="none"/>
        </w:rPr>
      </w:pPr>
      <w:r>
        <w:rPr>
          <w:rFonts w:hint="eastAsia"/>
          <w:color w:val="auto"/>
          <w:highlight w:val="none"/>
        </w:rPr>
        <w:t>对于采用新冠肺炎疫情相关租金减让简化方法的融资租赁，本公司继续按照与减让前一致的折现率计算利息并确认为租赁收入。发生租金减免的，本公司将减免的租金作为可变租赁付款额，在达成减让协议等放弃原租金收取权利时，按未折现或减让前折现率折现金额冲减原确认的租赁收入，不足冲减的部分计入投资收益，同时相应调整应收融资租赁款；延期收取租金的，本公司在实际收到时冲减前期确认的应收融资租赁款。</w:t>
      </w:r>
    </w:p>
    <w:p>
      <w:pPr>
        <w:pStyle w:val="35"/>
        <w:rPr>
          <w:color w:val="auto"/>
          <w:highlight w:val="none"/>
        </w:rPr>
      </w:pPr>
    </w:p>
    <w:p>
      <w:pPr>
        <w:pStyle w:val="44"/>
        <w:rPr>
          <w:color w:val="auto"/>
          <w:highlight w:val="none"/>
        </w:rPr>
      </w:pPr>
      <w:r>
        <w:rPr>
          <w:color w:val="auto"/>
          <w:highlight w:val="none"/>
        </w:rPr>
        <w:t>售后租回交易</w:t>
      </w:r>
    </w:p>
    <w:p>
      <w:pPr>
        <w:pStyle w:val="35"/>
        <w:rPr>
          <w:color w:val="auto"/>
          <w:highlight w:val="none"/>
        </w:rPr>
      </w:pPr>
      <w:r>
        <w:rPr>
          <w:color w:val="auto"/>
          <w:highlight w:val="none"/>
        </w:rPr>
        <w:t>公司按照本附注</w:t>
      </w:r>
      <w:r>
        <w:rPr>
          <w:rFonts w:hint="eastAsia" w:ascii="宋体" w:hAnsi="宋体"/>
          <w:color w:val="auto"/>
          <w:highlight w:val="none"/>
        </w:rPr>
        <w:t>“</w:t>
      </w:r>
      <w:r>
        <w:rPr>
          <w:color w:val="auto"/>
          <w:highlight w:val="none"/>
        </w:rPr>
        <w:t>四、（</w:t>
      </w:r>
      <w:r>
        <w:rPr>
          <w:rFonts w:hint="eastAsia"/>
          <w:color w:val="auto"/>
          <w:highlight w:val="none"/>
        </w:rPr>
        <w:t>二十四</w:t>
      </w:r>
      <w:r>
        <w:rPr>
          <w:color w:val="auto"/>
          <w:highlight w:val="none"/>
        </w:rPr>
        <w:t>）收入</w:t>
      </w:r>
      <w:r>
        <w:rPr>
          <w:rFonts w:hint="eastAsia" w:ascii="宋体" w:hAnsi="宋体"/>
          <w:color w:val="auto"/>
          <w:highlight w:val="none"/>
        </w:rPr>
        <w:t>”</w:t>
      </w:r>
      <w:r>
        <w:rPr>
          <w:color w:val="auto"/>
          <w:highlight w:val="none"/>
        </w:rPr>
        <w:t>所述原则评估确定售后租回交易中的资产转让是否属于销售。</w:t>
      </w:r>
    </w:p>
    <w:p>
      <w:pPr>
        <w:pStyle w:val="35"/>
        <w:rPr>
          <w:color w:val="auto"/>
          <w:highlight w:val="none"/>
        </w:rPr>
      </w:pPr>
      <w:r>
        <w:rPr>
          <w:color w:val="auto"/>
          <w:highlight w:val="none"/>
        </w:rPr>
        <w:t>（1）作为承租人</w:t>
      </w:r>
    </w:p>
    <w:p>
      <w:pPr>
        <w:pStyle w:val="35"/>
        <w:rPr>
          <w:color w:val="auto"/>
          <w:highlight w:val="none"/>
        </w:rPr>
      </w:pPr>
      <w:r>
        <w:rPr>
          <w:color w:val="auto"/>
          <w:highlight w:val="none"/>
        </w:rPr>
        <w:t>售后租回交易中的资产转让属于销售的，公司作为承租人按原资产账面价值</w:t>
      </w:r>
      <w:r>
        <w:rPr>
          <w:rFonts w:hint="eastAsia"/>
          <w:color w:val="auto"/>
          <w:highlight w:val="none"/>
        </w:rPr>
        <w:t>中与租回获得的使用权有关的部分，计量售后租回所形成的使用权资产，并仅就转让至出租人的权利确认相关利得或损失；售后租回交易中的资产转让不属于销售的，公司作为承租人继续确认被转让资产，同时确认一项与转让收入等额的金融负债。金融负债的会计处理详见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w:t>
      </w:r>
      <w:r>
        <w:rPr>
          <w:rFonts w:hint="eastAsia" w:ascii="宋体" w:hAnsi="宋体"/>
          <w:color w:val="auto"/>
          <w:highlight w:val="none"/>
        </w:rPr>
        <w:t>”</w:t>
      </w:r>
      <w:r>
        <w:rPr>
          <w:color w:val="auto"/>
          <w:highlight w:val="none"/>
        </w:rPr>
        <w:t>。</w:t>
      </w:r>
    </w:p>
    <w:p>
      <w:pPr>
        <w:pStyle w:val="35"/>
        <w:rPr>
          <w:color w:val="auto"/>
          <w:highlight w:val="none"/>
        </w:rPr>
      </w:pPr>
      <w:r>
        <w:rPr>
          <w:color w:val="auto"/>
          <w:highlight w:val="none"/>
        </w:rPr>
        <w:t>（2）作为出租人</w:t>
      </w:r>
    </w:p>
    <w:p>
      <w:pPr>
        <w:pStyle w:val="35"/>
        <w:rPr>
          <w:color w:val="auto"/>
          <w:highlight w:val="none"/>
        </w:rPr>
      </w:pPr>
      <w:r>
        <w:rPr>
          <w:color w:val="auto"/>
          <w:highlight w:val="none"/>
        </w:rPr>
        <w:t>售后租回交易中的资产转让属于销售的，公司作为出租人对资产购买进行会计处理，并根据前述</w:t>
      </w:r>
      <w:r>
        <w:rPr>
          <w:rFonts w:hint="eastAsia" w:ascii="宋体" w:hAnsi="宋体"/>
          <w:color w:val="auto"/>
          <w:highlight w:val="none"/>
        </w:rPr>
        <w:t>“</w:t>
      </w:r>
      <w:r>
        <w:rPr>
          <w:color w:val="auto"/>
          <w:highlight w:val="none"/>
        </w:rPr>
        <w:t>2、本公司作为出租人</w:t>
      </w:r>
      <w:r>
        <w:rPr>
          <w:rFonts w:hint="eastAsia" w:ascii="宋体" w:hAnsi="宋体"/>
          <w:color w:val="auto"/>
          <w:highlight w:val="none"/>
        </w:rPr>
        <w:t>”</w:t>
      </w:r>
      <w:r>
        <w:rPr>
          <w:color w:val="auto"/>
          <w:highlight w:val="none"/>
        </w:rPr>
        <w:t>的政策对资产出租进行会计处理；售后租回交易中的资产转让不属于销售的，公司作为出租人不确认被转让资产，但确认一项与转让收入等额的金融资产。金融资产的会计处理详见本附注</w:t>
      </w:r>
      <w:r>
        <w:rPr>
          <w:rFonts w:hint="eastAsia" w:ascii="宋体" w:hAnsi="宋体"/>
          <w:color w:val="auto"/>
          <w:highlight w:val="none"/>
        </w:rPr>
        <w:t>“</w:t>
      </w:r>
      <w:r>
        <w:rPr>
          <w:color w:val="auto"/>
          <w:highlight w:val="none"/>
        </w:rPr>
        <w:t>四、（</w:t>
      </w:r>
      <w:r>
        <w:rPr>
          <w:rFonts w:hint="eastAsia"/>
          <w:color w:val="auto"/>
          <w:highlight w:val="none"/>
        </w:rPr>
        <w:t>七</w:t>
      </w:r>
      <w:r>
        <w:rPr>
          <w:color w:val="auto"/>
          <w:highlight w:val="none"/>
        </w:rPr>
        <w:t>）金融工具</w:t>
      </w:r>
      <w:r>
        <w:rPr>
          <w:rFonts w:hint="eastAsia" w:ascii="宋体" w:hAnsi="宋体"/>
          <w:color w:val="auto"/>
          <w:highlight w:val="none"/>
        </w:rPr>
        <w:t>”</w:t>
      </w:r>
      <w:r>
        <w:rPr>
          <w:color w:val="auto"/>
          <w:highlight w:val="none"/>
        </w:rPr>
        <w:t>。</w:t>
      </w:r>
    </w:p>
    <w:p>
      <w:pPr>
        <w:pStyle w:val="35"/>
        <w:rPr>
          <w:color w:val="auto"/>
          <w:highlight w:val="none"/>
        </w:rPr>
      </w:pPr>
    </w:p>
    <w:p>
      <w:pPr>
        <w:pStyle w:val="37"/>
        <w:rPr>
          <w:rFonts w:eastAsiaTheme="minorEastAsia"/>
          <w:color w:val="auto"/>
          <w:highlight w:val="none"/>
        </w:rPr>
      </w:pPr>
      <w:r>
        <w:rPr>
          <w:color w:val="auto"/>
          <w:highlight w:val="none"/>
        </w:rPr>
        <w:t>持有待售</w:t>
      </w:r>
    </w:p>
    <w:p>
      <w:pPr>
        <w:tabs>
          <w:tab w:val="left" w:pos="630"/>
        </w:tabs>
        <w:adjustRightInd w:val="0"/>
        <w:snapToGrid w:val="0"/>
        <w:spacing w:line="400" w:lineRule="exact"/>
        <w:ind w:left="718" w:leftChars="342"/>
        <w:rPr>
          <w:rFonts w:eastAsia="宋体"/>
          <w:color w:val="auto"/>
          <w:highlight w:val="none"/>
        </w:rPr>
      </w:pPr>
      <w:r>
        <w:rPr>
          <w:rFonts w:hint="eastAsia"/>
          <w:color w:val="auto"/>
          <w:kern w:val="0"/>
          <w:highlight w:val="none"/>
        </w:rPr>
        <w:t>主要通过出售（包括具有商业实质的非货币性资产交换）而非持续使用一项非流动资产或处置组收回其账面价值的，划分为持有待售类别。</w:t>
      </w:r>
    </w:p>
    <w:p>
      <w:pPr>
        <w:tabs>
          <w:tab w:val="left" w:pos="630"/>
        </w:tabs>
        <w:adjustRightInd w:val="0"/>
        <w:snapToGrid w:val="0"/>
        <w:spacing w:line="400" w:lineRule="exact"/>
        <w:ind w:left="718" w:leftChars="342"/>
        <w:rPr>
          <w:rFonts w:eastAsia="宋体"/>
          <w:color w:val="auto"/>
          <w:highlight w:val="none"/>
        </w:rPr>
      </w:pPr>
      <w:r>
        <w:rPr>
          <w:rFonts w:eastAsia="宋体"/>
          <w:color w:val="auto"/>
          <w:highlight w:val="none"/>
        </w:rPr>
        <w:t>本公司将同时</w:t>
      </w:r>
      <w:r>
        <w:rPr>
          <w:rFonts w:hint="eastAsia" w:eastAsia="宋体"/>
          <w:color w:val="auto"/>
          <w:highlight w:val="none"/>
        </w:rPr>
        <w:t>满足</w:t>
      </w:r>
      <w:r>
        <w:rPr>
          <w:rFonts w:eastAsia="宋体"/>
          <w:color w:val="auto"/>
          <w:highlight w:val="none"/>
        </w:rPr>
        <w:t>下列条件的</w:t>
      </w:r>
      <w:r>
        <w:rPr>
          <w:rFonts w:hint="eastAsia" w:eastAsia="宋体"/>
          <w:color w:val="auto"/>
          <w:highlight w:val="none"/>
        </w:rPr>
        <w:t>非流动资产或处置组划分</w:t>
      </w:r>
      <w:r>
        <w:rPr>
          <w:rFonts w:eastAsia="宋体"/>
          <w:color w:val="auto"/>
          <w:highlight w:val="none"/>
        </w:rPr>
        <w:t>为持有待售</w:t>
      </w:r>
      <w:r>
        <w:rPr>
          <w:rFonts w:hint="eastAsia" w:eastAsia="宋体"/>
          <w:color w:val="auto"/>
          <w:highlight w:val="none"/>
        </w:rPr>
        <w:t>类别</w:t>
      </w:r>
      <w:r>
        <w:rPr>
          <w:rFonts w:eastAsia="宋体"/>
          <w:color w:val="auto"/>
          <w:highlight w:val="none"/>
        </w:rPr>
        <w:t>：</w:t>
      </w:r>
    </w:p>
    <w:p>
      <w:pPr>
        <w:pStyle w:val="38"/>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根据类似交易中出售此类资产或处置组的惯例，在当前状况下即可立即出售；</w:t>
      </w:r>
    </w:p>
    <w:p>
      <w:pPr>
        <w:pStyle w:val="38"/>
        <w:rPr>
          <w:color w:val="auto"/>
          <w:highlight w:val="none"/>
        </w:rPr>
      </w:pPr>
      <w:r>
        <w:rPr>
          <w:color w:val="auto"/>
          <w:highlight w:val="none"/>
        </w:rPr>
        <w:t>（2）出售极可能发生，即本公司已经就一项出售计划作出决议且获得确定的购买承诺，预计出售将在一年内完成。有关规定要求本公司相关权力机构或者监管部门批准后方可出售的，已经获得批准。</w:t>
      </w:r>
    </w:p>
    <w:p>
      <w:pPr>
        <w:pStyle w:val="38"/>
        <w:rPr>
          <w:color w:val="auto"/>
          <w:highlight w:val="none"/>
        </w:rPr>
      </w:pPr>
      <w:r>
        <w:rPr>
          <w:rFonts w:hint="eastAsia"/>
          <w:color w:val="auto"/>
          <w:highlight w:val="none"/>
        </w:rPr>
        <w:t>划分为持有待售的非流动资产（不包括金融资产、递延所得税资产、采用公允价值模式进行后续计量的投资性房地产、职工薪酬形成的资产）或处置组，其账面价值高于公允价值减去出售费用后的净额的，</w:t>
      </w:r>
      <w:r>
        <w:rPr>
          <w:color w:val="auto"/>
          <w:highlight w:val="none"/>
        </w:rPr>
        <w:t>应当将</w:t>
      </w:r>
      <w:r>
        <w:rPr>
          <w:rFonts w:hint="eastAsia"/>
          <w:color w:val="auto"/>
          <w:highlight w:val="none"/>
        </w:rPr>
        <w:t>账面价值减记至公允价值减去出售费用后的净额，减记的金额确认为资产减值损失，计入当期损益，同时计提持有待售资产减值准备。</w:t>
      </w:r>
    </w:p>
    <w:p>
      <w:pPr>
        <w:pStyle w:val="38"/>
        <w:rPr>
          <w:rFonts w:eastAsiaTheme="minorEastAsia"/>
          <w:color w:val="auto"/>
          <w:highlight w:val="none"/>
        </w:rPr>
      </w:pPr>
    </w:p>
    <w:p>
      <w:pPr>
        <w:pStyle w:val="37"/>
        <w:rPr>
          <w:color w:val="auto"/>
          <w:highlight w:val="none"/>
        </w:rPr>
      </w:pPr>
      <w:r>
        <w:rPr>
          <w:rFonts w:hint="eastAsia"/>
          <w:color w:val="auto"/>
          <w:highlight w:val="none"/>
        </w:rPr>
        <w:t>公允价值计量</w:t>
      </w:r>
    </w:p>
    <w:p>
      <w:pPr>
        <w:pStyle w:val="38"/>
        <w:rPr>
          <w:color w:val="auto"/>
          <w:highlight w:val="none"/>
        </w:rPr>
      </w:pPr>
      <w:r>
        <w:rPr>
          <w:rFonts w:hint="eastAsia"/>
          <w:color w:val="auto"/>
          <w:highlight w:val="none"/>
        </w:rPr>
        <w:t>本公司以公允价值计量相关资产或负债时，基于如下假设：</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市场参与者在计量日出售资产或者转移负债的交易，是在当前市场条件下的有序交易；</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出售资产或者转移负债的有序交易在相关资产或负债的主要市场进行。不存在主要市场的，假定该交易在相关资产或负债的最有利市场进行。</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采用市场参与者在对该资产或负债定价时为实现其经济利益最大化所使用的假设。</w:t>
      </w:r>
    </w:p>
    <w:p>
      <w:pPr>
        <w:pStyle w:val="38"/>
        <w:rPr>
          <w:color w:val="auto"/>
          <w:highlight w:val="none"/>
        </w:rPr>
      </w:pPr>
      <w:r>
        <w:rPr>
          <w:rFonts w:hint="eastAsia"/>
          <w:color w:val="auto"/>
          <w:highlight w:val="none"/>
        </w:rPr>
        <w:t>本公司将根据交易性质和相关资产或负债的特征等，以其交易价格作为初始确认的公允价值。</w:t>
      </w:r>
    </w:p>
    <w:p>
      <w:pPr>
        <w:pStyle w:val="38"/>
        <w:rPr>
          <w:color w:val="auto"/>
          <w:highlight w:val="none"/>
        </w:rPr>
      </w:pPr>
      <w:r>
        <w:rPr>
          <w:rFonts w:hint="eastAsia"/>
          <w:color w:val="auto"/>
          <w:highlight w:val="none"/>
        </w:rPr>
        <w:t>其他相关会计准则要求或者允许公司以公允价值对相关资产或负债进行初始计量，且其交易价格与公允价值不相等的，公司将相关利得或损失计入当期损益，但其他相关会计准则另有规定的除外。</w:t>
      </w:r>
    </w:p>
    <w:p>
      <w:pPr>
        <w:pStyle w:val="38"/>
        <w:rPr>
          <w:color w:val="auto"/>
          <w:highlight w:val="none"/>
        </w:rPr>
      </w:pPr>
      <w:r>
        <w:rPr>
          <w:rFonts w:hint="eastAsia"/>
          <w:color w:val="auto"/>
          <w:highlight w:val="none"/>
        </w:rPr>
        <w:t>以公允价值计量非金融资产时，考虑市场参与者将该资产用于最佳用途产生经济利益的能力，或者将该资产出售给能够用于最佳用途的其他市场参与者产生经济利益的能力。</w:t>
      </w:r>
    </w:p>
    <w:p>
      <w:pPr>
        <w:pStyle w:val="38"/>
        <w:rPr>
          <w:color w:val="auto"/>
          <w:highlight w:val="none"/>
        </w:rPr>
      </w:pPr>
      <w:r>
        <w:rPr>
          <w:rFonts w:hint="eastAsia"/>
          <w:color w:val="auto"/>
          <w:highlight w:val="none"/>
        </w:rPr>
        <w:t>本公司采用估值技术时考虑了在当前情况下适用并且有足够可利用数据和其他信息支持的估值技术。估值技术的输入值优先使用相关可观察输入值，只有在相关可观察输入值无法取得或取得不切实可行的情况下，才可以使用不可观察输入值。</w:t>
      </w:r>
    </w:p>
    <w:p>
      <w:pPr>
        <w:pStyle w:val="38"/>
        <w:rPr>
          <w:color w:val="auto"/>
          <w:highlight w:val="none"/>
        </w:rPr>
      </w:pPr>
      <w:r>
        <w:rPr>
          <w:rFonts w:hint="eastAsia"/>
          <w:color w:val="auto"/>
          <w:highlight w:val="none"/>
        </w:rPr>
        <w:t>公允价值计量所使用的输入值划分为三个层次：</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第一层次输入值是在计量日能够取得的相同资产或负债在活跃市场上未经调整的报价。</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第二层次输入值是除第一层次输入值外相关资产或负债直接或间接可观察的输入值。</w:t>
      </w:r>
    </w:p>
    <w:p>
      <w:pPr>
        <w:pStyle w:val="38"/>
        <w:rPr>
          <w:color w:val="auto"/>
          <w:highlight w:val="none"/>
        </w:rPr>
      </w:pPr>
      <w:r>
        <w:rPr>
          <w:rFonts w:hint="eastAsia"/>
          <w:color w:val="auto"/>
          <w:highlight w:val="none"/>
        </w:rPr>
        <w:t>－</w:t>
      </w:r>
      <w:r>
        <w:rPr>
          <w:rFonts w:hint="eastAsia"/>
          <w:color w:val="auto"/>
          <w:highlight w:val="none"/>
        </w:rPr>
        <w:tab/>
      </w:r>
      <w:r>
        <w:rPr>
          <w:rFonts w:hint="eastAsia"/>
          <w:color w:val="auto"/>
          <w:highlight w:val="none"/>
        </w:rPr>
        <w:t>第三层次输入值是相关资产或负债的不可观察输入值。</w:t>
      </w:r>
    </w:p>
    <w:p>
      <w:pPr>
        <w:pStyle w:val="38"/>
        <w:rPr>
          <w:color w:val="auto"/>
          <w:highlight w:val="none"/>
        </w:rPr>
      </w:pPr>
      <w:r>
        <w:rPr>
          <w:rFonts w:hint="eastAsia"/>
          <w:color w:val="auto"/>
          <w:highlight w:val="none"/>
        </w:rPr>
        <w:t>公允价值计量结果所属的层次，由对公允价值计量整体而言具有重要意义的输入值所属的最低层次决定。</w:t>
      </w:r>
    </w:p>
    <w:p>
      <w:pPr>
        <w:pStyle w:val="38"/>
        <w:rPr>
          <w:color w:val="auto"/>
          <w:highlight w:val="none"/>
        </w:rPr>
      </w:pPr>
    </w:p>
    <w:p>
      <w:pPr>
        <w:pStyle w:val="37"/>
        <w:rPr>
          <w:color w:val="auto"/>
          <w:highlight w:val="none"/>
        </w:rPr>
      </w:pPr>
      <w:r>
        <w:rPr>
          <w:color w:val="auto"/>
          <w:highlight w:val="none"/>
        </w:rPr>
        <w:t>安全生产费用及维简费</w:t>
      </w:r>
    </w:p>
    <w:p>
      <w:pPr>
        <w:pStyle w:val="38"/>
        <w:rPr>
          <w:color w:val="auto"/>
          <w:highlight w:val="none"/>
        </w:rPr>
      </w:pPr>
      <w:r>
        <w:rPr>
          <w:rFonts w:hint="eastAsia"/>
          <w:color w:val="auto"/>
          <w:highlight w:val="none"/>
        </w:rPr>
        <w:t>本公司根据财政部《关于印发〈企业安全生产费用提取和使用管理办法〉的通知》（财资</w:t>
      </w:r>
      <w:r>
        <w:rPr>
          <w:color w:val="auto"/>
          <w:highlight w:val="none"/>
        </w:rPr>
        <w:t>〔2022〕</w:t>
      </w:r>
      <w:r>
        <w:rPr>
          <w:rFonts w:hint="eastAsia"/>
          <w:color w:val="auto"/>
          <w:highlight w:val="none"/>
        </w:rPr>
        <w:t>1</w:t>
      </w:r>
      <w:r>
        <w:rPr>
          <w:color w:val="auto"/>
          <w:highlight w:val="none"/>
        </w:rPr>
        <w:t>3</w:t>
      </w:r>
      <w:r>
        <w:rPr>
          <w:rFonts w:hint="eastAsia"/>
          <w:color w:val="auto"/>
          <w:highlight w:val="none"/>
        </w:rPr>
        <w:t>6号）的有关规定，按适用标准提取安全生产费用，按适用标准提取维简费。</w:t>
      </w:r>
    </w:p>
    <w:p>
      <w:pPr>
        <w:pStyle w:val="38"/>
        <w:rPr>
          <w:color w:val="auto"/>
          <w:highlight w:val="none"/>
        </w:rPr>
      </w:pPr>
      <w:r>
        <w:rPr>
          <w:rFonts w:hint="eastAsia"/>
          <w:color w:val="auto"/>
          <w:highlight w:val="none"/>
        </w:rPr>
        <w:t>安全生产费用及维简费于提取时，计入相关产品的成本或当期损益，同时计入</w:t>
      </w:r>
      <w:r>
        <w:rPr>
          <w:rFonts w:hint="eastAsia" w:ascii="宋体" w:hAnsi="宋体"/>
          <w:color w:val="auto"/>
          <w:highlight w:val="none"/>
        </w:rPr>
        <w:t>“</w:t>
      </w:r>
      <w:r>
        <w:rPr>
          <w:rFonts w:hint="eastAsia"/>
          <w:color w:val="auto"/>
          <w:highlight w:val="none"/>
        </w:rPr>
        <w:t>专项储备</w:t>
      </w:r>
      <w:r>
        <w:rPr>
          <w:rFonts w:hint="eastAsia" w:ascii="宋体" w:hAnsi="宋体"/>
          <w:color w:val="auto"/>
          <w:highlight w:val="none"/>
        </w:rPr>
        <w:t>”</w:t>
      </w:r>
      <w:r>
        <w:rPr>
          <w:rFonts w:hint="eastAsia"/>
          <w:color w:val="auto"/>
          <w:highlight w:val="none"/>
        </w:rPr>
        <w:t>科目。</w:t>
      </w:r>
    </w:p>
    <w:p>
      <w:pPr>
        <w:pStyle w:val="38"/>
        <w:rPr>
          <w:color w:val="auto"/>
          <w:highlight w:val="none"/>
        </w:rPr>
      </w:pPr>
      <w:r>
        <w:rPr>
          <w:rFonts w:hint="eastAsia"/>
          <w:color w:val="auto"/>
          <w:highlight w:val="none"/>
        </w:rPr>
        <w:t>提取的安全生产费及维简费按规定范围使用时，属于费用性支出的，直接冲减专项储备；形成固定资产的，通过</w:t>
      </w:r>
      <w:r>
        <w:rPr>
          <w:rFonts w:hint="eastAsia" w:ascii="宋体" w:hAnsi="宋体"/>
          <w:color w:val="auto"/>
          <w:highlight w:val="none"/>
        </w:rPr>
        <w:t>“</w:t>
      </w:r>
      <w:r>
        <w:rPr>
          <w:rFonts w:hint="eastAsia"/>
          <w:color w:val="auto"/>
          <w:highlight w:val="none"/>
        </w:rPr>
        <w:t>在建工程</w:t>
      </w:r>
      <w:r>
        <w:rPr>
          <w:rFonts w:hint="eastAsia" w:ascii="宋体" w:hAnsi="宋体"/>
          <w:color w:val="auto"/>
          <w:highlight w:val="none"/>
        </w:rPr>
        <w:t>”</w:t>
      </w:r>
      <w:r>
        <w:rPr>
          <w:rFonts w:hint="eastAsia"/>
          <w:color w:val="auto"/>
          <w:highlight w:val="none"/>
        </w:rPr>
        <w:t>科目归集所发生的支出，待安全项目完工达到预定可使用状态时确认为固定资产；同时，按照形成固定资产的成本冲减专项储备，并确认相同金额的累计折旧。该固定资产在以后期间不再计提折旧。</w:t>
      </w:r>
    </w:p>
    <w:p>
      <w:pPr>
        <w:pStyle w:val="38"/>
        <w:rPr>
          <w:color w:val="auto"/>
          <w:highlight w:val="none"/>
        </w:rPr>
      </w:pPr>
    </w:p>
    <w:p>
      <w:pPr>
        <w:pStyle w:val="37"/>
        <w:rPr>
          <w:rFonts w:eastAsiaTheme="minorEastAsia"/>
          <w:color w:val="auto"/>
          <w:highlight w:val="none"/>
        </w:rPr>
      </w:pPr>
      <w:r>
        <w:rPr>
          <w:color w:val="auto"/>
          <w:highlight w:val="none"/>
        </w:rPr>
        <w:t>其他</w:t>
      </w:r>
      <w:r>
        <w:rPr>
          <w:rFonts w:hint="eastAsia"/>
          <w:color w:val="auto"/>
          <w:highlight w:val="none"/>
        </w:rPr>
        <w:t>重</w:t>
      </w:r>
      <w:r>
        <w:rPr>
          <w:color w:val="auto"/>
          <w:highlight w:val="none"/>
        </w:rPr>
        <w:t>要会计政策</w:t>
      </w:r>
      <w:r>
        <w:rPr>
          <w:rFonts w:hint="eastAsia"/>
          <w:color w:val="auto"/>
          <w:highlight w:val="none"/>
        </w:rPr>
        <w:t>和</w:t>
      </w:r>
      <w:r>
        <w:rPr>
          <w:color w:val="auto"/>
          <w:highlight w:val="none"/>
        </w:rPr>
        <w:t>会计估计</w:t>
      </w:r>
    </w:p>
    <w:p>
      <w:pPr>
        <w:pStyle w:val="44"/>
        <w:jc w:val="left"/>
        <w:rPr>
          <w:color w:val="auto"/>
          <w:highlight w:val="none"/>
        </w:rPr>
      </w:pPr>
      <w:r>
        <w:rPr>
          <w:rFonts w:hint="eastAsia"/>
          <w:color w:val="auto"/>
          <w:highlight w:val="none"/>
        </w:rPr>
        <w:t>国有独资或全资企业之间无偿划拨子公司（适用于划入企业）</w:t>
      </w:r>
    </w:p>
    <w:p>
      <w:pPr>
        <w:pStyle w:val="35"/>
        <w:rPr>
          <w:color w:val="auto"/>
          <w:highlight w:val="none"/>
        </w:rPr>
      </w:pPr>
      <w:r>
        <w:rPr>
          <w:rFonts w:hint="eastAsia"/>
          <w:color w:val="auto"/>
          <w:highlight w:val="none"/>
        </w:rPr>
        <w:t>在</w:t>
      </w:r>
      <w:r>
        <w:rPr>
          <w:rFonts w:hint="eastAsia" w:ascii="宋体" w:hAnsi="宋体"/>
          <w:color w:val="auto"/>
          <w:highlight w:val="none"/>
        </w:rPr>
        <w:t>“</w:t>
      </w:r>
      <w:r>
        <w:rPr>
          <w:rFonts w:hint="eastAsia"/>
          <w:color w:val="auto"/>
          <w:highlight w:val="none"/>
        </w:rPr>
        <w:t>三去一降一补</w:t>
      </w:r>
      <w:r>
        <w:rPr>
          <w:rFonts w:hint="eastAsia" w:ascii="宋体" w:hAnsi="宋体"/>
          <w:color w:val="auto"/>
          <w:highlight w:val="none"/>
        </w:rPr>
        <w:t>”</w:t>
      </w:r>
      <w:r>
        <w:rPr>
          <w:rFonts w:hint="eastAsia"/>
          <w:color w:val="auto"/>
          <w:highlight w:val="none"/>
        </w:rPr>
        <w:t>工作中，按照国有资产监管部门有关规定，本公司无偿取得子公司股权，本公司与划出企业均为国有独资（或全资）企业。</w:t>
      </w:r>
    </w:p>
    <w:p>
      <w:pPr>
        <w:pStyle w:val="35"/>
        <w:tabs>
          <w:tab w:val="clear" w:pos="0"/>
        </w:tabs>
        <w:ind w:left="708" w:leftChars="337"/>
        <w:rPr>
          <w:color w:val="auto"/>
          <w:highlight w:val="none"/>
        </w:rPr>
      </w:pPr>
      <w:r>
        <w:rPr>
          <w:rFonts w:hint="eastAsia"/>
          <w:color w:val="auto"/>
          <w:highlight w:val="none"/>
        </w:rPr>
        <w:t>（1）个别财务报表</w:t>
      </w:r>
    </w:p>
    <w:p>
      <w:pPr>
        <w:pStyle w:val="35"/>
        <w:rPr>
          <w:color w:val="auto"/>
          <w:highlight w:val="none"/>
        </w:rPr>
      </w:pPr>
      <w:r>
        <w:rPr>
          <w:rFonts w:hint="eastAsia"/>
          <w:color w:val="auto"/>
          <w:highlight w:val="none"/>
        </w:rPr>
        <w:t>本公司在取得被划拨企业的控制权之日，根据国资监管部门批复的有关金额确认对被划拨企业的长期股权投资，同时调整资本公积（资本溢价）。</w:t>
      </w:r>
    </w:p>
    <w:p>
      <w:pPr>
        <w:pStyle w:val="35"/>
        <w:tabs>
          <w:tab w:val="clear" w:pos="0"/>
        </w:tabs>
        <w:ind w:left="708" w:leftChars="337"/>
        <w:rPr>
          <w:color w:val="auto"/>
          <w:highlight w:val="none"/>
        </w:rPr>
      </w:pPr>
      <w:r>
        <w:rPr>
          <w:rFonts w:hint="eastAsia"/>
          <w:color w:val="auto"/>
          <w:highlight w:val="none"/>
        </w:rPr>
        <w:t>（2）合并财务报表</w:t>
      </w:r>
    </w:p>
    <w:p>
      <w:pPr>
        <w:pStyle w:val="35"/>
        <w:rPr>
          <w:color w:val="auto"/>
          <w:highlight w:val="none"/>
        </w:rPr>
      </w:pPr>
      <w:r>
        <w:rPr>
          <w:rFonts w:hint="eastAsia"/>
          <w:color w:val="auto"/>
          <w:highlight w:val="none"/>
        </w:rPr>
        <w:t>本公司在取得被划拨企业的控制权后将被划拨企业纳入合并财务报表。</w:t>
      </w:r>
    </w:p>
    <w:p>
      <w:pPr>
        <w:pStyle w:val="35"/>
        <w:rPr>
          <w:color w:val="auto"/>
          <w:highlight w:val="none"/>
        </w:rPr>
      </w:pPr>
      <w:r>
        <w:rPr>
          <w:rFonts w:hint="eastAsia"/>
          <w:color w:val="auto"/>
          <w:highlight w:val="none"/>
        </w:rPr>
        <w:t>被划入企业的各项资产、负债，以经审计等确定并经国资监管部门批复的账面价值持续计算至控制日的金额，计入划入企业的合并资产负债表，同时调整资本公积（资本溢价）。对于被划拨企业自国资监管部门批复的基准日至控制权转移日实现的留存收益，以本公司资本公积（资本溢价）贷方余额为限，自资本公积转入留存收益。</w:t>
      </w:r>
    </w:p>
    <w:p>
      <w:pPr>
        <w:pStyle w:val="35"/>
        <w:rPr>
          <w:color w:val="auto"/>
          <w:highlight w:val="none"/>
        </w:rPr>
      </w:pPr>
      <w:r>
        <w:rPr>
          <w:rFonts w:hint="eastAsia"/>
          <w:color w:val="auto"/>
          <w:highlight w:val="none"/>
        </w:rPr>
        <w:t>本公司取得被划拨企业控制权当期的合并利润表、合并现金流量表及合并所有者权益变动表反映被划拨企业自国资监管部门批复的基准日至控制权转移当期期末发生的净利润、现金流量及所有者权益变动金额。</w:t>
      </w:r>
    </w:p>
    <w:p>
      <w:pPr>
        <w:pStyle w:val="38"/>
        <w:rPr>
          <w:color w:val="auto"/>
          <w:highlight w:val="none"/>
        </w:rPr>
      </w:pPr>
    </w:p>
    <w:p>
      <w:pPr>
        <w:pStyle w:val="44"/>
        <w:jc w:val="left"/>
        <w:rPr>
          <w:color w:val="auto"/>
          <w:highlight w:val="none"/>
        </w:rPr>
      </w:pPr>
      <w:r>
        <w:rPr>
          <w:rFonts w:hint="eastAsia"/>
          <w:color w:val="auto"/>
          <w:highlight w:val="none"/>
        </w:rPr>
        <w:t>国有独资或全资企业之间无偿划拨子公司（适用于划出企业）</w:t>
      </w:r>
    </w:p>
    <w:p>
      <w:pPr>
        <w:pStyle w:val="35"/>
        <w:rPr>
          <w:color w:val="auto"/>
          <w:highlight w:val="none"/>
        </w:rPr>
      </w:pPr>
      <w:r>
        <w:rPr>
          <w:rFonts w:hint="eastAsia"/>
          <w:color w:val="auto"/>
          <w:highlight w:val="none"/>
        </w:rPr>
        <w:t>在</w:t>
      </w:r>
      <w:r>
        <w:rPr>
          <w:rFonts w:hint="eastAsia" w:ascii="宋体" w:hAnsi="宋体"/>
          <w:color w:val="auto"/>
          <w:highlight w:val="none"/>
        </w:rPr>
        <w:t>“</w:t>
      </w:r>
      <w:r>
        <w:rPr>
          <w:rFonts w:hint="eastAsia"/>
          <w:color w:val="auto"/>
          <w:highlight w:val="none"/>
        </w:rPr>
        <w:t>三去一降一补</w:t>
      </w:r>
      <w:r>
        <w:rPr>
          <w:rFonts w:hint="eastAsia" w:ascii="宋体" w:hAnsi="宋体"/>
          <w:color w:val="auto"/>
          <w:highlight w:val="none"/>
        </w:rPr>
        <w:t>”</w:t>
      </w:r>
      <w:r>
        <w:rPr>
          <w:rFonts w:hint="eastAsia"/>
          <w:color w:val="auto"/>
          <w:highlight w:val="none"/>
        </w:rPr>
        <w:t>工作中，根据国有资产监管部门的有关规定，本公司将原子公司股权无偿划出，本公司与划入企业均为国有独资（或全资）企业。</w:t>
      </w:r>
    </w:p>
    <w:p>
      <w:pPr>
        <w:pStyle w:val="35"/>
        <w:tabs>
          <w:tab w:val="clear" w:pos="0"/>
        </w:tabs>
        <w:ind w:left="708" w:leftChars="337"/>
        <w:rPr>
          <w:color w:val="auto"/>
          <w:highlight w:val="none"/>
        </w:rPr>
      </w:pPr>
      <w:r>
        <w:rPr>
          <w:rFonts w:hint="eastAsia"/>
          <w:color w:val="auto"/>
          <w:highlight w:val="none"/>
        </w:rPr>
        <w:t>（1）个别财务报表</w:t>
      </w:r>
    </w:p>
    <w:p>
      <w:pPr>
        <w:pStyle w:val="35"/>
        <w:rPr>
          <w:color w:val="auto"/>
          <w:highlight w:val="none"/>
        </w:rPr>
      </w:pPr>
      <w:r>
        <w:rPr>
          <w:rFonts w:hint="eastAsia"/>
          <w:color w:val="auto"/>
          <w:highlight w:val="none"/>
        </w:rPr>
        <w:t>本公司自丧失被划拨企业控制权之日起，终止确认对被划拨企业的长期股权投资。同时，冲减资本公积（资本溢价），资本公积（资本溢价）不足冲减的，依次冲减盈余公积和未分配利润。</w:t>
      </w:r>
    </w:p>
    <w:p>
      <w:pPr>
        <w:pStyle w:val="35"/>
        <w:tabs>
          <w:tab w:val="clear" w:pos="0"/>
        </w:tabs>
        <w:ind w:left="708" w:leftChars="337"/>
        <w:rPr>
          <w:color w:val="auto"/>
          <w:highlight w:val="none"/>
        </w:rPr>
      </w:pPr>
      <w:r>
        <w:rPr>
          <w:rFonts w:hint="eastAsia"/>
          <w:color w:val="auto"/>
          <w:highlight w:val="none"/>
        </w:rPr>
        <w:t>（2）合并财务报表</w:t>
      </w:r>
    </w:p>
    <w:p>
      <w:pPr>
        <w:pStyle w:val="35"/>
        <w:rPr>
          <w:color w:val="auto"/>
          <w:highlight w:val="none"/>
        </w:rPr>
      </w:pPr>
      <w:r>
        <w:rPr>
          <w:rFonts w:hint="eastAsia"/>
          <w:color w:val="auto"/>
          <w:highlight w:val="none"/>
        </w:rPr>
        <w:t>本公司自丧失被划拨企业控制权之日起，终止确认原在合并财务报表中反映的被划拨企业相关资产、负债、少数股东权益以及其他权益项目，相关差额冲减资本公积（资本溢价），资本公积（资本溢价）不足冲减的，依次冲减盈余公积和未分配利润。同时，本公司与被划拨企业之间在控制权转移之前发生的未实现内部损益，转入资本公积（资本溢价），资本公积（资本溢价）不足冲减的，依次冲减盈余公积和未分配利润。</w:t>
      </w:r>
    </w:p>
    <w:p>
      <w:pPr>
        <w:pStyle w:val="35"/>
        <w:rPr>
          <w:color w:val="auto"/>
          <w:highlight w:val="none"/>
        </w:rPr>
      </w:pPr>
    </w:p>
    <w:p>
      <w:pPr>
        <w:pStyle w:val="43"/>
        <w:rPr>
          <w:color w:val="auto"/>
          <w:highlight w:val="none"/>
        </w:rPr>
      </w:pPr>
      <w:r>
        <w:rPr>
          <w:color w:val="auto"/>
          <w:highlight w:val="none"/>
        </w:rPr>
        <w:t>会计政策和会计估计变更以及差错更正</w:t>
      </w:r>
      <w:r>
        <w:rPr>
          <w:rFonts w:hint="eastAsia"/>
          <w:color w:val="auto"/>
          <w:highlight w:val="none"/>
        </w:rPr>
        <w:t>、其他调整</w:t>
      </w:r>
      <w:r>
        <w:rPr>
          <w:color w:val="auto"/>
          <w:highlight w:val="none"/>
        </w:rPr>
        <w:t>的说明</w:t>
      </w:r>
    </w:p>
    <w:p>
      <w:pPr>
        <w:pStyle w:val="37"/>
        <w:rPr>
          <w:color w:val="auto"/>
          <w:highlight w:val="none"/>
        </w:rPr>
      </w:pPr>
      <w:r>
        <w:rPr>
          <w:color w:val="auto"/>
          <w:highlight w:val="none"/>
        </w:rPr>
        <w:t>会计政策变更</w:t>
      </w:r>
    </w:p>
    <w:p>
      <w:pPr>
        <w:pStyle w:val="44"/>
        <w:rPr>
          <w:color w:val="auto"/>
          <w:highlight w:val="none"/>
        </w:rPr>
      </w:pPr>
      <w:r>
        <w:rPr>
          <w:color w:val="auto"/>
          <w:highlight w:val="none"/>
        </w:rPr>
        <w:t>执行《企业会计准则解释第</w:t>
      </w:r>
      <w:r>
        <w:rPr>
          <w:rFonts w:hint="eastAsia"/>
          <w:color w:val="auto"/>
          <w:highlight w:val="none"/>
        </w:rPr>
        <w:t>1</w:t>
      </w:r>
      <w:r>
        <w:rPr>
          <w:color w:val="auto"/>
          <w:highlight w:val="none"/>
        </w:rPr>
        <w:t>7号》</w:t>
      </w:r>
    </w:p>
    <w:p>
      <w:pPr>
        <w:pStyle w:val="35"/>
        <w:rPr>
          <w:color w:val="auto"/>
          <w:highlight w:val="none"/>
        </w:rPr>
      </w:pPr>
      <w:r>
        <w:rPr>
          <w:color w:val="auto"/>
          <w:highlight w:val="none"/>
        </w:rPr>
        <w:t>财政部于</w:t>
      </w:r>
      <w:r>
        <w:rPr>
          <w:rFonts w:hint="eastAsia"/>
          <w:color w:val="auto"/>
          <w:highlight w:val="none"/>
        </w:rPr>
        <w:t>2</w:t>
      </w:r>
      <w:r>
        <w:rPr>
          <w:color w:val="auto"/>
          <w:highlight w:val="none"/>
        </w:rPr>
        <w:t>023年</w:t>
      </w:r>
      <w:r>
        <w:rPr>
          <w:rFonts w:hint="eastAsia"/>
          <w:color w:val="auto"/>
          <w:highlight w:val="none"/>
        </w:rPr>
        <w:t>1</w:t>
      </w:r>
      <w:r>
        <w:rPr>
          <w:color w:val="auto"/>
          <w:highlight w:val="none"/>
        </w:rPr>
        <w:t>0月</w:t>
      </w:r>
      <w:r>
        <w:rPr>
          <w:rFonts w:hint="eastAsia"/>
          <w:color w:val="auto"/>
          <w:highlight w:val="none"/>
        </w:rPr>
        <w:t>2</w:t>
      </w:r>
      <w:r>
        <w:rPr>
          <w:color w:val="auto"/>
          <w:highlight w:val="none"/>
        </w:rPr>
        <w:t>5日</w:t>
      </w:r>
      <w:r>
        <w:rPr>
          <w:rFonts w:hint="eastAsia"/>
          <w:color w:val="auto"/>
          <w:highlight w:val="none"/>
        </w:rPr>
        <w:t>公</w:t>
      </w:r>
      <w:r>
        <w:rPr>
          <w:color w:val="auto"/>
          <w:highlight w:val="none"/>
        </w:rPr>
        <w:t>布了《企业会计准则</w:t>
      </w:r>
      <w:r>
        <w:rPr>
          <w:rFonts w:hint="eastAsia"/>
          <w:color w:val="auto"/>
          <w:highlight w:val="none"/>
        </w:rPr>
        <w:t>解释</w:t>
      </w:r>
      <w:r>
        <w:rPr>
          <w:color w:val="auto"/>
          <w:highlight w:val="none"/>
        </w:rPr>
        <w:t>第</w:t>
      </w:r>
      <w:r>
        <w:rPr>
          <w:rFonts w:hint="eastAsia"/>
          <w:color w:val="auto"/>
          <w:highlight w:val="none"/>
        </w:rPr>
        <w:t>1</w:t>
      </w:r>
      <w:r>
        <w:rPr>
          <w:color w:val="auto"/>
          <w:highlight w:val="none"/>
        </w:rPr>
        <w:t>7号》（</w:t>
      </w:r>
      <w:r>
        <w:rPr>
          <w:rFonts w:hint="eastAsia"/>
          <w:color w:val="auto"/>
          <w:highlight w:val="none"/>
        </w:rPr>
        <w:t>财会〔202</w:t>
      </w:r>
      <w:r>
        <w:rPr>
          <w:color w:val="auto"/>
          <w:highlight w:val="none"/>
        </w:rPr>
        <w:t>3</w:t>
      </w:r>
      <w:r>
        <w:rPr>
          <w:rFonts w:hint="eastAsia"/>
          <w:color w:val="auto"/>
          <w:highlight w:val="none"/>
        </w:rPr>
        <w:t>〕</w:t>
      </w:r>
      <w:r>
        <w:rPr>
          <w:color w:val="auto"/>
          <w:highlight w:val="none"/>
        </w:rPr>
        <w:t>21</w:t>
      </w:r>
      <w:r>
        <w:rPr>
          <w:rFonts w:hint="eastAsia"/>
          <w:color w:val="auto"/>
          <w:highlight w:val="none"/>
        </w:rPr>
        <w:t>号，以下简称</w:t>
      </w:r>
      <w:r>
        <w:rPr>
          <w:rFonts w:hint="eastAsia" w:ascii="宋体" w:hAnsi="宋体"/>
          <w:color w:val="auto"/>
          <w:highlight w:val="none"/>
        </w:rPr>
        <w:t>“</w:t>
      </w:r>
      <w:r>
        <w:rPr>
          <w:rFonts w:hint="eastAsia"/>
          <w:color w:val="auto"/>
          <w:highlight w:val="none"/>
        </w:rPr>
        <w:t>解释第1</w:t>
      </w:r>
      <w:r>
        <w:rPr>
          <w:color w:val="auto"/>
          <w:highlight w:val="none"/>
        </w:rPr>
        <w:t>7</w:t>
      </w:r>
      <w:r>
        <w:rPr>
          <w:rFonts w:hint="eastAsia"/>
          <w:color w:val="auto"/>
          <w:highlight w:val="none"/>
        </w:rPr>
        <w:t>号</w:t>
      </w:r>
      <w:r>
        <w:rPr>
          <w:rFonts w:hint="eastAsia" w:ascii="宋体" w:hAnsi="宋体"/>
          <w:color w:val="auto"/>
          <w:highlight w:val="none"/>
        </w:rPr>
        <w:t>”</w:t>
      </w:r>
      <w:r>
        <w:rPr>
          <w:color w:val="auto"/>
          <w:highlight w:val="none"/>
        </w:rPr>
        <w:t>）。</w:t>
      </w:r>
    </w:p>
    <w:p>
      <w:pPr>
        <w:pStyle w:val="35"/>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关于流动负债与非流动负债的划分</w:t>
      </w:r>
    </w:p>
    <w:p>
      <w:pPr>
        <w:pStyle w:val="35"/>
        <w:rPr>
          <w:color w:val="auto"/>
          <w:highlight w:val="none"/>
        </w:rPr>
      </w:pPr>
      <w:r>
        <w:rPr>
          <w:rFonts w:hint="eastAsia"/>
          <w:color w:val="auto"/>
          <w:highlight w:val="none"/>
        </w:rPr>
        <w:t>解释第17号明确：</w:t>
      </w:r>
    </w:p>
    <w:p>
      <w:pPr>
        <w:pStyle w:val="35"/>
        <w:numPr>
          <w:ilvl w:val="0"/>
          <w:numId w:val="25"/>
        </w:numPr>
        <w:rPr>
          <w:color w:val="auto"/>
          <w:highlight w:val="none"/>
        </w:rPr>
      </w:pPr>
      <w:r>
        <w:rPr>
          <w:rFonts w:hint="eastAsia"/>
          <w:color w:val="auto"/>
          <w:highlight w:val="none"/>
        </w:rPr>
        <w:t>企业在资产负债表日没有将负债清偿推迟至资产负债表日后一年以上的实质性权利的，该负债应当归类为流动负债。</w:t>
      </w:r>
    </w:p>
    <w:p>
      <w:pPr>
        <w:pStyle w:val="35"/>
        <w:numPr>
          <w:ilvl w:val="0"/>
          <w:numId w:val="25"/>
        </w:numPr>
        <w:rPr>
          <w:color w:val="auto"/>
          <w:highlight w:val="none"/>
        </w:rPr>
      </w:pPr>
      <w:r>
        <w:rPr>
          <w:rFonts w:hint="eastAsia"/>
          <w:color w:val="auto"/>
          <w:highlight w:val="none"/>
        </w:rPr>
        <w:t>对于企业贷款安排产生的负债，企业将负债清偿推迟至资产负债表日后一年以上的权利可能取决于企业是否遵循了贷款安排中规定的条件（以下简称契约条件），企业在判断其推迟债务清偿的实质性权利是否存在时，仅应考虑在资产负债表日或者之前应遵循的契约条件，不应考虑企业在资产负债表日之后应遵循的契约条件。</w:t>
      </w:r>
    </w:p>
    <w:p>
      <w:pPr>
        <w:pStyle w:val="35"/>
        <w:numPr>
          <w:ilvl w:val="0"/>
          <w:numId w:val="25"/>
        </w:numPr>
        <w:rPr>
          <w:color w:val="auto"/>
          <w:highlight w:val="none"/>
        </w:rPr>
      </w:pPr>
      <w:r>
        <w:rPr>
          <w:rFonts w:hint="eastAsia"/>
          <w:color w:val="auto"/>
          <w:highlight w:val="none"/>
        </w:rPr>
        <w:t>对负债的流动性进行划分时的负债清偿是指，企业向交易对手方以转移现金、其他经济资源（如商品或服务）或企业自身权益工具的方式解除负债。负债的条款导致企业在交易对手方选择的情况下通过交付自身权益工具进行清偿的，如果企业按照《企业会计准则第 37 号——金融工具列报》的规定将上述选择权分类为权益工具并将其作为复合金融工具的权益组成部分单独确认，则该条款不影响该项负债的流动性划分。</w:t>
      </w:r>
    </w:p>
    <w:p>
      <w:pPr>
        <w:pStyle w:val="35"/>
        <w:rPr>
          <w:color w:val="auto"/>
          <w:highlight w:val="none"/>
        </w:rPr>
      </w:pPr>
      <w:r>
        <w:rPr>
          <w:rFonts w:hint="eastAsia"/>
          <w:color w:val="auto"/>
          <w:highlight w:val="none"/>
        </w:rPr>
        <w:t>该解释规定自2024年1月1日起施行，企业在首次执行该解释规定时，应当按照该解释规定对可比期间信息进行调整。</w:t>
      </w:r>
    </w:p>
    <w:p>
      <w:pPr>
        <w:pStyle w:val="35"/>
        <w:rPr>
          <w:color w:val="auto"/>
          <w:highlight w:val="none"/>
        </w:rPr>
      </w:pPr>
      <w:r>
        <w:rPr>
          <w:rFonts w:hint="eastAsia"/>
          <w:color w:val="auto"/>
          <w:highlight w:val="none"/>
        </w:rPr>
        <w:t>执行该规定未对本公司财务状况和经营成果产生重大影响。</w:t>
      </w:r>
    </w:p>
    <w:p>
      <w:pPr>
        <w:pStyle w:val="35"/>
        <w:rPr>
          <w:color w:val="auto"/>
          <w:highlight w:val="none"/>
        </w:rPr>
      </w:pPr>
    </w:p>
    <w:p>
      <w:pPr>
        <w:pStyle w:val="35"/>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关于供应商融资安排的披露</w:t>
      </w:r>
    </w:p>
    <w:p>
      <w:pPr>
        <w:pStyle w:val="35"/>
        <w:rPr>
          <w:color w:val="auto"/>
          <w:highlight w:val="none"/>
        </w:rPr>
      </w:pPr>
      <w:r>
        <w:rPr>
          <w:rFonts w:hint="eastAsia"/>
          <w:color w:val="auto"/>
          <w:highlight w:val="none"/>
        </w:rPr>
        <w:t>解释第17号要求企业在进行附注披露时，应当汇总披露与供应商融资安排有关的信息，以有助于报表使用者评估这些安排对该企业负债、现金流量以及该企业流动性风险敞口的影响。在识别和披露流动性风险信息时也应当考虑供应商融资安排的影响。该披露规定仅适用于供应商融资安排。供应商融资安排是指具有下列特征的交易：一个或多个融资提供方提供资金，为企业支付其应付供应商的款项，并约定该企业根据安排的条款和条件，在其供应商收到款项的当天或之后向融资提供方还款。与原付款到期日相比，供应商融资安排延长了该企业的付款期，或者提前了该企业供应商的收款期。</w:t>
      </w:r>
    </w:p>
    <w:p>
      <w:pPr>
        <w:pStyle w:val="35"/>
        <w:rPr>
          <w:color w:val="auto"/>
          <w:highlight w:val="none"/>
        </w:rPr>
      </w:pPr>
      <w:r>
        <w:rPr>
          <w:color w:val="auto"/>
          <w:highlight w:val="none"/>
        </w:rPr>
        <w:t>该解释规定自</w:t>
      </w:r>
      <w:r>
        <w:rPr>
          <w:rFonts w:hint="eastAsia"/>
          <w:color w:val="auto"/>
          <w:highlight w:val="none"/>
        </w:rPr>
        <w:t>2</w:t>
      </w:r>
      <w:r>
        <w:rPr>
          <w:color w:val="auto"/>
          <w:highlight w:val="none"/>
        </w:rPr>
        <w:t>024年</w:t>
      </w:r>
      <w:r>
        <w:rPr>
          <w:rFonts w:hint="eastAsia"/>
          <w:color w:val="auto"/>
          <w:highlight w:val="none"/>
        </w:rPr>
        <w:t>1月1日起施行，企业在首次执行该解释规定时，无需披露可比期间相关信息及部分期初信息。</w:t>
      </w:r>
    </w:p>
    <w:p>
      <w:pPr>
        <w:pStyle w:val="35"/>
        <w:rPr>
          <w:color w:val="auto"/>
          <w:highlight w:val="none"/>
        </w:rPr>
      </w:pPr>
      <w:r>
        <w:rPr>
          <w:color w:val="auto"/>
          <w:highlight w:val="none"/>
        </w:rPr>
        <w:t>执行该规定未对本公司财务状况和经营成果产生重大影响。</w:t>
      </w:r>
    </w:p>
    <w:p>
      <w:pPr>
        <w:pStyle w:val="35"/>
        <w:rPr>
          <w:color w:val="auto"/>
          <w:highlight w:val="none"/>
        </w:rPr>
      </w:pPr>
    </w:p>
    <w:p>
      <w:pPr>
        <w:pStyle w:val="35"/>
        <w:rPr>
          <w:color w:val="auto"/>
          <w:highlight w:val="none"/>
        </w:rPr>
      </w:pPr>
      <w:r>
        <w:rPr>
          <w:rFonts w:hint="eastAsia"/>
          <w:color w:val="auto"/>
          <w:highlight w:val="none"/>
        </w:rPr>
        <w:t>③关于售后租回交易的会计处理</w:t>
      </w:r>
    </w:p>
    <w:p>
      <w:pPr>
        <w:pStyle w:val="35"/>
        <w:rPr>
          <w:color w:val="auto"/>
          <w:highlight w:val="none"/>
        </w:rPr>
      </w:pPr>
      <w:r>
        <w:rPr>
          <w:rFonts w:hint="eastAsia"/>
          <w:color w:val="auto"/>
          <w:highlight w:val="none"/>
        </w:rPr>
        <w:t>解释第1</w:t>
      </w:r>
      <w:r>
        <w:rPr>
          <w:color w:val="auto"/>
          <w:highlight w:val="none"/>
        </w:rPr>
        <w:t>7</w:t>
      </w:r>
      <w:r>
        <w:rPr>
          <w:rFonts w:hint="eastAsia"/>
          <w:color w:val="auto"/>
          <w:highlight w:val="none"/>
        </w:rPr>
        <w:t>号规定，</w:t>
      </w:r>
      <w:bookmarkStart w:id="61" w:name="OLE_LINK2"/>
      <w:r>
        <w:rPr>
          <w:rFonts w:hint="eastAsia"/>
          <w:color w:val="auto"/>
          <w:highlight w:val="none"/>
        </w:rPr>
        <w:t>承租人在对售后租回所形成的租赁负债进行后续计量时，确定租赁付款额或变更后租赁付款额的方式不得导致其确认与租回所获得的使用权有关的利得或损失。</w:t>
      </w:r>
      <w:bookmarkEnd w:id="61"/>
      <w:r>
        <w:rPr>
          <w:rFonts w:hint="eastAsia"/>
          <w:color w:val="auto"/>
          <w:highlight w:val="none"/>
        </w:rPr>
        <w:t>企业在首次执行该规定时，应当对《企业会计准则第 21 号——租赁》首次执行日后开展的售后租回交易进行追溯调整。</w:t>
      </w:r>
    </w:p>
    <w:p>
      <w:pPr>
        <w:pStyle w:val="35"/>
        <w:rPr>
          <w:color w:val="auto"/>
          <w:highlight w:val="none"/>
        </w:rPr>
      </w:pPr>
      <w:r>
        <w:rPr>
          <w:rFonts w:hint="eastAsia"/>
          <w:color w:val="auto"/>
          <w:highlight w:val="none"/>
        </w:rPr>
        <w:t>该解释规定自2024年1月1日起施行，允许企业自发布年度提前执行。本公司自</w:t>
      </w:r>
      <w:r>
        <w:rPr>
          <w:color w:val="auto"/>
          <w:highlight w:val="none"/>
        </w:rPr>
        <w:t>202</w:t>
      </w:r>
      <w:r>
        <w:rPr>
          <w:rFonts w:hint="eastAsia"/>
          <w:color w:val="auto"/>
          <w:highlight w:val="none"/>
        </w:rPr>
        <w:t>4年1月1日起执行该规定。</w:t>
      </w:r>
    </w:p>
    <w:p>
      <w:pPr>
        <w:pStyle w:val="35"/>
        <w:rPr>
          <w:rFonts w:hint="eastAsia"/>
          <w:color w:val="auto"/>
          <w:highlight w:val="none"/>
        </w:rPr>
      </w:pPr>
      <w:r>
        <w:rPr>
          <w:rFonts w:hint="eastAsia"/>
          <w:color w:val="auto"/>
          <w:highlight w:val="none"/>
        </w:rPr>
        <w:t>执行该规定未对本公司财务状况和经营成果产生重大影响。</w:t>
      </w:r>
      <w:r>
        <w:rPr>
          <w:color w:val="auto"/>
          <w:highlight w:val="none"/>
        </w:rPr>
        <w:t xml:space="preserve"> </w:t>
      </w:r>
    </w:p>
    <w:p>
      <w:pPr>
        <w:pStyle w:val="35"/>
        <w:rPr>
          <w:color w:val="auto"/>
          <w:highlight w:val="none"/>
        </w:rPr>
      </w:pPr>
    </w:p>
    <w:p>
      <w:pPr>
        <w:pStyle w:val="44"/>
        <w:rPr>
          <w:color w:val="auto"/>
          <w:highlight w:val="none"/>
        </w:rPr>
      </w:pPr>
      <w:r>
        <w:rPr>
          <w:rFonts w:hint="eastAsia"/>
          <w:color w:val="auto"/>
          <w:highlight w:val="none"/>
        </w:rPr>
        <w:t>执行《企业数据资源相关会计处理暂行规定》</w:t>
      </w:r>
    </w:p>
    <w:p>
      <w:pPr>
        <w:pStyle w:val="35"/>
        <w:rPr>
          <w:color w:val="auto"/>
          <w:highlight w:val="none"/>
        </w:rPr>
      </w:pPr>
      <w:r>
        <w:rPr>
          <w:rFonts w:hint="eastAsia"/>
          <w:color w:val="auto"/>
          <w:highlight w:val="none"/>
        </w:rPr>
        <w:t>财政部于2023年8月1日发布了《企业数据资源相关会计处理暂行规定》（财会〔2023〕1</w:t>
      </w:r>
      <w:r>
        <w:rPr>
          <w:color w:val="auto"/>
          <w:highlight w:val="none"/>
        </w:rPr>
        <w:t>1</w:t>
      </w:r>
      <w:r>
        <w:rPr>
          <w:rFonts w:hint="eastAsia"/>
          <w:color w:val="auto"/>
          <w:highlight w:val="none"/>
        </w:rPr>
        <w:t>号），适用于符合企业会计准则相关规定确认为无形资产或存货等资产的数据资源，以及企业合法拥有或控制的、预期会给企业带来经济利益的、但不满足资产确认条件而未予确认的数据资源的相关会计处理，并对数据资源的披露提出了具体要求。</w:t>
      </w:r>
    </w:p>
    <w:p>
      <w:pPr>
        <w:pStyle w:val="35"/>
        <w:rPr>
          <w:color w:val="auto"/>
          <w:highlight w:val="none"/>
        </w:rPr>
      </w:pPr>
      <w:r>
        <w:rPr>
          <w:rFonts w:hint="eastAsia"/>
          <w:color w:val="auto"/>
          <w:highlight w:val="none"/>
        </w:rPr>
        <w:t>该规定自2024年1月1日起施行，企业应当采用未来适用法，该规定施行前</w:t>
      </w:r>
    </w:p>
    <w:p>
      <w:pPr>
        <w:pStyle w:val="35"/>
        <w:rPr>
          <w:color w:val="auto"/>
          <w:highlight w:val="none"/>
        </w:rPr>
      </w:pPr>
      <w:r>
        <w:rPr>
          <w:rFonts w:hint="eastAsia"/>
          <w:color w:val="auto"/>
          <w:highlight w:val="none"/>
        </w:rPr>
        <w:t>已经费用化计入损益的数据资源相关支出不再调整。执行该规定未对本公司财务状况和经营成果产生重大影响。</w:t>
      </w:r>
    </w:p>
    <w:p>
      <w:pPr>
        <w:pStyle w:val="35"/>
        <w:rPr>
          <w:rFonts w:asciiTheme="minorHAnsi" w:hAnsiTheme="minorHAnsi" w:eastAsiaTheme="minorEastAsia" w:cstheme="minorBidi"/>
          <w:color w:val="auto"/>
          <w:highlight w:val="none"/>
        </w:rPr>
      </w:pPr>
    </w:p>
    <w:p>
      <w:pPr>
        <w:pStyle w:val="44"/>
        <w:rPr>
          <w:color w:val="auto"/>
          <w:highlight w:val="none"/>
        </w:rPr>
      </w:pPr>
      <w:r>
        <w:rPr>
          <w:rFonts w:hint="eastAsia"/>
          <w:color w:val="auto"/>
          <w:highlight w:val="none"/>
        </w:rPr>
        <w:t>执行《企业会计准则解释第18号》</w:t>
      </w:r>
      <w:r>
        <w:rPr>
          <w:rFonts w:hint="eastAsia" w:ascii="宋体" w:hAnsi="宋体"/>
          <w:color w:val="auto"/>
          <w:highlight w:val="none"/>
        </w:rPr>
        <w:t>“</w:t>
      </w:r>
      <w:r>
        <w:rPr>
          <w:rFonts w:hint="eastAsia"/>
          <w:color w:val="auto"/>
          <w:highlight w:val="none"/>
        </w:rPr>
        <w:t>关于不属于单项履约义务的保证类质量保证的会计处理</w:t>
      </w:r>
      <w:r>
        <w:rPr>
          <w:rFonts w:hint="eastAsia" w:ascii="宋体" w:hAnsi="宋体"/>
          <w:color w:val="auto"/>
          <w:highlight w:val="none"/>
        </w:rPr>
        <w:t>”</w:t>
      </w:r>
      <w:r>
        <w:rPr>
          <w:rFonts w:hint="eastAsia"/>
          <w:color w:val="auto"/>
          <w:highlight w:val="none"/>
        </w:rPr>
        <w:t>的规定</w:t>
      </w:r>
    </w:p>
    <w:p>
      <w:pPr>
        <w:pStyle w:val="35"/>
        <w:rPr>
          <w:color w:val="auto"/>
          <w:highlight w:val="none"/>
        </w:rPr>
      </w:pPr>
      <w:r>
        <w:rPr>
          <w:rFonts w:hint="eastAsia"/>
          <w:color w:val="auto"/>
          <w:highlight w:val="none"/>
        </w:rPr>
        <w:t>财政部于2024年12月6日发布了《企业会计准则解释第18号》（财会〔2024〕24号，以下简称</w:t>
      </w:r>
      <w:r>
        <w:rPr>
          <w:rFonts w:hint="eastAsia" w:ascii="宋体" w:hAnsi="宋体"/>
          <w:color w:val="auto"/>
          <w:highlight w:val="none"/>
        </w:rPr>
        <w:t>“</w:t>
      </w:r>
      <w:r>
        <w:rPr>
          <w:rFonts w:hint="eastAsia"/>
          <w:color w:val="auto"/>
          <w:highlight w:val="none"/>
        </w:rPr>
        <w:t>解释第18号</w:t>
      </w:r>
      <w:r>
        <w:rPr>
          <w:rFonts w:hint="eastAsia" w:ascii="宋体" w:hAnsi="宋体"/>
          <w:color w:val="auto"/>
          <w:highlight w:val="none"/>
        </w:rPr>
        <w:t>”</w:t>
      </w:r>
      <w:r>
        <w:rPr>
          <w:rFonts w:hint="eastAsia"/>
          <w:color w:val="auto"/>
          <w:highlight w:val="none"/>
        </w:rPr>
        <w:t>），该解释自印发之日起施行，允许企业自发布年度提前执行。</w:t>
      </w:r>
    </w:p>
    <w:p>
      <w:pPr>
        <w:pStyle w:val="35"/>
        <w:rPr>
          <w:color w:val="auto"/>
          <w:highlight w:val="none"/>
        </w:rPr>
      </w:pPr>
      <w:r>
        <w:rPr>
          <w:rFonts w:hint="eastAsia"/>
          <w:color w:val="auto"/>
          <w:highlight w:val="none"/>
        </w:rPr>
        <w:t>解释第18号规定，在对因不属于单项履约义务的保证类质量保证产生的预计负债进行会计核算时，应当根据《企业会计准则第13号——或有事项》有关规定，按确定的预计负债金额，借记</w:t>
      </w:r>
      <w:r>
        <w:rPr>
          <w:rFonts w:hint="eastAsia" w:ascii="宋体" w:hAnsi="宋体"/>
          <w:color w:val="auto"/>
          <w:highlight w:val="none"/>
        </w:rPr>
        <w:t>“</w:t>
      </w:r>
      <w:r>
        <w:rPr>
          <w:rFonts w:hint="eastAsia"/>
          <w:color w:val="auto"/>
          <w:highlight w:val="none"/>
        </w:rPr>
        <w:t>主营业务成本</w:t>
      </w:r>
      <w:r>
        <w:rPr>
          <w:rFonts w:hint="eastAsia" w:ascii="宋体" w:hAnsi="宋体"/>
          <w:color w:val="auto"/>
          <w:highlight w:val="none"/>
        </w:rPr>
        <w:t>”</w:t>
      </w:r>
      <w:r>
        <w:rPr>
          <w:rFonts w:hint="eastAsia"/>
          <w:color w:val="auto"/>
          <w:highlight w:val="none"/>
        </w:rPr>
        <w:t>、</w:t>
      </w:r>
      <w:r>
        <w:rPr>
          <w:rFonts w:hint="eastAsia" w:ascii="宋体" w:hAnsi="宋体"/>
          <w:color w:val="auto"/>
          <w:highlight w:val="none"/>
        </w:rPr>
        <w:t>“</w:t>
      </w:r>
      <w:r>
        <w:rPr>
          <w:rFonts w:hint="eastAsia"/>
          <w:color w:val="auto"/>
          <w:highlight w:val="none"/>
        </w:rPr>
        <w:t>其他业务成本</w:t>
      </w:r>
      <w:r>
        <w:rPr>
          <w:rFonts w:hint="eastAsia" w:ascii="宋体" w:hAnsi="宋体"/>
          <w:color w:val="auto"/>
          <w:highlight w:val="none"/>
        </w:rPr>
        <w:t>”</w:t>
      </w:r>
      <w:r>
        <w:rPr>
          <w:rFonts w:hint="eastAsia"/>
          <w:color w:val="auto"/>
          <w:highlight w:val="none"/>
        </w:rPr>
        <w:t>等科目，贷记</w:t>
      </w:r>
      <w:r>
        <w:rPr>
          <w:rFonts w:hint="eastAsia" w:ascii="宋体" w:hAnsi="宋体"/>
          <w:color w:val="auto"/>
          <w:highlight w:val="none"/>
        </w:rPr>
        <w:t>“</w:t>
      </w:r>
      <w:r>
        <w:rPr>
          <w:rFonts w:hint="eastAsia"/>
          <w:color w:val="auto"/>
          <w:highlight w:val="none"/>
        </w:rPr>
        <w:t>预计负债</w:t>
      </w:r>
      <w:r>
        <w:rPr>
          <w:rFonts w:hint="eastAsia" w:ascii="宋体" w:hAnsi="宋体"/>
          <w:color w:val="auto"/>
          <w:highlight w:val="none"/>
        </w:rPr>
        <w:t>”</w:t>
      </w:r>
      <w:r>
        <w:rPr>
          <w:rFonts w:hint="eastAsia"/>
          <w:color w:val="auto"/>
          <w:highlight w:val="none"/>
        </w:rPr>
        <w:t>科目，并相应在利润表中的</w:t>
      </w:r>
      <w:r>
        <w:rPr>
          <w:rFonts w:hint="eastAsia" w:ascii="宋体" w:hAnsi="宋体"/>
          <w:color w:val="auto"/>
          <w:highlight w:val="none"/>
        </w:rPr>
        <w:t>“</w:t>
      </w:r>
      <w:r>
        <w:rPr>
          <w:rFonts w:hint="eastAsia"/>
          <w:color w:val="auto"/>
          <w:highlight w:val="none"/>
        </w:rPr>
        <w:t>营业成本</w:t>
      </w:r>
      <w:r>
        <w:rPr>
          <w:rFonts w:hint="eastAsia" w:ascii="宋体" w:hAnsi="宋体"/>
          <w:color w:val="auto"/>
          <w:highlight w:val="none"/>
        </w:rPr>
        <w:t>”</w:t>
      </w:r>
      <w:r>
        <w:rPr>
          <w:rFonts w:hint="eastAsia"/>
          <w:color w:val="auto"/>
          <w:highlight w:val="none"/>
        </w:rPr>
        <w:t>和资产负债表中的</w:t>
      </w:r>
      <w:r>
        <w:rPr>
          <w:rFonts w:hint="eastAsia" w:ascii="宋体" w:hAnsi="宋体"/>
          <w:color w:val="auto"/>
          <w:highlight w:val="none"/>
        </w:rPr>
        <w:t>“</w:t>
      </w:r>
      <w:r>
        <w:rPr>
          <w:rFonts w:hint="eastAsia"/>
          <w:color w:val="auto"/>
          <w:highlight w:val="none"/>
        </w:rPr>
        <w:t>其他流动负债</w:t>
      </w:r>
      <w:r>
        <w:rPr>
          <w:rFonts w:hint="eastAsia" w:ascii="宋体" w:hAnsi="宋体"/>
          <w:color w:val="auto"/>
          <w:highlight w:val="none"/>
        </w:rPr>
        <w:t>”</w:t>
      </w:r>
      <w:r>
        <w:rPr>
          <w:rFonts w:hint="eastAsia"/>
          <w:color w:val="auto"/>
          <w:highlight w:val="none"/>
        </w:rPr>
        <w:t>、</w:t>
      </w:r>
      <w:r>
        <w:rPr>
          <w:rFonts w:hint="eastAsia" w:ascii="宋体" w:hAnsi="宋体"/>
          <w:color w:val="auto"/>
          <w:highlight w:val="none"/>
        </w:rPr>
        <w:t>“</w:t>
      </w:r>
      <w:r>
        <w:rPr>
          <w:rFonts w:hint="eastAsia"/>
          <w:color w:val="auto"/>
          <w:highlight w:val="none"/>
        </w:rPr>
        <w:t>一年内到期的非流动负债</w:t>
      </w:r>
      <w:r>
        <w:rPr>
          <w:rFonts w:hint="eastAsia" w:ascii="宋体" w:hAnsi="宋体"/>
          <w:color w:val="auto"/>
          <w:highlight w:val="none"/>
        </w:rPr>
        <w:t>”</w:t>
      </w:r>
      <w:r>
        <w:rPr>
          <w:rFonts w:hint="eastAsia"/>
          <w:color w:val="auto"/>
          <w:highlight w:val="none"/>
        </w:rPr>
        <w:t>、</w:t>
      </w:r>
      <w:r>
        <w:rPr>
          <w:rFonts w:hint="eastAsia" w:ascii="宋体" w:hAnsi="宋体"/>
          <w:color w:val="auto"/>
          <w:highlight w:val="none"/>
        </w:rPr>
        <w:t>“</w:t>
      </w:r>
      <w:r>
        <w:rPr>
          <w:rFonts w:hint="eastAsia"/>
          <w:color w:val="auto"/>
          <w:highlight w:val="none"/>
        </w:rPr>
        <w:t>预计负债</w:t>
      </w:r>
      <w:r>
        <w:rPr>
          <w:rFonts w:hint="eastAsia" w:ascii="宋体" w:hAnsi="宋体"/>
          <w:color w:val="auto"/>
          <w:highlight w:val="none"/>
        </w:rPr>
        <w:t>”</w:t>
      </w:r>
      <w:r>
        <w:rPr>
          <w:rFonts w:hint="eastAsia"/>
          <w:color w:val="auto"/>
          <w:highlight w:val="none"/>
        </w:rPr>
        <w:t>等项目列示。</w:t>
      </w:r>
    </w:p>
    <w:p>
      <w:pPr>
        <w:pStyle w:val="35"/>
        <w:rPr>
          <w:color w:val="auto"/>
          <w:highlight w:val="none"/>
        </w:rPr>
      </w:pPr>
      <w:r>
        <w:rPr>
          <w:rFonts w:hint="eastAsia"/>
          <w:color w:val="auto"/>
          <w:highlight w:val="none"/>
        </w:rPr>
        <w:t>企业在首次执行该解释内容时，如原计提保证类质量保证时计入</w:t>
      </w:r>
      <w:r>
        <w:rPr>
          <w:rFonts w:hint="eastAsia" w:ascii="宋体" w:hAnsi="宋体"/>
          <w:color w:val="auto"/>
          <w:highlight w:val="none"/>
        </w:rPr>
        <w:t>“</w:t>
      </w:r>
      <w:r>
        <w:rPr>
          <w:rFonts w:hint="eastAsia"/>
          <w:color w:val="auto"/>
          <w:highlight w:val="none"/>
        </w:rPr>
        <w:t>销售费用</w:t>
      </w:r>
      <w:r>
        <w:rPr>
          <w:rFonts w:hint="eastAsia" w:ascii="宋体" w:hAnsi="宋体"/>
          <w:color w:val="auto"/>
          <w:highlight w:val="none"/>
        </w:rPr>
        <w:t>”</w:t>
      </w:r>
      <w:r>
        <w:rPr>
          <w:rFonts w:hint="eastAsia"/>
          <w:color w:val="auto"/>
          <w:highlight w:val="none"/>
        </w:rPr>
        <w:t>等的，应当按照会计政策变更进行追溯调整。</w:t>
      </w:r>
    </w:p>
    <w:p>
      <w:pPr>
        <w:pStyle w:val="35"/>
        <w:rPr>
          <w:color w:val="auto"/>
          <w:highlight w:val="none"/>
        </w:rPr>
      </w:pPr>
      <w:r>
        <w:rPr>
          <w:rFonts w:hint="eastAsia"/>
          <w:color w:val="auto"/>
          <w:highlight w:val="none"/>
        </w:rPr>
        <w:t>执行该规定未对本公司财务状况和经营成果产生重大影响。</w:t>
      </w:r>
    </w:p>
    <w:p>
      <w:pPr>
        <w:pStyle w:val="38"/>
        <w:rPr>
          <w:color w:val="auto"/>
          <w:highlight w:val="none"/>
        </w:rPr>
      </w:pPr>
    </w:p>
    <w:p>
      <w:pPr>
        <w:pStyle w:val="43"/>
        <w:rPr>
          <w:rFonts w:eastAsiaTheme="minorEastAsia"/>
          <w:color w:val="auto"/>
          <w:highlight w:val="none"/>
        </w:rPr>
      </w:pPr>
      <w:r>
        <w:rPr>
          <w:rFonts w:eastAsiaTheme="minorEastAsia"/>
          <w:color w:val="auto"/>
          <w:highlight w:val="none"/>
        </w:rPr>
        <w:t>税项</w:t>
      </w:r>
    </w:p>
    <w:p>
      <w:pPr>
        <w:pStyle w:val="37"/>
        <w:rPr>
          <w:rFonts w:eastAsiaTheme="minorEastAsia"/>
          <w:color w:val="auto"/>
          <w:highlight w:val="none"/>
        </w:rPr>
      </w:pPr>
      <w:r>
        <w:rPr>
          <w:rFonts w:eastAsiaTheme="minorEastAsia"/>
          <w:color w:val="auto"/>
          <w:highlight w:val="none"/>
        </w:rPr>
        <w:t>主要税种</w:t>
      </w:r>
      <w:r>
        <w:rPr>
          <w:rFonts w:hint="eastAsia" w:eastAsiaTheme="minorEastAsia"/>
          <w:color w:val="auto"/>
          <w:highlight w:val="none"/>
        </w:rPr>
        <w:t>及</w:t>
      </w:r>
      <w:r>
        <w:rPr>
          <w:rFonts w:eastAsiaTheme="minorEastAsia"/>
          <w:color w:val="auto"/>
          <w:highlight w:val="none"/>
        </w:rPr>
        <w:t>税率</w:t>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11"/>
        <w:gridCol w:w="4585"/>
        <w:gridCol w:w="179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106" w:type="pct"/>
            <w:shd w:val="clear" w:color="auto" w:fill="auto"/>
            <w:noWrap/>
            <w:vAlign w:val="center"/>
          </w:tcPr>
          <w:p>
            <w:pPr>
              <w:adjustRightInd w:val="0"/>
              <w:snapToGrid w:val="0"/>
              <w:spacing w:line="200" w:lineRule="atLeast"/>
              <w:ind w:firstLine="2"/>
              <w:jc w:val="center"/>
              <w:rPr>
                <w:rFonts w:ascii="Times New Roman" w:hAnsi="Times New Roman" w:eastAsia="宋体" w:cs="Times New Roman"/>
                <w:color w:val="auto"/>
                <w:kern w:val="0"/>
                <w:sz w:val="16"/>
                <w:szCs w:val="18"/>
                <w:highlight w:val="none"/>
              </w:rPr>
            </w:pPr>
            <w:r>
              <w:rPr>
                <w:rFonts w:ascii="Times New Roman" w:hAnsi="Times New Roman" w:eastAsia="宋体" w:cs="Times New Roman"/>
                <w:color w:val="auto"/>
                <w:kern w:val="0"/>
                <w:sz w:val="16"/>
                <w:szCs w:val="18"/>
                <w:highlight w:val="none"/>
              </w:rPr>
              <w:t>税种</w:t>
            </w:r>
          </w:p>
        </w:tc>
        <w:tc>
          <w:tcPr>
            <w:tcW w:w="2800" w:type="pct"/>
            <w:shd w:val="clear" w:color="auto" w:fill="auto"/>
            <w:vAlign w:val="center"/>
          </w:tcPr>
          <w:p>
            <w:pPr>
              <w:adjustRightInd w:val="0"/>
              <w:snapToGrid w:val="0"/>
              <w:spacing w:line="200" w:lineRule="atLeast"/>
              <w:ind w:firstLine="2"/>
              <w:jc w:val="center"/>
              <w:rPr>
                <w:rFonts w:ascii="Times New Roman" w:hAnsi="Times New Roman" w:eastAsia="宋体" w:cs="Times New Roman"/>
                <w:color w:val="auto"/>
                <w:kern w:val="0"/>
                <w:sz w:val="16"/>
                <w:szCs w:val="18"/>
                <w:highlight w:val="none"/>
              </w:rPr>
            </w:pPr>
            <w:r>
              <w:rPr>
                <w:rFonts w:ascii="Times New Roman" w:hAnsi="Times New Roman" w:eastAsia="宋体" w:cs="Times New Roman"/>
                <w:color w:val="auto"/>
                <w:kern w:val="0"/>
                <w:sz w:val="16"/>
                <w:szCs w:val="18"/>
                <w:highlight w:val="none"/>
              </w:rPr>
              <w:t>计税依据</w:t>
            </w:r>
          </w:p>
        </w:tc>
        <w:tc>
          <w:tcPr>
            <w:tcW w:w="1094" w:type="pct"/>
            <w:shd w:val="clear" w:color="auto" w:fill="auto"/>
            <w:vAlign w:val="center"/>
          </w:tcPr>
          <w:p>
            <w:pPr>
              <w:adjustRightInd w:val="0"/>
              <w:snapToGrid w:val="0"/>
              <w:spacing w:line="200" w:lineRule="atLeast"/>
              <w:ind w:firstLine="2"/>
              <w:jc w:val="center"/>
              <w:rPr>
                <w:rFonts w:ascii="Times New Roman" w:hAnsi="Times New Roman" w:eastAsia="宋体" w:cs="Times New Roman"/>
                <w:color w:val="auto"/>
                <w:kern w:val="0"/>
                <w:sz w:val="16"/>
                <w:szCs w:val="18"/>
                <w:highlight w:val="none"/>
              </w:rPr>
            </w:pPr>
            <w:r>
              <w:rPr>
                <w:rFonts w:hint="eastAsia" w:ascii="Times New Roman" w:hAnsi="Times New Roman" w:eastAsia="宋体" w:cs="Times New Roman"/>
                <w:color w:val="auto"/>
                <w:kern w:val="0"/>
                <w:sz w:val="16"/>
                <w:szCs w:val="18"/>
                <w:highlight w:val="none"/>
              </w:rPr>
              <w:t>适用</w:t>
            </w:r>
            <w:r>
              <w:rPr>
                <w:rFonts w:ascii="Times New Roman" w:hAnsi="Times New Roman" w:eastAsia="宋体" w:cs="Times New Roman"/>
                <w:color w:val="auto"/>
                <w:kern w:val="0"/>
                <w:sz w:val="16"/>
                <w:szCs w:val="18"/>
                <w:highlight w:val="none"/>
              </w:rPr>
              <w:t>税率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06" w:type="pct"/>
            <w:shd w:val="clear" w:color="auto" w:fill="auto"/>
            <w:noWrap/>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增值税</w:t>
            </w:r>
          </w:p>
        </w:tc>
        <w:tc>
          <w:tcPr>
            <w:tcW w:w="2800" w:type="pct"/>
            <w:shd w:val="clear" w:color="auto" w:fill="auto"/>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按税法规定计算的销售货物和应税劳务收入为基础计算销项税额，在扣除当期允许抵扣的进项税额后，差额部分为应交增值税</w:t>
            </w:r>
          </w:p>
        </w:tc>
        <w:tc>
          <w:tcPr>
            <w:tcW w:w="1094" w:type="pct"/>
            <w:shd w:val="clear" w:color="auto" w:fill="auto"/>
            <w:vAlign w:val="center"/>
          </w:tcPr>
          <w:p>
            <w:pPr>
              <w:adjustRightInd w:val="0"/>
              <w:snapToGrid w:val="0"/>
              <w:spacing w:line="200" w:lineRule="atLeast"/>
              <w:ind w:firstLine="2"/>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13%/6%/3%/1%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06" w:type="pct"/>
            <w:shd w:val="clear" w:color="auto" w:fill="auto"/>
            <w:noWrap/>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城市维护建设税</w:t>
            </w:r>
          </w:p>
        </w:tc>
        <w:tc>
          <w:tcPr>
            <w:tcW w:w="2800" w:type="pct"/>
            <w:shd w:val="clear" w:color="auto" w:fill="auto"/>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按实际缴纳的增值税及消费税计缴</w:t>
            </w:r>
          </w:p>
        </w:tc>
        <w:tc>
          <w:tcPr>
            <w:tcW w:w="1094" w:type="pct"/>
            <w:shd w:val="clear" w:color="auto" w:fill="auto"/>
            <w:vAlign w:val="center"/>
          </w:tcPr>
          <w:p>
            <w:pPr>
              <w:adjustRightInd w:val="0"/>
              <w:snapToGrid w:val="0"/>
              <w:spacing w:line="200" w:lineRule="atLeast"/>
              <w:ind w:firstLine="2"/>
              <w:jc w:val="right"/>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106" w:type="pct"/>
            <w:shd w:val="clear" w:color="auto" w:fill="auto"/>
            <w:noWrap/>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企业所得税</w:t>
            </w:r>
          </w:p>
        </w:tc>
        <w:tc>
          <w:tcPr>
            <w:tcW w:w="2800" w:type="pct"/>
            <w:shd w:val="clear" w:color="auto" w:fill="auto"/>
            <w:vAlign w:val="center"/>
          </w:tcPr>
          <w:p>
            <w:pPr>
              <w:adjustRightInd w:val="0"/>
              <w:snapToGrid w:val="0"/>
              <w:spacing w:line="200" w:lineRule="atLeast"/>
              <w:ind w:firstLine="2"/>
              <w:jc w:val="both"/>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按应纳税所得额计缴</w:t>
            </w:r>
          </w:p>
        </w:tc>
        <w:tc>
          <w:tcPr>
            <w:tcW w:w="1094" w:type="pct"/>
            <w:shd w:val="clear" w:color="auto" w:fill="auto"/>
            <w:vAlign w:val="center"/>
          </w:tcPr>
          <w:p>
            <w:pPr>
              <w:adjustRightInd w:val="0"/>
              <w:snapToGrid w:val="0"/>
              <w:spacing w:line="200" w:lineRule="atLeast"/>
              <w:ind w:firstLine="2"/>
              <w:jc w:val="right"/>
              <w:rPr>
                <w:rFonts w:ascii="Times New Roman" w:hAnsi="Times New Roman" w:eastAsia="宋体" w:cs="Times New Roman"/>
                <w:color w:val="auto"/>
                <w:sz w:val="16"/>
                <w:szCs w:val="18"/>
                <w:highlight w:val="none"/>
              </w:rPr>
            </w:pPr>
            <w:r>
              <w:rPr>
                <w:rFonts w:hint="eastAsia" w:ascii="Times New Roman" w:hAnsi="Times New Roman" w:eastAsia="宋体" w:cs="Arial"/>
                <w:color w:val="auto"/>
                <w:kern w:val="0"/>
                <w:sz w:val="16"/>
                <w:highlight w:val="none"/>
              </w:rPr>
              <w:t>15%/</w:t>
            </w:r>
            <w:r>
              <w:rPr>
                <w:rFonts w:ascii="Times New Roman" w:hAnsi="Times New Roman" w:eastAsia="宋体" w:cs="Arial"/>
                <w:color w:val="auto"/>
                <w:kern w:val="0"/>
                <w:sz w:val="16"/>
                <w:highlight w:val="none"/>
              </w:rPr>
              <w:t>25%</w:t>
            </w:r>
          </w:p>
        </w:tc>
      </w:tr>
    </w:tbl>
    <w:p>
      <w:pPr>
        <w:pStyle w:val="38"/>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税收优惠</w:t>
      </w:r>
    </w:p>
    <w:p>
      <w:pPr>
        <w:pStyle w:val="38"/>
        <w:rPr>
          <w:rFonts w:eastAsiaTheme="minorEastAsia"/>
          <w:color w:val="auto"/>
          <w:highlight w:val="none"/>
        </w:rPr>
      </w:pPr>
      <w:r>
        <w:rPr>
          <w:rFonts w:hint="eastAsia" w:eastAsiaTheme="minorEastAsia"/>
          <w:color w:val="auto"/>
          <w:highlight w:val="none"/>
        </w:rPr>
        <w:t>1、根据《财政部、国家税务总局、国家发展改革委关于公布公共基础设施项目企业所得税优惠目录(2008年版)的通知》（财税[2008]116号）相关规定，国家重点扶持的公共基础设施项目（包括港口码头、机场、铁路、公路、城市公共交通、电力、水利等项目），自项目取得第一笔生产经营收入所属纳税年度起，第一年至第三年免征企业所得税，第四年至第六年减半征收企业所得税。新投产电站同时享受国家重点扶持的公共基础设施所得税“三免三减半”优惠政策。享受税收优惠的项目具体情况如下表：</w:t>
      </w:r>
    </w:p>
    <w:p>
      <w:pPr>
        <w:pStyle w:val="38"/>
        <w:rPr>
          <w:rFonts w:eastAsiaTheme="minorEastAsia"/>
          <w:color w:val="auto"/>
          <w:highlight w:val="none"/>
        </w:rPr>
      </w:pP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27"/>
        <w:gridCol w:w="2447"/>
        <w:gridCol w:w="2440"/>
        <w:gridCol w:w="1438"/>
        <w:gridCol w:w="143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lang w:bidi="ar"/>
              </w:rPr>
            </w:pPr>
            <w:r>
              <w:rPr>
                <w:rFonts w:hint="eastAsia" w:ascii="Times New Roman" w:hAnsi="Times New Roman" w:eastAsia="宋体" w:cs="Times New Roman"/>
                <w:color w:val="auto"/>
                <w:kern w:val="0"/>
                <w:sz w:val="16"/>
                <w:szCs w:val="15"/>
                <w:highlight w:val="none"/>
              </w:rPr>
              <w:t>序号</w:t>
            </w:r>
          </w:p>
        </w:tc>
        <w:tc>
          <w:tcPr>
            <w:tcW w:w="1494"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lang w:bidi="ar"/>
              </w:rPr>
            </w:pPr>
            <w:r>
              <w:rPr>
                <w:rFonts w:hint="eastAsia" w:ascii="Times New Roman" w:hAnsi="Times New Roman" w:eastAsia="宋体" w:cs="Times New Roman"/>
                <w:color w:val="auto"/>
                <w:kern w:val="0"/>
                <w:sz w:val="16"/>
                <w:szCs w:val="15"/>
                <w:highlight w:val="none"/>
              </w:rPr>
              <w:t>公司名称</w:t>
            </w:r>
          </w:p>
        </w:tc>
        <w:tc>
          <w:tcPr>
            <w:tcW w:w="1490"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lang w:bidi="ar"/>
              </w:rPr>
            </w:pPr>
            <w:r>
              <w:rPr>
                <w:rFonts w:hint="eastAsia" w:ascii="Times New Roman" w:hAnsi="Times New Roman" w:eastAsia="宋体" w:cs="Times New Roman"/>
                <w:color w:val="auto"/>
                <w:kern w:val="0"/>
                <w:sz w:val="16"/>
                <w:szCs w:val="15"/>
                <w:highlight w:val="none"/>
              </w:rPr>
              <w:t>项目名称</w:t>
            </w:r>
          </w:p>
        </w:tc>
        <w:tc>
          <w:tcPr>
            <w:tcW w:w="878"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lang w:bidi="ar"/>
              </w:rPr>
            </w:pPr>
            <w:r>
              <w:rPr>
                <w:rFonts w:hint="eastAsia" w:ascii="Times New Roman" w:hAnsi="Times New Roman" w:eastAsia="宋体" w:cs="Times New Roman"/>
                <w:color w:val="auto"/>
                <w:kern w:val="0"/>
                <w:sz w:val="16"/>
                <w:szCs w:val="15"/>
                <w:highlight w:val="none"/>
              </w:rPr>
              <w:t>免税年度</w:t>
            </w:r>
          </w:p>
        </w:tc>
        <w:tc>
          <w:tcPr>
            <w:tcW w:w="877"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lang w:bidi="ar"/>
              </w:rPr>
            </w:pPr>
            <w:r>
              <w:rPr>
                <w:rFonts w:hint="eastAsia" w:ascii="Times New Roman" w:hAnsi="Times New Roman" w:eastAsia="宋体" w:cs="Times New Roman"/>
                <w:color w:val="auto"/>
                <w:kern w:val="0"/>
                <w:sz w:val="16"/>
                <w:szCs w:val="15"/>
                <w:highlight w:val="none"/>
              </w:rPr>
              <w:t>减半征收年度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海南州金元切吉风电有限公司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海南州金元切吉50MW风电项目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共和美恒新能源有限公司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苏美达切吉50MW集中式风电项目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海西金元乌图美仁光伏发电有限公司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海西金元乌图美仁100兆瓦平价光伏项目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2026年至2028年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科尔沁右翼中旗易天光伏电力科技有限公司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天合科右中旗150MWp光伏储能综合治沙项目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2025年至2027年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乐昌市金扬新能源发电有限公司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乐昌市金扬100MW农光互补发电综合利用项目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连州市深亚新能源科技有限公司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连州市大路边镇30MW农光互补光伏发电项目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韶关玥阳新能源科技有限公司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乳源县玥阳20MW农光互补光伏发电综合利用项目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兴宁阳星太阳能发电有限公司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兴宁市阳星200MW农光互补光伏发电综合利用项目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阳春市巨阳新能源发电有限公司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阳春市巨阳新能源120MW渔光互补光伏发电综合利用项目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2025年至2027年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罗定市粤澳华融能源科技有限公司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罗定市100MW复合光伏发电项目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2026年至2028年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中电投贵州金元集团云南会泽新能源有限公司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会泽县田坝乡光伏扶贫电站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会泽华信绿色能源科技有限公司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会泽县30MW光伏扶贫项目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会泽华信绿色能源科技有限公司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会泽县者海镇阿依卡光伏扶贫电站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大姚瑞宏新能源开发有限公司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楚雄州大姚县仓街农光互补光伏发电项目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迤那双营50MW农业光伏电站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迤那水塘50MW农业光伏电站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斗古瓦厂120MW农业光伏电站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麻乍乐利60MW农业光伏电站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19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麻乍箐口营60MW农业光伏电站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麻乍松木坎80MW农业光伏电站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仙水窝100MW农业光伏电站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么站二期60MW农业光伏电站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么站五嘎80MW农业光伏电站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么站新旧房40MW农业光伏电站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金斗大坪子30MW农业光伏电站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黑土河半坡50MW农业光伏电站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黑土河发地口子40MW农业光伏电站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黑土河小石板60MW农业光伏电站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二塘梅花山50MW农业光伏电站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石门簸箕寨40MW农业光伏电站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小坝镇工业园区16.61MW屋顶光伏电站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龙街海东梁子农业光伏电站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龙街大寨农业光伏电站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秀水得来洞农业光伏电站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威宁县雪山杨家坪子70MW农业光伏电站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威宁县五里岗夏家坪子50MW农业光伏电站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威宁县龙街小米70MW农业光伏电站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威宁县迤那水塘二期30MW农业光伏电站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39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赫章精工能源扶贫发展有限公司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赫章县文渊二期光伏电站项目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赫章威能新能源有限公司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赫章县铁匠双坪150MW农业光伏电站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赫章威能新能源有限公司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赫章县双坪福来厂50MW农业光伏电站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关岭威能新能源有限公司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关岭县永宁萝卜100MW农业光伏电站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纳雍威能新能源有限公司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纳雍县屯脚灰场50MW光伏电站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威宁新叶新能源科技有限公司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威宁县龙场农业光伏电站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赫章新叶新能源科技有限公司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赫章县哲庄农业光伏电站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六盘水行阳新能源发电有限公司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六枝老虎大坪100MW农业光伏电站项目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毕节徽阳新能源发电有限公司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纳雍县新房农业光伏电站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万荣县新佳新能源有限公司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万荣县稷王山50MW风力发电项目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49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淳化中略风力发电有限公司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陕西省淳化中略80MW风电项目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宝鸡鼎顺特光伏发电有限公司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宝鸡市金台区50兆瓦光伏发电项目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691"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黄龙县隆清光伏发电有限公司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黄龙县三岔镇10万千瓦平价上网光伏发电项目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洛南水发能源科技有限公司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洛南100MW（一期）光伏农业与光伏观光旅游综合利用示范项目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忻州市虎悦通新能源有限公司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虎悦通忻州市忻府区一期5万千瓦光伏发电项目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2025年至2027年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贵港市光荷新能源发电有限公司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覃塘古平水库40MW渔光互补光伏发电项目（一期）</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贵港市光荷新能源发电有限公司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覃塘古平水库40MW渔光互补光伏发电项目（二期）</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马山协合古零风力发电有限公司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马山协合杨圩风电场二期工程</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钦州鑫奥光伏电力有限公司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广西钦州300WM光伏平价上网示范项目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2025年至2027年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东兴市浩阳新能源有限公司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广西东兴150MW渔光互补综合旅游示范项目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59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钦州金安新能源有限公司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广西钦州金安250MW平价光伏基地项目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2025年至2027年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贞丰兴源光伏科技有限公司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贵州黔西南州贞丰下布克光伏电站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兴义市金峰新能源有限公司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贵州兴义南兴屋顶分布式光伏电站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册亨协合风力发电有限公司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贵州册亨大顶柱风电站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2019年至2021年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2022年至2024年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兴仁市协合风力发电有限公司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贵州兴仁放马坪风电场</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黔西南州义龙中弘绿色能源有限公司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贵州黔西南义龙新区新桥农业光伏电站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兴仁市亚玛顿新能源有限公司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贵州黔西南兴仁县鲁础营农业光伏电站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贵州黔西南金元新能源有限公司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贵州兴义牛头坡农业光伏电站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贵州黔西南金元新能源有限公司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贵州兴义白碗窑农业光伏电站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黔西南州弘冠新能源有限公司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贵州兴义义龙新区新桥荷花农业光伏电站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69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黔西南州中弘新能源有限公司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贵州黔西南义龙新区龙广安叉农业光伏电站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黔西南州亭阳新能源发电有限公司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贵州晴隆阳光安谷农业光伏电站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册亨县金元新能源有限公司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贵州黔西南册亨县大顶柱风光互补农业光伏电站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安龙县蔑帽新能源有限公司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贵州黔西南安龙县蔑帽坡农业光伏电站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2021年至2023年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2024年至2026年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贵州黔光照能源开发有限公司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贵州黔西南普安县楼下农业光伏电站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74</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黔西南州丰阳新能源发电有限公司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贵州黔西南贞丰县者相农业光伏电站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75</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黔西南州陇阳新能源发电有限公司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贵州黔西南晴隆县紫马农业光伏电站</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2020年至2022年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76</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平山堡岛新能源有限公司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平山堡岛新能源有限公司石家庄市平山县岗南镇100Mwp光伏发电项目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2026年至2028年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77</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平山县北冀建能新能源开发有限责任公司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平山县北冀建能新能源开发有限责任公司200兆瓦农光互补光伏发电项目(一期100兆瓦)</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2026年至2028年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78</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上林协鑫光伏电力有限公司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上林县白圩镇40MW(三期)光伏发电项目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2026年至2028年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79</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威宁县海拉海元农业光伏电站项目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2024年-2026年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2027年至2029年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80</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威宁县玉龙长坡院子农业光伏电站项目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2024年-2026年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2027年至2029年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81</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威宁县盐仓大地坪子农业光伏电站项目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2024年-2026年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2027年至2029年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82</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威宁县盐仓全麻口子农业光伏电站项目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2024年-2026年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2027年至2029年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83</w:t>
            </w:r>
          </w:p>
        </w:tc>
        <w:tc>
          <w:tcPr>
            <w:tcW w:w="1494"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国家电投集团贵州金元威宁能源股份有限公司</w:t>
            </w:r>
          </w:p>
        </w:tc>
        <w:tc>
          <w:tcPr>
            <w:tcW w:w="1490" w:type="pct"/>
            <w:shd w:val="clear" w:color="auto" w:fill="auto"/>
            <w:vAlign w:val="center"/>
          </w:tcPr>
          <w:p>
            <w:pPr>
              <w:spacing w:line="200" w:lineRule="atLeast"/>
              <w:jc w:val="both"/>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威宁县盐仓老鸦营农业光伏电站项目</w:t>
            </w:r>
          </w:p>
        </w:tc>
        <w:tc>
          <w:tcPr>
            <w:tcW w:w="878"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2024年-2026年</w:t>
            </w:r>
          </w:p>
        </w:tc>
        <w:tc>
          <w:tcPr>
            <w:tcW w:w="877" w:type="pct"/>
            <w:shd w:val="clear" w:color="auto" w:fill="auto"/>
            <w:vAlign w:val="center"/>
          </w:tcPr>
          <w:p>
            <w:pPr>
              <w:spacing w:line="200" w:lineRule="atLeast"/>
              <w:jc w:val="left"/>
              <w:rPr>
                <w:rFonts w:ascii="Times New Roman" w:hAnsi="Times New Roman" w:eastAsia="宋体" w:cs="Times New Roman"/>
                <w:color w:val="auto"/>
                <w:kern w:val="0"/>
                <w:sz w:val="16"/>
                <w:szCs w:val="15"/>
                <w:highlight w:val="none"/>
              </w:rPr>
            </w:pPr>
            <w:r>
              <w:rPr>
                <w:rFonts w:ascii="Times New Roman" w:hAnsi="Times New Roman" w:eastAsia="宋体" w:cs="Times New Roman"/>
                <w:color w:val="auto"/>
                <w:kern w:val="0"/>
                <w:sz w:val="16"/>
                <w:szCs w:val="15"/>
                <w:highlight w:val="none"/>
              </w:rPr>
              <w:t>2027年至2029年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1" w:type="pct"/>
            <w:shd w:val="clear" w:color="auto" w:fill="auto"/>
            <w:vAlign w:val="center"/>
          </w:tcPr>
          <w:p>
            <w:pPr>
              <w:spacing w:line="200" w:lineRule="atLeast"/>
              <w:jc w:val="center"/>
              <w:rPr>
                <w:rFonts w:ascii="Times New Roman" w:hAnsi="Times New Roman" w:eastAsia="宋体" w:cs="Times New Roman"/>
                <w:color w:val="auto"/>
                <w:kern w:val="0"/>
                <w:sz w:val="16"/>
                <w:szCs w:val="15"/>
                <w:highlight w:val="none"/>
              </w:rPr>
            </w:pPr>
            <w:r>
              <w:rPr>
                <w:rFonts w:hint="eastAsia" w:ascii="Times New Roman" w:hAnsi="Times New Roman" w:eastAsia="宋体" w:cs="Times New Roman"/>
                <w:color w:val="auto"/>
                <w:kern w:val="0"/>
                <w:sz w:val="16"/>
                <w:szCs w:val="15"/>
                <w:highlight w:val="none"/>
              </w:rPr>
              <w:t>8</w:t>
            </w:r>
            <w:r>
              <w:rPr>
                <w:rFonts w:ascii="Times New Roman" w:hAnsi="Times New Roman" w:eastAsia="宋体" w:cs="Times New Roman"/>
                <w:color w:val="auto"/>
                <w:kern w:val="0"/>
                <w:sz w:val="16"/>
                <w:szCs w:val="15"/>
                <w:highlight w:val="none"/>
              </w:rPr>
              <w:t>4</w:t>
            </w:r>
          </w:p>
        </w:tc>
        <w:tc>
          <w:tcPr>
            <w:tcW w:w="1494" w:type="pct"/>
            <w:shd w:val="clear" w:color="auto" w:fill="auto"/>
            <w:vAlign w:val="center"/>
          </w:tcPr>
          <w:p>
            <w:pPr>
              <w:adjustRightInd w:val="0"/>
              <w:snapToGrid w:val="0"/>
              <w:spacing w:line="200" w:lineRule="atLeast"/>
              <w:ind w:firstLine="2"/>
              <w:jc w:val="both"/>
              <w:rPr>
                <w:rFonts w:ascii="Times New Roman" w:hAnsi="Times New Roman" w:eastAsia="宋体" w:cs="Times New Roman"/>
                <w:color w:val="auto"/>
                <w:kern w:val="0"/>
                <w:sz w:val="16"/>
                <w:szCs w:val="15"/>
                <w:highlight w:val="none"/>
              </w:rPr>
            </w:pPr>
            <w:r>
              <w:rPr>
                <w:rFonts w:hint="eastAsia" w:ascii="Times New Roman" w:hAnsi="Times New Roman" w:eastAsia="宋体" w:cs="Times New Roman"/>
                <w:color w:val="auto"/>
                <w:kern w:val="0"/>
                <w:sz w:val="16"/>
                <w:szCs w:val="15"/>
                <w:highlight w:val="none"/>
              </w:rPr>
              <w:t>连州市中曼新能源有限公司</w:t>
            </w:r>
          </w:p>
        </w:tc>
        <w:tc>
          <w:tcPr>
            <w:tcW w:w="1490" w:type="pct"/>
            <w:shd w:val="clear" w:color="auto" w:fill="auto"/>
            <w:vAlign w:val="center"/>
          </w:tcPr>
          <w:p>
            <w:pPr>
              <w:adjustRightInd w:val="0"/>
              <w:snapToGrid w:val="0"/>
              <w:spacing w:line="200" w:lineRule="atLeast"/>
              <w:ind w:firstLine="2"/>
              <w:jc w:val="both"/>
              <w:rPr>
                <w:rFonts w:ascii="Times New Roman" w:hAnsi="Times New Roman" w:eastAsia="宋体" w:cs="Times New Roman"/>
                <w:color w:val="auto"/>
                <w:kern w:val="0"/>
                <w:sz w:val="16"/>
                <w:szCs w:val="15"/>
                <w:highlight w:val="none"/>
              </w:rPr>
            </w:pPr>
            <w:r>
              <w:rPr>
                <w:rFonts w:hint="eastAsia" w:ascii="Times New Roman" w:hAnsi="Times New Roman" w:eastAsia="宋体" w:cs="Times New Roman"/>
                <w:color w:val="auto"/>
                <w:kern w:val="0"/>
                <w:sz w:val="16"/>
                <w:szCs w:val="15"/>
                <w:highlight w:val="none"/>
              </w:rPr>
              <w:t>连州市西江镇、龙坪镇、九陂镇210MW农光互补光伏电站项目</w:t>
            </w:r>
          </w:p>
        </w:tc>
        <w:tc>
          <w:tcPr>
            <w:tcW w:w="878" w:type="pct"/>
            <w:shd w:val="clear" w:color="auto" w:fill="auto"/>
            <w:vAlign w:val="center"/>
          </w:tcPr>
          <w:p>
            <w:pPr>
              <w:adjustRightInd w:val="0"/>
              <w:snapToGrid w:val="0"/>
              <w:spacing w:line="200" w:lineRule="atLeast"/>
              <w:ind w:firstLine="2"/>
              <w:jc w:val="left"/>
              <w:rPr>
                <w:rFonts w:ascii="Times New Roman" w:hAnsi="Times New Roman" w:eastAsia="宋体" w:cs="Times New Roman"/>
                <w:color w:val="auto"/>
                <w:kern w:val="0"/>
                <w:sz w:val="16"/>
                <w:szCs w:val="15"/>
                <w:highlight w:val="none"/>
              </w:rPr>
            </w:pPr>
            <w:r>
              <w:rPr>
                <w:rFonts w:hint="eastAsia" w:ascii="Times New Roman" w:hAnsi="Times New Roman" w:eastAsia="宋体" w:cs="Times New Roman"/>
                <w:color w:val="auto"/>
                <w:kern w:val="0"/>
                <w:sz w:val="16"/>
                <w:szCs w:val="15"/>
                <w:highlight w:val="none"/>
              </w:rPr>
              <w:t>2023年至2025年</w:t>
            </w:r>
          </w:p>
        </w:tc>
        <w:tc>
          <w:tcPr>
            <w:tcW w:w="877" w:type="pct"/>
            <w:shd w:val="clear" w:color="auto" w:fill="auto"/>
            <w:vAlign w:val="center"/>
          </w:tcPr>
          <w:p>
            <w:pPr>
              <w:adjustRightInd w:val="0"/>
              <w:snapToGrid w:val="0"/>
              <w:spacing w:line="200" w:lineRule="atLeast"/>
              <w:ind w:firstLine="2"/>
              <w:jc w:val="left"/>
              <w:rPr>
                <w:rFonts w:ascii="Times New Roman" w:hAnsi="Times New Roman" w:eastAsia="宋体" w:cs="Times New Roman"/>
                <w:color w:val="auto"/>
                <w:kern w:val="0"/>
                <w:sz w:val="16"/>
                <w:szCs w:val="15"/>
                <w:highlight w:val="none"/>
              </w:rPr>
            </w:pPr>
            <w:r>
              <w:rPr>
                <w:rFonts w:hint="eastAsia" w:ascii="Times New Roman" w:hAnsi="Times New Roman" w:eastAsia="宋体" w:cs="Times New Roman"/>
                <w:color w:val="auto"/>
                <w:kern w:val="0"/>
                <w:sz w:val="16"/>
                <w:szCs w:val="15"/>
                <w:highlight w:val="none"/>
              </w:rPr>
              <w:t>2026年至2028年</w:t>
            </w:r>
          </w:p>
        </w:tc>
      </w:tr>
    </w:tbl>
    <w:p>
      <w:pPr>
        <w:pStyle w:val="38"/>
        <w:rPr>
          <w:rFonts w:eastAsiaTheme="minorEastAsia"/>
          <w:color w:val="auto"/>
          <w:highlight w:val="none"/>
        </w:rPr>
      </w:pPr>
    </w:p>
    <w:p>
      <w:pPr>
        <w:widowControl w:val="0"/>
        <w:numPr>
          <w:ilvl w:val="0"/>
          <w:numId w:val="26"/>
        </w:numPr>
        <w:tabs>
          <w:tab w:val="left" w:pos="0"/>
        </w:tabs>
        <w:adjustRightInd w:val="0"/>
        <w:snapToGrid w:val="0"/>
        <w:ind w:left="714"/>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根据《财政部 税务总局关于海南自由贸易港企业所得税优惠政策的通知》(财税〔2020〕31号)的相关规定，注册在海南自由贸易港(以下简称自贸港)并实质性运营的鼓励类产业企业，减按15%的税率征收企业所得税。享受税收优惠的项目具体情况如下表：</w:t>
      </w:r>
    </w:p>
    <w:p>
      <w:pPr>
        <w:widowControl w:val="0"/>
        <w:tabs>
          <w:tab w:val="left" w:pos="0"/>
        </w:tabs>
        <w:adjustRightInd w:val="0"/>
        <w:snapToGrid w:val="0"/>
        <w:jc w:val="both"/>
        <w:rPr>
          <w:rFonts w:ascii="Times New Roman" w:hAnsi="Times New Roman" w:eastAsia="宋体" w:cs="Times New Roman"/>
          <w:color w:val="auto"/>
          <w:highlight w:val="none"/>
        </w:rPr>
      </w:pP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658"/>
        <w:gridCol w:w="1952"/>
        <w:gridCol w:w="2789"/>
        <w:gridCol w:w="1638"/>
        <w:gridCol w:w="11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02"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rPr>
              <w:t>序号</w:t>
            </w:r>
          </w:p>
        </w:tc>
        <w:tc>
          <w:tcPr>
            <w:tcW w:w="1192"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rPr>
              <w:t>公司名称</w:t>
            </w:r>
          </w:p>
        </w:tc>
        <w:tc>
          <w:tcPr>
            <w:tcW w:w="1703"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rPr>
              <w:t>项目名称</w:t>
            </w:r>
          </w:p>
        </w:tc>
        <w:tc>
          <w:tcPr>
            <w:tcW w:w="1000"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hint="eastAsia" w:ascii="Times New Roman" w:hAnsi="Times New Roman" w:eastAsia="宋体" w:cs="Times New Roman"/>
                <w:color w:val="auto"/>
                <w:kern w:val="0"/>
                <w:sz w:val="16"/>
                <w:szCs w:val="16"/>
                <w:highlight w:val="none"/>
              </w:rPr>
              <w:t>享受优惠年度</w:t>
            </w:r>
          </w:p>
        </w:tc>
        <w:tc>
          <w:tcPr>
            <w:tcW w:w="703"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hint="eastAsia" w:ascii="Times New Roman" w:hAnsi="Times New Roman" w:eastAsia="宋体" w:cs="Times New Roman"/>
                <w:color w:val="auto"/>
                <w:kern w:val="0"/>
                <w:sz w:val="16"/>
                <w:szCs w:val="16"/>
                <w:highlight w:val="none"/>
              </w:rPr>
              <w:t>优惠税率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2"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rPr>
              <w:t>1</w:t>
            </w:r>
          </w:p>
        </w:tc>
        <w:tc>
          <w:tcPr>
            <w:tcW w:w="1192" w:type="pct"/>
            <w:shd w:val="clear" w:color="auto" w:fill="auto"/>
            <w:vAlign w:val="center"/>
          </w:tcPr>
          <w:p>
            <w:pPr>
              <w:spacing w:line="200" w:lineRule="atLeast"/>
              <w:jc w:val="both"/>
              <w:rPr>
                <w:rFonts w:ascii="Times New Roman" w:hAnsi="Times New Roman" w:eastAsia="宋体" w:cs="Times New Roman"/>
                <w:color w:val="auto"/>
                <w:kern w:val="0"/>
                <w:sz w:val="16"/>
                <w:szCs w:val="16"/>
                <w:highlight w:val="none"/>
              </w:rPr>
            </w:pPr>
            <w:r>
              <w:rPr>
                <w:rFonts w:hint="eastAsia" w:ascii="Times New Roman" w:hAnsi="Times New Roman" w:eastAsia="宋体" w:cs="Times New Roman"/>
                <w:color w:val="auto"/>
                <w:kern w:val="0"/>
                <w:sz w:val="16"/>
                <w:szCs w:val="16"/>
                <w:highlight w:val="none"/>
              </w:rPr>
              <w:t>海南意晟新能源有限公司</w:t>
            </w:r>
          </w:p>
        </w:tc>
        <w:tc>
          <w:tcPr>
            <w:tcW w:w="1703" w:type="pct"/>
            <w:shd w:val="clear" w:color="auto" w:fill="auto"/>
            <w:vAlign w:val="center"/>
          </w:tcPr>
          <w:p>
            <w:pPr>
              <w:spacing w:line="200" w:lineRule="atLeast"/>
              <w:jc w:val="both"/>
              <w:rPr>
                <w:rFonts w:ascii="Times New Roman" w:hAnsi="Times New Roman" w:eastAsia="宋体" w:cs="Times New Roman"/>
                <w:color w:val="auto"/>
                <w:kern w:val="0"/>
                <w:sz w:val="16"/>
                <w:szCs w:val="16"/>
                <w:highlight w:val="none"/>
              </w:rPr>
            </w:pPr>
            <w:r>
              <w:rPr>
                <w:rFonts w:hint="eastAsia" w:ascii="Times New Roman" w:hAnsi="Times New Roman" w:eastAsia="宋体" w:cs="Times New Roman"/>
                <w:color w:val="auto"/>
                <w:kern w:val="0"/>
                <w:sz w:val="16"/>
                <w:szCs w:val="16"/>
                <w:highlight w:val="none"/>
              </w:rPr>
              <w:t>海南意晟东方25兆瓦光伏发电综合农业开发项目</w:t>
            </w:r>
          </w:p>
        </w:tc>
        <w:tc>
          <w:tcPr>
            <w:tcW w:w="1000"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hint="eastAsia" w:ascii="Times New Roman" w:hAnsi="Times New Roman" w:eastAsia="宋体" w:cs="Times New Roman"/>
                <w:color w:val="auto"/>
                <w:kern w:val="0"/>
                <w:sz w:val="16"/>
                <w:szCs w:val="16"/>
                <w:highlight w:val="none"/>
              </w:rPr>
              <w:t>2</w:t>
            </w:r>
            <w:r>
              <w:rPr>
                <w:rFonts w:ascii="Times New Roman" w:hAnsi="Times New Roman" w:eastAsia="宋体" w:cs="Times New Roman"/>
                <w:color w:val="auto"/>
                <w:kern w:val="0"/>
                <w:sz w:val="16"/>
                <w:szCs w:val="16"/>
                <w:highlight w:val="none"/>
              </w:rPr>
              <w:t>021</w:t>
            </w:r>
            <w:r>
              <w:rPr>
                <w:rFonts w:hint="eastAsia" w:ascii="Times New Roman" w:hAnsi="Times New Roman" w:eastAsia="宋体" w:cs="Times New Roman"/>
                <w:color w:val="auto"/>
                <w:kern w:val="0"/>
                <w:sz w:val="16"/>
                <w:szCs w:val="16"/>
                <w:highlight w:val="none"/>
              </w:rPr>
              <w:t>年2</w:t>
            </w:r>
            <w:r>
              <w:rPr>
                <w:rFonts w:ascii="Times New Roman" w:hAnsi="Times New Roman" w:eastAsia="宋体" w:cs="Times New Roman"/>
                <w:color w:val="auto"/>
                <w:kern w:val="0"/>
                <w:sz w:val="16"/>
                <w:szCs w:val="16"/>
                <w:highlight w:val="none"/>
              </w:rPr>
              <w:t>024</w:t>
            </w:r>
            <w:r>
              <w:rPr>
                <w:rFonts w:hint="eastAsia" w:ascii="Times New Roman" w:hAnsi="Times New Roman" w:eastAsia="宋体" w:cs="Times New Roman"/>
                <w:color w:val="auto"/>
                <w:kern w:val="0"/>
                <w:sz w:val="16"/>
                <w:szCs w:val="16"/>
                <w:highlight w:val="none"/>
              </w:rPr>
              <w:t>年</w:t>
            </w:r>
          </w:p>
        </w:tc>
        <w:tc>
          <w:tcPr>
            <w:tcW w:w="703" w:type="pct"/>
            <w:shd w:val="clear" w:color="auto" w:fill="auto"/>
            <w:vAlign w:val="center"/>
          </w:tcPr>
          <w:p>
            <w:pPr>
              <w:spacing w:line="200" w:lineRule="atLeast"/>
              <w:jc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rPr>
              <w:t>15%</w:t>
            </w:r>
          </w:p>
        </w:tc>
      </w:tr>
    </w:tbl>
    <w:p>
      <w:pPr>
        <w:ind w:left="709"/>
        <w:jc w:val="both"/>
        <w:rPr>
          <w:rFonts w:ascii="Times New Roman" w:hAnsi="Times New Roman" w:eastAsia="宋体" w:cs="Times New Roman"/>
          <w:color w:val="auto"/>
          <w:highlight w:val="none"/>
        </w:rPr>
      </w:pPr>
    </w:p>
    <w:p>
      <w:pPr>
        <w:ind w:left="709"/>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3、根据《国务院关于实施西部大开发若干政策措施的通知》（国发[2000]33号）、《财政部、海关总署、国家税务总局关于深入实施西部大开发战略有关税收政策问题的通知》（财税[2011]58号）、《财政部 税务总局 国家发展改革委关于延续西部大开发企业所得税政策的公告》（财政部公告2020年第23号）的规定以及各地税务局相关文件，本公司所属部分子公司享受西部大开发优惠政策。享受税收优惠的项目具体情况如下表：</w:t>
      </w:r>
    </w:p>
    <w:p>
      <w:pPr>
        <w:rPr>
          <w:color w:val="auto"/>
          <w:highlight w:val="none"/>
        </w:rPr>
      </w:pPr>
    </w:p>
    <w:tbl>
      <w:tblPr>
        <w:tblStyle w:val="49"/>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911"/>
        <w:gridCol w:w="5653"/>
        <w:gridCol w:w="162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序号</w:t>
            </w:r>
          </w:p>
        </w:tc>
        <w:tc>
          <w:tcPr>
            <w:tcW w:w="5653"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单位名称</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2024年优惠税率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海南州金元切吉风电有限公司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共和美恒新能源有限公司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中电投贵州金元集团云南会泽新能源有限公司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4</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会泽华信绿色能源科技有限公司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5</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大姚瑞宏新能源开发有限公司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6</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永仁风光新能源科技有限责任公司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7</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国家电投集团贵州金元威宁能源股份有限公司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8</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赫章威能新能源有限公司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9</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赫章精工能源扶贫发展有限公司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10</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毕节徽阳新能源发电有限公司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11</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赫章新叶新能源科技有限公司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12</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威宁新叶新能源科技有限公司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13</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六盘水行阳新能源发电有限公司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14</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关岭威能新能源有限公司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纳雍威能新能源有限公司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16</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黄龙县隆清光伏发电有限公司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17</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神木顺利新能源有限公司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18</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淳化中略风力发电有限公司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19</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洛南水发能源科技有限公司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20</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宝鸡鼎顺特光伏发电有限公司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21</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马山协合古零风力发电有限公司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22</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东兴市浩阳新能源有限公司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23</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上林协鑫光伏电力有限公司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24</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贵港市光荷新能源发电有限公司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25</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钦州鑫金光伏电力有限公司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26</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钦州金安新能源有限公司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27</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钦州鑫奥光伏电力有限公司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28</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上林县鑫安光伏电力有限公司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29</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册亨协合风力发电有限公司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30</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兴仁市协合风力发电有限公司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31</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兴义市金峰新能源有限公司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32</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贞丰兴源光伏科技有限公司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33</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黔西南州义龙中弘绿色能源有限公司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34</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兴仁市亚玛顿新能源有限公司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35</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贵州黔光照能源开发有限公司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36</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黔西南州陇阳新能源发电有限公司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37</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安龙县蔑帽新能源有限公司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38</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册亨县金元新能源有限公司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39</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黔西南州亭阳新能源发电有限公司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40</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黔西南州丰阳新能源发电有限公司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41</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贵州黔西南金元新能源有限公司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42</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黔西南州弘冠新能源有限公司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911"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43</w:t>
            </w:r>
          </w:p>
        </w:tc>
        <w:tc>
          <w:tcPr>
            <w:tcW w:w="5653" w:type="dxa"/>
            <w:shd w:val="clear" w:color="auto" w:fill="auto"/>
            <w:vAlign w:val="center"/>
          </w:tcPr>
          <w:p>
            <w:pPr>
              <w:spacing w:line="200" w:lineRule="atLeast"/>
              <w:jc w:val="both"/>
              <w:textAlignment w:val="center"/>
              <w:rPr>
                <w:rFonts w:ascii="Times New Roman" w:hAnsi="Times New Roman" w:eastAsia="宋体" w:cs="Times New Roman"/>
                <w:color w:val="auto"/>
                <w:kern w:val="0"/>
                <w:sz w:val="16"/>
                <w:szCs w:val="16"/>
                <w:highlight w:val="none"/>
              </w:rPr>
            </w:pPr>
            <w:r>
              <w:rPr>
                <w:rFonts w:hint="eastAsia" w:ascii="宋体" w:hAnsi="宋体" w:eastAsia="宋体" w:cs="宋体"/>
                <w:color w:val="auto"/>
                <w:kern w:val="0"/>
                <w:sz w:val="16"/>
                <w:szCs w:val="16"/>
                <w:highlight w:val="none"/>
                <w:lang w:bidi="ar"/>
              </w:rPr>
              <w:t>黔西南州中弘新能源有限公司</w:t>
            </w:r>
          </w:p>
        </w:tc>
        <w:tc>
          <w:tcPr>
            <w:tcW w:w="1624" w:type="dxa"/>
            <w:shd w:val="clear" w:color="auto" w:fill="auto"/>
            <w:vAlign w:val="center"/>
          </w:tcPr>
          <w:p>
            <w:pPr>
              <w:spacing w:line="200" w:lineRule="atLeast"/>
              <w:jc w:val="center"/>
              <w:textAlignment w:val="center"/>
              <w:rPr>
                <w:rFonts w:ascii="Times New Roman" w:hAnsi="Times New Roman" w:eastAsia="宋体" w:cs="Times New Roman"/>
                <w:color w:val="auto"/>
                <w:kern w:val="0"/>
                <w:sz w:val="16"/>
                <w:szCs w:val="16"/>
                <w:highlight w:val="none"/>
              </w:rPr>
            </w:pPr>
            <w:r>
              <w:rPr>
                <w:rFonts w:ascii="Times New Roman" w:hAnsi="Times New Roman" w:eastAsia="宋体" w:cs="Times New Roman"/>
                <w:color w:val="auto"/>
                <w:kern w:val="0"/>
                <w:sz w:val="16"/>
                <w:szCs w:val="16"/>
                <w:highlight w:val="none"/>
                <w:lang w:bidi="ar"/>
              </w:rPr>
              <w:t>15%</w:t>
            </w:r>
          </w:p>
        </w:tc>
      </w:tr>
    </w:tbl>
    <w:p>
      <w:pPr>
        <w:pStyle w:val="38"/>
        <w:rPr>
          <w:rFonts w:eastAsiaTheme="minorEastAsia"/>
          <w:color w:val="auto"/>
          <w:highlight w:val="none"/>
        </w:rPr>
      </w:pPr>
    </w:p>
    <w:p>
      <w:pPr>
        <w:pStyle w:val="38"/>
        <w:rPr>
          <w:color w:val="auto"/>
          <w:highlight w:val="none"/>
        </w:rPr>
        <w:sectPr>
          <w:headerReference r:id="rId24" w:type="first"/>
          <w:headerReference r:id="rId22" w:type="default"/>
          <w:footerReference r:id="rId25" w:type="default"/>
          <w:headerReference r:id="rId23" w:type="even"/>
          <w:pgSz w:w="11907" w:h="16839"/>
          <w:pgMar w:top="1440" w:right="1797" w:bottom="1440" w:left="1797" w:header="680" w:footer="992" w:gutter="0"/>
          <w:pgNumType w:start="1"/>
          <w:cols w:space="425" w:num="1"/>
          <w:docGrid w:linePitch="312" w:charSpace="0"/>
        </w:sectPr>
      </w:pPr>
    </w:p>
    <w:p>
      <w:pPr>
        <w:pStyle w:val="43"/>
        <w:rPr>
          <w:color w:val="auto"/>
          <w:highlight w:val="none"/>
        </w:rPr>
      </w:pPr>
      <w:r>
        <w:rPr>
          <w:color w:val="auto"/>
          <w:highlight w:val="none"/>
        </w:rPr>
        <w:t>企业合并及合并财务报表</w:t>
      </w:r>
    </w:p>
    <w:p>
      <w:pPr>
        <w:pStyle w:val="38"/>
        <w:rPr>
          <w:color w:val="auto"/>
          <w:highlight w:val="none"/>
        </w:rPr>
      </w:pPr>
      <w:r>
        <w:rPr>
          <w:color w:val="auto"/>
          <w:highlight w:val="none"/>
        </w:rPr>
        <w:t>（本节下列表式数据中的金额单位，除非特别注明外均为人民币万元。）</w:t>
      </w:r>
    </w:p>
    <w:p>
      <w:pPr>
        <w:pStyle w:val="37"/>
        <w:rPr>
          <w:color w:val="auto"/>
          <w:highlight w:val="none"/>
        </w:rPr>
      </w:pPr>
      <w:r>
        <w:rPr>
          <w:color w:val="auto"/>
          <w:highlight w:val="none"/>
        </w:rPr>
        <w:t>子</w:t>
      </w:r>
      <w:r>
        <w:rPr>
          <w:rFonts w:hint="eastAsia"/>
          <w:color w:val="auto"/>
          <w:highlight w:val="none"/>
        </w:rPr>
        <w:t>企业</w:t>
      </w:r>
      <w:r>
        <w:rPr>
          <w:color w:val="auto"/>
          <w:highlight w:val="none"/>
        </w:rPr>
        <w:t>情况</w:t>
      </w:r>
    </w:p>
    <w:p>
      <w:pPr>
        <w:pStyle w:val="38"/>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"D:\\tonylee\\立信\\新附注排版工具\\2015央企年报格式\\中央企业财务报表和报表附注20160818V4.xlsm" "企业合并及合并财务报表!企业合并及合并财务报表1"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87"/>
        <w:gridCol w:w="4121"/>
        <w:gridCol w:w="438"/>
        <w:gridCol w:w="582"/>
        <w:gridCol w:w="1019"/>
        <w:gridCol w:w="1019"/>
        <w:gridCol w:w="1230"/>
        <w:gridCol w:w="962"/>
        <w:gridCol w:w="727"/>
        <w:gridCol w:w="727"/>
        <w:gridCol w:w="804"/>
        <w:gridCol w:w="962"/>
        <w:gridCol w:w="6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序号</w:t>
            </w:r>
          </w:p>
        </w:tc>
        <w:tc>
          <w:tcPr>
            <w:tcW w:w="412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企业名称</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级次</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企业类型</w:t>
            </w:r>
          </w:p>
        </w:tc>
        <w:tc>
          <w:tcPr>
            <w:tcW w:w="10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注册地</w:t>
            </w:r>
          </w:p>
        </w:tc>
        <w:tc>
          <w:tcPr>
            <w:tcW w:w="10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主要经营地</w:t>
            </w:r>
          </w:p>
        </w:tc>
        <w:tc>
          <w:tcPr>
            <w:tcW w:w="12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业务性质</w:t>
            </w:r>
          </w:p>
        </w:tc>
        <w:tc>
          <w:tcPr>
            <w:tcW w:w="96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实收资本</w:t>
            </w:r>
          </w:p>
        </w:tc>
        <w:tc>
          <w:tcPr>
            <w:tcW w:w="72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认缴持股比例（%）</w:t>
            </w:r>
          </w:p>
        </w:tc>
        <w:tc>
          <w:tcPr>
            <w:tcW w:w="72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实缴持股比例（%）</w:t>
            </w:r>
          </w:p>
        </w:tc>
        <w:tc>
          <w:tcPr>
            <w:tcW w:w="8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享有的表决权（%）</w:t>
            </w:r>
          </w:p>
        </w:tc>
        <w:tc>
          <w:tcPr>
            <w:tcW w:w="96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投资额</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取得方式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国家电投集团贵州金元威宁能源股份有限公司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贵州毕节</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贵州毕节</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新能源发电</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495,919.51</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35.61</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35.61</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60.53</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334,151.03</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贵州西电电力股份有限公司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火电</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270,697.41</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67.56</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67.56</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67.56</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310,763.16</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贵州西能电力建设有限公司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施工</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109,652.00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67,458.07</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贵州中水能源股份有限公司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水电</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261,766.37</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96.73</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96.73</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96.73</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332,804.50</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贵州金元智慧能源有限公司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电力产品购销</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21,000.00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21,000.00</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贵州元龙综合能源产业服务有限公司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综合服务</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108,560.00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97,437.26</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贵州金元绿链物流开发有限公司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综合服务</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70,000.00</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国家电投集团贵州金元绥阳产业有限公司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贵州遵义</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贵州遵义</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制造业</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451,000.00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370,078.60</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融和东能（嘉兴）新能源投资合伙企业（有限合伙）</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浙江嘉兴</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浙江嘉兴</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投资管理</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130,000.00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99.92</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99.92</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99.92</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136,065.54</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w:t>
            </w:r>
          </w:p>
        </w:tc>
        <w:tc>
          <w:tcPr>
            <w:tcW w:w="412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贵州能发新能源开发有限公司</w:t>
            </w:r>
          </w:p>
        </w:tc>
        <w:tc>
          <w:tcPr>
            <w:tcW w:w="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w:t>
            </w:r>
          </w:p>
        </w:tc>
        <w:tc>
          <w:tcPr>
            <w:tcW w:w="5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贵州贵阳</w:t>
            </w:r>
          </w:p>
        </w:tc>
        <w:tc>
          <w:tcPr>
            <w:tcW w:w="12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煤炭</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72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8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9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3,000.00</w:t>
            </w:r>
          </w:p>
        </w:tc>
        <w:tc>
          <w:tcPr>
            <w:tcW w:w="6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w:t>
            </w:r>
          </w:p>
        </w:tc>
      </w:tr>
    </w:tbl>
    <w:p>
      <w:pPr>
        <w:pStyle w:val="38"/>
        <w:rPr>
          <w:rFonts w:eastAsiaTheme="minorEastAsia"/>
          <w:color w:val="auto"/>
          <w:highlight w:val="none"/>
        </w:rPr>
      </w:pPr>
      <w:r>
        <w:rPr>
          <w:rFonts w:eastAsiaTheme="minorEastAsia"/>
          <w:color w:val="auto"/>
          <w:highlight w:val="none"/>
        </w:rPr>
        <w:fldChar w:fldCharType="end"/>
      </w:r>
    </w:p>
    <w:p>
      <w:pPr>
        <w:pStyle w:val="38"/>
        <w:rPr>
          <w:color w:val="auto"/>
          <w:highlight w:val="none"/>
        </w:rPr>
      </w:pPr>
      <w:r>
        <w:rPr>
          <w:rFonts w:hint="eastAsia"/>
          <w:color w:val="auto"/>
          <w:highlight w:val="none"/>
        </w:rPr>
        <w:t>注</w:t>
      </w:r>
      <w:r>
        <w:rPr>
          <w:color w:val="auto"/>
          <w:highlight w:val="none"/>
        </w:rPr>
        <w:t>：企业类型：1</w:t>
      </w:r>
      <w:r>
        <w:rPr>
          <w:rFonts w:hint="eastAsia"/>
          <w:color w:val="auto"/>
          <w:highlight w:val="none"/>
        </w:rPr>
        <w:t>、</w:t>
      </w:r>
      <w:r>
        <w:rPr>
          <w:color w:val="auto"/>
          <w:highlight w:val="none"/>
        </w:rPr>
        <w:t>境内非金融子企业，2</w:t>
      </w:r>
      <w:r>
        <w:rPr>
          <w:rFonts w:hint="eastAsia"/>
          <w:color w:val="auto"/>
          <w:highlight w:val="none"/>
        </w:rPr>
        <w:t>、</w:t>
      </w:r>
      <w:r>
        <w:rPr>
          <w:color w:val="auto"/>
          <w:highlight w:val="none"/>
        </w:rPr>
        <w:t>境内金融子企业，3</w:t>
      </w:r>
      <w:r>
        <w:rPr>
          <w:rFonts w:hint="eastAsia"/>
          <w:color w:val="auto"/>
          <w:highlight w:val="none"/>
        </w:rPr>
        <w:t>、</w:t>
      </w:r>
      <w:r>
        <w:rPr>
          <w:color w:val="auto"/>
          <w:highlight w:val="none"/>
        </w:rPr>
        <w:t>境外子企业，4</w:t>
      </w:r>
      <w:r>
        <w:rPr>
          <w:rFonts w:hint="eastAsia"/>
          <w:color w:val="auto"/>
          <w:highlight w:val="none"/>
        </w:rPr>
        <w:t>、</w:t>
      </w:r>
      <w:r>
        <w:rPr>
          <w:color w:val="auto"/>
          <w:highlight w:val="none"/>
        </w:rPr>
        <w:t>事业单位，5</w:t>
      </w:r>
      <w:r>
        <w:rPr>
          <w:rFonts w:hint="eastAsia"/>
          <w:color w:val="auto"/>
          <w:highlight w:val="none"/>
        </w:rPr>
        <w:t>、</w:t>
      </w:r>
      <w:r>
        <w:rPr>
          <w:color w:val="auto"/>
          <w:highlight w:val="none"/>
        </w:rPr>
        <w:t>基建单位。</w:t>
      </w:r>
    </w:p>
    <w:p>
      <w:pPr>
        <w:pStyle w:val="38"/>
        <w:ind w:leftChars="340" w:firstLine="420" w:firstLineChars="200"/>
        <w:rPr>
          <w:color w:val="auto"/>
          <w:highlight w:val="none"/>
        </w:rPr>
      </w:pPr>
      <w:r>
        <w:rPr>
          <w:color w:val="auto"/>
          <w:highlight w:val="none"/>
        </w:rPr>
        <w:t>取得方式：1</w:t>
      </w:r>
      <w:r>
        <w:rPr>
          <w:rFonts w:hint="eastAsia"/>
          <w:color w:val="auto"/>
          <w:highlight w:val="none"/>
        </w:rPr>
        <w:t>、</w:t>
      </w:r>
      <w:r>
        <w:rPr>
          <w:color w:val="auto"/>
          <w:highlight w:val="none"/>
        </w:rPr>
        <w:t>投资设立</w:t>
      </w:r>
      <w:r>
        <w:rPr>
          <w:rFonts w:hint="eastAsia"/>
          <w:color w:val="auto"/>
          <w:highlight w:val="none"/>
        </w:rPr>
        <w:t>，</w:t>
      </w:r>
      <w:r>
        <w:rPr>
          <w:color w:val="auto"/>
          <w:highlight w:val="none"/>
        </w:rPr>
        <w:t>2</w:t>
      </w:r>
      <w:r>
        <w:rPr>
          <w:rFonts w:hint="eastAsia"/>
          <w:color w:val="auto"/>
          <w:highlight w:val="none"/>
        </w:rPr>
        <w:t>、</w:t>
      </w:r>
      <w:r>
        <w:rPr>
          <w:color w:val="auto"/>
          <w:highlight w:val="none"/>
        </w:rPr>
        <w:t>同一控制下</w:t>
      </w:r>
      <w:r>
        <w:rPr>
          <w:rFonts w:hint="eastAsia"/>
          <w:color w:val="auto"/>
          <w:highlight w:val="none"/>
        </w:rPr>
        <w:t>的</w:t>
      </w:r>
      <w:r>
        <w:rPr>
          <w:color w:val="auto"/>
          <w:highlight w:val="none"/>
        </w:rPr>
        <w:t>企业合并</w:t>
      </w:r>
      <w:r>
        <w:rPr>
          <w:rFonts w:hint="eastAsia"/>
          <w:color w:val="auto"/>
          <w:highlight w:val="none"/>
        </w:rPr>
        <w:t>，</w:t>
      </w:r>
      <w:r>
        <w:rPr>
          <w:color w:val="auto"/>
          <w:highlight w:val="none"/>
        </w:rPr>
        <w:t>3</w:t>
      </w:r>
      <w:r>
        <w:rPr>
          <w:rFonts w:hint="eastAsia"/>
          <w:color w:val="auto"/>
          <w:highlight w:val="none"/>
        </w:rPr>
        <w:t>、</w:t>
      </w:r>
      <w:r>
        <w:rPr>
          <w:color w:val="auto"/>
          <w:highlight w:val="none"/>
        </w:rPr>
        <w:t>非同一控制下</w:t>
      </w:r>
      <w:r>
        <w:rPr>
          <w:rFonts w:hint="eastAsia"/>
          <w:color w:val="auto"/>
          <w:highlight w:val="none"/>
        </w:rPr>
        <w:t>的</w:t>
      </w:r>
      <w:r>
        <w:rPr>
          <w:color w:val="auto"/>
          <w:highlight w:val="none"/>
        </w:rPr>
        <w:t>企业合并</w:t>
      </w:r>
      <w:r>
        <w:rPr>
          <w:rFonts w:hint="eastAsia"/>
          <w:color w:val="auto"/>
          <w:highlight w:val="none"/>
        </w:rPr>
        <w:t>，</w:t>
      </w:r>
      <w:r>
        <w:rPr>
          <w:color w:val="auto"/>
          <w:highlight w:val="none"/>
        </w:rPr>
        <w:t>4</w:t>
      </w:r>
      <w:r>
        <w:rPr>
          <w:rFonts w:hint="eastAsia"/>
          <w:color w:val="auto"/>
          <w:highlight w:val="none"/>
        </w:rPr>
        <w:t>、</w:t>
      </w:r>
      <w:r>
        <w:rPr>
          <w:color w:val="auto"/>
          <w:highlight w:val="none"/>
        </w:rPr>
        <w:t>其他。</w:t>
      </w:r>
    </w:p>
    <w:p>
      <w:pPr>
        <w:pStyle w:val="38"/>
        <w:ind w:leftChars="340" w:firstLine="420" w:firstLineChars="200"/>
        <w:rPr>
          <w:b/>
          <w:color w:val="auto"/>
          <w:highlight w:val="none"/>
        </w:rPr>
      </w:pPr>
      <w:r>
        <w:rPr>
          <w:color w:val="auto"/>
          <w:highlight w:val="none"/>
        </w:rPr>
        <w:t>级次</w:t>
      </w:r>
      <w:r>
        <w:rPr>
          <w:rFonts w:hint="eastAsia"/>
          <w:color w:val="auto"/>
          <w:highlight w:val="none"/>
        </w:rPr>
        <w:t>为在整个中央企业集团内的法人级次。</w:t>
      </w:r>
    </w:p>
    <w:p>
      <w:pPr>
        <w:pStyle w:val="38"/>
        <w:rPr>
          <w:rFonts w:eastAsiaTheme="minorEastAsia"/>
          <w:color w:val="auto"/>
          <w:highlight w:val="none"/>
        </w:rPr>
      </w:pPr>
    </w:p>
    <w:p>
      <w:pPr>
        <w:pStyle w:val="38"/>
        <w:rPr>
          <w:color w:val="auto"/>
          <w:highlight w:val="none"/>
        </w:rPr>
        <w:sectPr>
          <w:pgSz w:w="16839" w:h="11907" w:orient="landscape"/>
          <w:pgMar w:top="1797" w:right="1440" w:bottom="1797" w:left="1440" w:header="794" w:footer="992" w:gutter="0"/>
          <w:cols w:space="425" w:num="1"/>
          <w:docGrid w:linePitch="312" w:charSpace="0"/>
        </w:sectPr>
      </w:pPr>
    </w:p>
    <w:p>
      <w:pPr>
        <w:pStyle w:val="38"/>
        <w:rPr>
          <w:color w:val="auto"/>
          <w:highlight w:val="none"/>
        </w:rPr>
      </w:pPr>
      <w:r>
        <w:rPr>
          <w:rFonts w:hint="eastAsia"/>
          <w:color w:val="auto"/>
          <w:highlight w:val="none"/>
        </w:rPr>
        <w:t>子公司的持股比例不同于表决权比例的，差异原因如下：</w:t>
      </w:r>
    </w:p>
    <w:p>
      <w:pPr>
        <w:pStyle w:val="38"/>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"D:\\tonylee\\立信\\新附注排版工具\\2016央企年报格式\\中央企业财务报表和报表附注20170109V1.xlsm" "企业合并及合并财务报表!企业合并及合并财务报表1_1"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757"/>
        <w:gridCol w:w="2743"/>
        <w:gridCol w:w="1829"/>
        <w:gridCol w:w="1829"/>
        <w:gridCol w:w="10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75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序号</w:t>
            </w:r>
          </w:p>
        </w:tc>
        <w:tc>
          <w:tcPr>
            <w:tcW w:w="274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企业名称</w:t>
            </w:r>
          </w:p>
        </w:tc>
        <w:tc>
          <w:tcPr>
            <w:tcW w:w="182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认缴持股比例（%）</w:t>
            </w:r>
          </w:p>
        </w:tc>
        <w:tc>
          <w:tcPr>
            <w:tcW w:w="182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享有的表决权（%）</w:t>
            </w:r>
          </w:p>
        </w:tc>
        <w:tc>
          <w:tcPr>
            <w:tcW w:w="10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差异原因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75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27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国家电投集团贵州金元威宁能源股份有限公司</w:t>
            </w:r>
          </w:p>
        </w:tc>
        <w:tc>
          <w:tcPr>
            <w:tcW w:w="182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45.36</w:t>
            </w:r>
          </w:p>
        </w:tc>
        <w:tc>
          <w:tcPr>
            <w:tcW w:w="182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70.28</w:t>
            </w:r>
          </w:p>
        </w:tc>
        <w:tc>
          <w:tcPr>
            <w:tcW w:w="103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注1</w:t>
            </w:r>
          </w:p>
        </w:tc>
      </w:tr>
    </w:tbl>
    <w:p>
      <w:pPr>
        <w:pStyle w:val="38"/>
        <w:rPr>
          <w:color w:val="auto"/>
          <w:highlight w:val="none"/>
        </w:rPr>
      </w:pPr>
      <w:r>
        <w:rPr>
          <w:rFonts w:eastAsiaTheme="minorEastAsia"/>
          <w:color w:val="auto"/>
          <w:highlight w:val="none"/>
        </w:rPr>
        <w:fldChar w:fldCharType="end"/>
      </w:r>
      <w:r>
        <w:rPr>
          <w:rFonts w:hint="eastAsia" w:eastAsiaTheme="minorEastAsia"/>
          <w:color w:val="auto"/>
          <w:highlight w:val="none"/>
        </w:rPr>
        <w:t>注1：</w:t>
      </w:r>
      <w:r>
        <w:rPr>
          <w:rFonts w:hint="eastAsia"/>
          <w:color w:val="auto"/>
          <w:highlight w:val="none"/>
        </w:rPr>
        <w:t>截至2024年12月31日，贵州金元子公司中水能源对威宁能源持股比例为5.18%，贵州金元子公司融和东能对威宁持股比例为19.74%，故贵州金元对威宁能源享有的表决权比例为70.28%。</w:t>
      </w:r>
    </w:p>
    <w:p>
      <w:pPr>
        <w:pStyle w:val="38"/>
        <w:rPr>
          <w:rFonts w:eastAsiaTheme="minorEastAsia"/>
          <w:color w:val="auto"/>
          <w:highlight w:val="none"/>
        </w:rPr>
      </w:pPr>
    </w:p>
    <w:p>
      <w:pPr>
        <w:pStyle w:val="37"/>
        <w:rPr>
          <w:rFonts w:eastAsiaTheme="minorEastAsia"/>
          <w:color w:val="auto"/>
          <w:highlight w:val="none"/>
        </w:rPr>
      </w:pPr>
      <w:r>
        <w:rPr>
          <w:rFonts w:hint="eastAsia"/>
          <w:color w:val="auto"/>
          <w:highlight w:val="none"/>
        </w:rPr>
        <w:t>重要非全资子企业情况</w:t>
      </w:r>
    </w:p>
    <w:p>
      <w:pPr>
        <w:pStyle w:val="44"/>
        <w:rPr>
          <w:rFonts w:eastAsiaTheme="minorEastAsia"/>
          <w:color w:val="auto"/>
          <w:highlight w:val="none"/>
        </w:rPr>
      </w:pPr>
      <w:r>
        <w:rPr>
          <w:rFonts w:hint="eastAsia"/>
          <w:color w:val="auto"/>
          <w:highlight w:val="none"/>
        </w:rPr>
        <w:t>少数股东</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"D:\\tonylee\\立信\\新附注排版工具\\2015央企年报格式\\中央企业财务报表和报表附注20160818V4.xlsm" "企业合并及合并财务报表!企业合并及合并财务报表4"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51"/>
        <w:gridCol w:w="2438"/>
        <w:gridCol w:w="1240"/>
        <w:gridCol w:w="1353"/>
        <w:gridCol w:w="1353"/>
        <w:gridCol w:w="13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5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序号</w:t>
            </w:r>
          </w:p>
        </w:tc>
        <w:tc>
          <w:tcPr>
            <w:tcW w:w="2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企业名称</w:t>
            </w:r>
          </w:p>
        </w:tc>
        <w:tc>
          <w:tcPr>
            <w:tcW w:w="124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少数股东持股比例（%）</w:t>
            </w:r>
          </w:p>
        </w:tc>
        <w:tc>
          <w:tcPr>
            <w:tcW w:w="13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当期归属于少数股东的损益</w:t>
            </w:r>
          </w:p>
        </w:tc>
        <w:tc>
          <w:tcPr>
            <w:tcW w:w="13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当期向少数股东支付的股利</w:t>
            </w:r>
          </w:p>
        </w:tc>
        <w:tc>
          <w:tcPr>
            <w:tcW w:w="13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期末累计少数股东权益</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w:t>
            </w:r>
          </w:p>
        </w:tc>
        <w:tc>
          <w:tcPr>
            <w:tcW w:w="24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国家电投集团贵州金元威宁能源股份有限公司</w:t>
            </w:r>
          </w:p>
        </w:tc>
        <w:tc>
          <w:tcPr>
            <w:tcW w:w="124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64.39</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16,190.52</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8,104.15</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384,280.89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w:t>
            </w:r>
          </w:p>
        </w:tc>
        <w:tc>
          <w:tcPr>
            <w:tcW w:w="24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贵州西电电力股份有限公司</w:t>
            </w:r>
          </w:p>
        </w:tc>
        <w:tc>
          <w:tcPr>
            <w:tcW w:w="124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32.44</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3,650.89</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w:t>
            </w:r>
          </w:p>
        </w:tc>
        <w:tc>
          <w:tcPr>
            <w:tcW w:w="135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148,422.76</w:t>
            </w:r>
          </w:p>
        </w:tc>
      </w:tr>
    </w:tbl>
    <w:p>
      <w:pPr>
        <w:pStyle w:val="35"/>
        <w:rPr>
          <w:color w:val="auto"/>
          <w:highlight w:val="none"/>
        </w:rPr>
      </w:pPr>
      <w:r>
        <w:rPr>
          <w:color w:val="auto"/>
          <w:highlight w:val="none"/>
        </w:rPr>
        <w:fldChar w:fldCharType="end"/>
      </w:r>
    </w:p>
    <w:p>
      <w:pPr>
        <w:pStyle w:val="44"/>
        <w:rPr>
          <w:rFonts w:eastAsiaTheme="minorEastAsia"/>
          <w:color w:val="auto"/>
          <w:highlight w:val="none"/>
        </w:rPr>
      </w:pPr>
      <w:r>
        <w:rPr>
          <w:rFonts w:hint="eastAsia"/>
          <w:color w:val="auto"/>
          <w:highlight w:val="none"/>
        </w:rPr>
        <w:t>主要财务信息</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"D:\\tonylee\\立信\\新附注排版工具\\2015央企年报格式\\中央企业财务报表和报表附注20160818V4.xlsm" "企业合并及合并财务报表!企业合并及合并财务报表5"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129"/>
        <w:gridCol w:w="1677"/>
        <w:gridCol w:w="1523"/>
        <w:gridCol w:w="1525"/>
        <w:gridCol w:w="13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2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320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本期数</w:t>
            </w:r>
          </w:p>
        </w:tc>
        <w:tc>
          <w:tcPr>
            <w:tcW w:w="2859"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2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7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国家电投集团贵州金元威宁能源股份有限公司</w:t>
            </w:r>
          </w:p>
        </w:tc>
        <w:tc>
          <w:tcPr>
            <w:tcW w:w="152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贵州西电电力股份有限公司</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国家电投集团贵州金元威宁能源股份有限公司</w:t>
            </w:r>
          </w:p>
        </w:tc>
        <w:tc>
          <w:tcPr>
            <w:tcW w:w="133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贵州西电电力股份有限公司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流动资产</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524,492.79</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700,944.92</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463,053.57</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771,655.59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非流动资产</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3,195,084.68</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1,048,869.79</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2,927,996.46</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1,053,515.90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资产合计</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3,719,577.47</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1,749,814.71</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3,391,050.03</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1,825,171.49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流动负债</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518,094.22</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733,678.15</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488,178.09</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894,436.32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非流动负债</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2,076,306.13</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154,201.89</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2,003,553.54</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64,876.72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负债合计</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2,594,400.34</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887,880.04</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2,491,731.63</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959,313.04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营业收入</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315,148.24</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802,093.50</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323,772.66</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863,697.28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净利润</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64,697.57</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31,378.01</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65,515.68</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115,440.43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综合收益总额</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64,697.57</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31,378.01</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65,515.68</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115,495.44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经营活动现金流量</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209,499.06</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133,113.07</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186,337.72</w:t>
            </w:r>
          </w:p>
        </w:tc>
        <w:tc>
          <w:tcPr>
            <w:tcW w:w="13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622,754.46</w:t>
            </w:r>
          </w:p>
        </w:tc>
      </w:tr>
    </w:tbl>
    <w:p>
      <w:pPr>
        <w:pStyle w:val="35"/>
        <w:rPr>
          <w:rFonts w:hint="eastAsia"/>
          <w:color w:val="auto"/>
          <w:highlight w:val="none"/>
        </w:rPr>
      </w:pPr>
      <w:r>
        <w:rPr>
          <w:color w:val="auto"/>
          <w:highlight w:val="none"/>
        </w:rPr>
        <w:fldChar w:fldCharType="end"/>
      </w:r>
    </w:p>
    <w:p>
      <w:pPr>
        <w:pStyle w:val="35"/>
        <w:rPr>
          <w:rFonts w:hint="eastAsia"/>
          <w:color w:val="auto"/>
          <w:highlight w:val="none"/>
        </w:rPr>
      </w:pPr>
    </w:p>
    <w:p>
      <w:pPr>
        <w:pStyle w:val="35"/>
        <w:rPr>
          <w:rFonts w:hint="eastAsia"/>
          <w:color w:val="auto"/>
          <w:highlight w:val="none"/>
        </w:rPr>
      </w:pPr>
    </w:p>
    <w:p>
      <w:pPr>
        <w:pStyle w:val="35"/>
        <w:rPr>
          <w:rFonts w:hint="eastAsia"/>
          <w:color w:val="auto"/>
          <w:highlight w:val="none"/>
        </w:rPr>
      </w:pPr>
    </w:p>
    <w:p>
      <w:pPr>
        <w:pStyle w:val="35"/>
        <w:rPr>
          <w:color w:val="auto"/>
          <w:highlight w:val="none"/>
        </w:rPr>
      </w:pPr>
    </w:p>
    <w:p>
      <w:pPr>
        <w:pStyle w:val="37"/>
        <w:rPr>
          <w:color w:val="auto"/>
          <w:highlight w:val="none"/>
        </w:rPr>
      </w:pPr>
      <w:r>
        <w:rPr>
          <w:color w:val="auto"/>
          <w:highlight w:val="none"/>
        </w:rPr>
        <w:t>本期不再纳入合并范围的原子公司</w:t>
      </w:r>
    </w:p>
    <w:p>
      <w:pPr>
        <w:pStyle w:val="44"/>
        <w:rPr>
          <w:color w:val="auto"/>
          <w:highlight w:val="none"/>
        </w:rPr>
      </w:pPr>
      <w:r>
        <w:rPr>
          <w:color w:val="auto"/>
          <w:highlight w:val="none"/>
        </w:rPr>
        <w:t>原子公司的基本情况</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"D:\\tonylee\\立信\\新附注排版工具\\2015央企年报格式\\中央企业财务报表和报表附注20160818V4.xlsm" "企业合并及合并财务报表!企业合并及合并财务报表7"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604"/>
        <w:gridCol w:w="1659"/>
        <w:gridCol w:w="1131"/>
        <w:gridCol w:w="1131"/>
        <w:gridCol w:w="1268"/>
        <w:gridCol w:w="1268"/>
        <w:gridCol w:w="112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序号</w:t>
            </w:r>
          </w:p>
        </w:tc>
        <w:tc>
          <w:tcPr>
            <w:tcW w:w="165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企业名称</w:t>
            </w:r>
          </w:p>
        </w:tc>
        <w:tc>
          <w:tcPr>
            <w:tcW w:w="113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注册地</w:t>
            </w:r>
          </w:p>
        </w:tc>
        <w:tc>
          <w:tcPr>
            <w:tcW w:w="113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业务性质</w:t>
            </w:r>
          </w:p>
        </w:tc>
        <w:tc>
          <w:tcPr>
            <w:tcW w:w="12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持股比例（%）</w:t>
            </w:r>
          </w:p>
        </w:tc>
        <w:tc>
          <w:tcPr>
            <w:tcW w:w="12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表决权比例（%）</w:t>
            </w:r>
          </w:p>
        </w:tc>
        <w:tc>
          <w:tcPr>
            <w:tcW w:w="112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本期不再成为子公司的原因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贵州能发电力燃料开发有限公司</w:t>
            </w:r>
          </w:p>
        </w:tc>
        <w:tc>
          <w:tcPr>
            <w:tcW w:w="113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贵州贵阳</w:t>
            </w:r>
          </w:p>
        </w:tc>
        <w:tc>
          <w:tcPr>
            <w:tcW w:w="113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煤炭</w:t>
            </w:r>
          </w:p>
        </w:tc>
        <w:tc>
          <w:tcPr>
            <w:tcW w:w="12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2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1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丧失控制权</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本</w:t>
      </w:r>
      <w:r>
        <w:rPr>
          <w:rFonts w:hint="eastAsia"/>
          <w:color w:val="auto"/>
          <w:highlight w:val="none"/>
        </w:rPr>
        <w:t>期</w:t>
      </w:r>
      <w:r>
        <w:rPr>
          <w:color w:val="auto"/>
          <w:highlight w:val="none"/>
        </w:rPr>
        <w:t>处置的子公司处置日的财务状况</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"D:\\tonylee\\立信\\新附注排版工具\\2015央企年报格式\\中央企业财务报表和报表附注20160818V4.xlsm" "企业合并及合并财务报表!企业合并及合并财务报表8"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008"/>
        <w:gridCol w:w="3543"/>
        <w:gridCol w:w="263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原子公司名称</w:t>
            </w:r>
          </w:p>
        </w:tc>
        <w:tc>
          <w:tcPr>
            <w:tcW w:w="618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贵州能发电力燃料开发有限公司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截止日期</w:t>
            </w:r>
          </w:p>
        </w:tc>
        <w:tc>
          <w:tcPr>
            <w:tcW w:w="35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处置日2024年12月31日</w:t>
            </w:r>
          </w:p>
        </w:tc>
        <w:tc>
          <w:tcPr>
            <w:tcW w:w="26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2023年12月31日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资产</w:t>
            </w:r>
          </w:p>
        </w:tc>
        <w:tc>
          <w:tcPr>
            <w:tcW w:w="35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235,663.67</w:t>
            </w:r>
          </w:p>
        </w:tc>
        <w:tc>
          <w:tcPr>
            <w:tcW w:w="26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503,287.30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负债</w:t>
            </w:r>
          </w:p>
        </w:tc>
        <w:tc>
          <w:tcPr>
            <w:tcW w:w="35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390,208.42</w:t>
            </w:r>
          </w:p>
        </w:tc>
        <w:tc>
          <w:tcPr>
            <w:tcW w:w="26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961,828.09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所有者权益</w:t>
            </w:r>
          </w:p>
        </w:tc>
        <w:tc>
          <w:tcPr>
            <w:tcW w:w="35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-154,544.75</w:t>
            </w:r>
          </w:p>
        </w:tc>
        <w:tc>
          <w:tcPr>
            <w:tcW w:w="26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-458,540.79</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本</w:t>
      </w:r>
      <w:r>
        <w:rPr>
          <w:rFonts w:hint="eastAsia"/>
          <w:color w:val="auto"/>
          <w:highlight w:val="none"/>
        </w:rPr>
        <w:t>期</w:t>
      </w:r>
      <w:r>
        <w:rPr>
          <w:color w:val="auto"/>
          <w:highlight w:val="none"/>
        </w:rPr>
        <w:t>处置的子公司本</w:t>
      </w:r>
      <w:r>
        <w:rPr>
          <w:rFonts w:hint="eastAsia"/>
          <w:color w:val="auto"/>
          <w:highlight w:val="none"/>
        </w:rPr>
        <w:t>期期</w:t>
      </w:r>
      <w:r>
        <w:rPr>
          <w:color w:val="auto"/>
          <w:highlight w:val="none"/>
        </w:rPr>
        <w:t>初至处置日的经营成果</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"D:\\tonylee\\立信\\新附注排版工具\\2015央企年报格式\\中央企业财务报表和报表附注20160818V4.xlsm" "企业合并及合并财务报表!企业合并及合并财务报表9"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405"/>
        <w:gridCol w:w="3935"/>
        <w:gridCol w:w="184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4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原子公司名称</w:t>
            </w:r>
          </w:p>
        </w:tc>
        <w:tc>
          <w:tcPr>
            <w:tcW w:w="578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贵州能发电力燃料开发有限公司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期间</w:t>
            </w:r>
          </w:p>
        </w:tc>
        <w:tc>
          <w:tcPr>
            <w:tcW w:w="39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2024年1月1日-处置日</w:t>
            </w:r>
          </w:p>
        </w:tc>
        <w:tc>
          <w:tcPr>
            <w:tcW w:w="184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2023年度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营业收入</w:t>
            </w:r>
          </w:p>
        </w:tc>
        <w:tc>
          <w:tcPr>
            <w:tcW w:w="39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10,702.45</w:t>
            </w:r>
          </w:p>
        </w:tc>
        <w:tc>
          <w:tcPr>
            <w:tcW w:w="18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62,272.31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营业成本</w:t>
            </w:r>
          </w:p>
        </w:tc>
        <w:tc>
          <w:tcPr>
            <w:tcW w:w="39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119,390.62</w:t>
            </w:r>
          </w:p>
        </w:tc>
        <w:tc>
          <w:tcPr>
            <w:tcW w:w="18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47,179.65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营业利润</w:t>
            </w:r>
          </w:p>
        </w:tc>
        <w:tc>
          <w:tcPr>
            <w:tcW w:w="39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-191,526.96</w:t>
            </w:r>
          </w:p>
        </w:tc>
        <w:tc>
          <w:tcPr>
            <w:tcW w:w="18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-38,987.46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利润总额</w:t>
            </w:r>
          </w:p>
        </w:tc>
        <w:tc>
          <w:tcPr>
            <w:tcW w:w="39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-191,781.63</w:t>
            </w:r>
          </w:p>
        </w:tc>
        <w:tc>
          <w:tcPr>
            <w:tcW w:w="18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-39,042.20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净利润</w:t>
            </w:r>
          </w:p>
        </w:tc>
        <w:tc>
          <w:tcPr>
            <w:tcW w:w="39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-189,058.98</w:t>
            </w:r>
          </w:p>
        </w:tc>
        <w:tc>
          <w:tcPr>
            <w:tcW w:w="18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-40,368.43</w:t>
            </w:r>
          </w:p>
        </w:tc>
      </w:tr>
    </w:tbl>
    <w:p>
      <w:pPr>
        <w:pStyle w:val="35"/>
        <w:rPr>
          <w:color w:val="auto"/>
          <w:highlight w:val="none"/>
        </w:rPr>
      </w:pPr>
      <w:r>
        <w:rPr>
          <w:color w:val="auto"/>
          <w:highlight w:val="none"/>
        </w:rPr>
        <w:fldChar w:fldCharType="end"/>
      </w:r>
    </w:p>
    <w:p>
      <w:pPr>
        <w:pStyle w:val="43"/>
        <w:rPr>
          <w:rFonts w:eastAsiaTheme="minorEastAsia"/>
          <w:color w:val="auto"/>
          <w:highlight w:val="none"/>
        </w:rPr>
      </w:pPr>
      <w:r>
        <w:rPr>
          <w:rFonts w:hint="eastAsia" w:eastAsiaTheme="minorEastAsia"/>
          <w:color w:val="auto"/>
          <w:highlight w:val="none"/>
        </w:rPr>
        <w:t>合并</w:t>
      </w:r>
      <w:r>
        <w:rPr>
          <w:rFonts w:eastAsiaTheme="minorEastAsia"/>
          <w:color w:val="auto"/>
          <w:highlight w:val="none"/>
        </w:rPr>
        <w:t>财务报表</w:t>
      </w:r>
      <w:r>
        <w:rPr>
          <w:rFonts w:hint="eastAsia" w:eastAsiaTheme="minorEastAsia"/>
          <w:color w:val="auto"/>
          <w:highlight w:val="none"/>
        </w:rPr>
        <w:t>重要</w:t>
      </w:r>
      <w:r>
        <w:rPr>
          <w:rFonts w:eastAsiaTheme="minorEastAsia"/>
          <w:color w:val="auto"/>
          <w:highlight w:val="none"/>
        </w:rPr>
        <w:t>项目</w:t>
      </w:r>
      <w:r>
        <w:rPr>
          <w:rFonts w:hint="eastAsia" w:eastAsiaTheme="minorEastAsia"/>
          <w:color w:val="auto"/>
          <w:highlight w:val="none"/>
        </w:rPr>
        <w:t>的说明</w:t>
      </w:r>
    </w:p>
    <w:p>
      <w:pPr>
        <w:pStyle w:val="38"/>
        <w:rPr>
          <w:color w:val="auto"/>
          <w:highlight w:val="none"/>
        </w:rPr>
      </w:pPr>
      <w:r>
        <w:rPr>
          <w:rFonts w:hint="eastAsia"/>
          <w:color w:val="auto"/>
          <w:highlight w:val="none"/>
        </w:rPr>
        <w:t>（除另有注明外，所有金额均以人民币元为货币单位）</w:t>
      </w:r>
    </w:p>
    <w:p>
      <w:pPr>
        <w:pStyle w:val="37"/>
        <w:rPr>
          <w:rFonts w:eastAsiaTheme="minorEastAsia"/>
          <w:color w:val="auto"/>
          <w:highlight w:val="none"/>
        </w:rPr>
      </w:pPr>
      <w:r>
        <w:rPr>
          <w:rFonts w:eastAsiaTheme="minorEastAsia"/>
          <w:color w:val="auto"/>
          <w:highlight w:val="none"/>
        </w:rPr>
        <w:t>货币资金</w:t>
      </w:r>
    </w:p>
    <w:p>
      <w:pPr>
        <w:pStyle w:val="38"/>
        <w:rPr>
          <w:rFonts w:eastAsiaTheme="minorEastAsia"/>
          <w:bCs/>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!货币资金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462"/>
        <w:gridCol w:w="2440"/>
        <w:gridCol w:w="228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46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4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8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库存现金</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银行存款</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1,412,627,196.98</w:t>
            </w: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895,717,263.20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其他货币资金</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58,031,822.32</w:t>
            </w: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172,398,085.32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1,470,659,019.30</w:t>
            </w: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1,068,115,348.52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其中：存放在境外的款项总额</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存放财务公司款项</w:t>
            </w:r>
          </w:p>
        </w:tc>
        <w:tc>
          <w:tcPr>
            <w:tcW w:w="24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1,374,221,779.51</w:t>
            </w:r>
          </w:p>
        </w:tc>
        <w:tc>
          <w:tcPr>
            <w:tcW w:w="22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688,243,104.95</w:t>
            </w:r>
          </w:p>
        </w:tc>
      </w:tr>
    </w:tbl>
    <w:p>
      <w:pPr>
        <w:pStyle w:val="38"/>
        <w:rPr>
          <w:rFonts w:eastAsiaTheme="minorEastAsia"/>
          <w:color w:val="auto"/>
          <w:szCs w:val="24"/>
          <w:highlight w:val="none"/>
        </w:rPr>
      </w:pPr>
      <w:r>
        <w:rPr>
          <w:rFonts w:eastAsiaTheme="minorEastAsia"/>
          <w:color w:val="auto"/>
          <w:highlight w:val="none"/>
        </w:rPr>
        <w:fldChar w:fldCharType="end"/>
      </w:r>
      <w:r>
        <w:rPr>
          <w:rFonts w:hint="eastAsia"/>
          <w:color w:val="auto"/>
          <w:highlight w:val="none"/>
        </w:rPr>
        <w:t>受限制的货币资金明细如下</w:t>
      </w:r>
      <w:r>
        <w:rPr>
          <w:color w:val="auto"/>
          <w:highlight w:val="none"/>
        </w:rPr>
        <w:t>：</w:t>
      </w:r>
    </w:p>
    <w:p>
      <w:pPr>
        <w:pStyle w:val="38"/>
        <w:rPr>
          <w:rFonts w:eastAsiaTheme="minorEastAsia"/>
          <w:color w:val="auto"/>
          <w:highlight w:val="none"/>
        </w:rPr>
      </w:pPr>
      <w:r>
        <w:rPr>
          <w:rFonts w:eastAsiaTheme="minorEastAsia"/>
          <w:color w:val="auto"/>
          <w:szCs w:val="24"/>
          <w:highlight w:val="none"/>
        </w:rPr>
        <w:fldChar w:fldCharType="begin"/>
      </w:r>
      <w:r>
        <w:rPr>
          <w:rFonts w:eastAsiaTheme="minorEastAsia"/>
          <w:color w:val="auto"/>
          <w:highlight w:val="none"/>
        </w:rPr>
        <w:instrText xml:space="preserve"> LINK Excel.Sheet.12 E:\\雍\\附注排版\\2014年年报格式\\附注过渡表20150130V0910.xlsx </w:instrText>
      </w:r>
      <w:r>
        <w:rPr>
          <w:rFonts w:hint="eastAsia" w:eastAsiaTheme="minorEastAsia"/>
          <w:color w:val="auto"/>
          <w:highlight w:val="none"/>
        </w:rPr>
        <w:instrText xml:space="preserve">合并附注</w:instrText>
      </w:r>
      <w:r>
        <w:rPr>
          <w:rFonts w:eastAsiaTheme="minorEastAsia"/>
          <w:color w:val="auto"/>
          <w:highlight w:val="none"/>
        </w:rPr>
        <w:instrText xml:space="preserve">!货币资金1 \f 4 \h \* MERGEFORMAT </w:instrText>
      </w:r>
      <w:r>
        <w:rPr>
          <w:rFonts w:eastAsiaTheme="minorEastAsia"/>
          <w:color w:val="auto"/>
          <w:szCs w:val="24"/>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498"/>
        <w:gridCol w:w="2345"/>
        <w:gridCol w:w="23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4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银行承兑汇票保证金</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8,691,882.52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信用证保证金</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123,344,759.30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履约保证金</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48,792,857.54</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29,969,242.37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司法冻结银行存款</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5,036,036.16</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10,392,201.13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账户使用受限制</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4,202,928.62</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58,031,822.32</w:t>
            </w:r>
          </w:p>
        </w:tc>
        <w:tc>
          <w:tcPr>
            <w:tcW w:w="2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172,398,085.32</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应收</w:t>
      </w:r>
      <w:r>
        <w:rPr>
          <w:rFonts w:eastAsiaTheme="minorEastAsia"/>
          <w:color w:val="auto"/>
          <w:highlight w:val="none"/>
        </w:rPr>
        <w:t>票据</w:t>
      </w:r>
    </w:p>
    <w:p>
      <w:pPr>
        <w:pStyle w:val="44"/>
        <w:numPr>
          <w:ilvl w:val="0"/>
          <w:numId w:val="0"/>
        </w:numPr>
        <w:ind w:left="1276"/>
        <w:rPr>
          <w:color w:val="auto"/>
          <w:highlight w:val="none"/>
        </w:rPr>
      </w:pPr>
      <w:r>
        <w:rPr>
          <w:color w:val="auto"/>
          <w:highlight w:val="none"/>
        </w:rPr>
        <w:t>应收票据分类</w:t>
      </w:r>
    </w:p>
    <w:p>
      <w:pPr>
        <w:pStyle w:val="35"/>
        <w:rPr>
          <w:rFonts w:asciiTheme="minorHAnsi" w:hAnsiTheme="minorHAnsi" w:eastAsiaTheme="minorEastAsia" w:cstheme="minorBidi"/>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"D:\\vsWorkspace\\branches\\20180822\\StandardTemplateTool\\template\\SASAC\\Frame\\201812\\SASACFinancialReports.xlsm" "合并附注!应收票据"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018"/>
        <w:gridCol w:w="1442"/>
        <w:gridCol w:w="798"/>
        <w:gridCol w:w="1442"/>
        <w:gridCol w:w="1345"/>
        <w:gridCol w:w="798"/>
        <w:gridCol w:w="13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1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种类</w:t>
            </w:r>
          </w:p>
        </w:tc>
        <w:tc>
          <w:tcPr>
            <w:tcW w:w="3682"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48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1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7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7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银行承兑汇票</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109,893,330.14</w:t>
            </w:r>
          </w:p>
        </w:tc>
        <w:tc>
          <w:tcPr>
            <w:tcW w:w="7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109,893,330.14</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21,145,366.38</w:t>
            </w:r>
          </w:p>
        </w:tc>
        <w:tc>
          <w:tcPr>
            <w:tcW w:w="7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21,145,366.38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109,893,330.14</w:t>
            </w:r>
          </w:p>
        </w:tc>
        <w:tc>
          <w:tcPr>
            <w:tcW w:w="7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109,893,330.14</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21,145,366.38</w:t>
            </w:r>
          </w:p>
        </w:tc>
        <w:tc>
          <w:tcPr>
            <w:tcW w:w="7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21,145,366.38</w:t>
            </w:r>
          </w:p>
        </w:tc>
      </w:tr>
    </w:tbl>
    <w:p>
      <w:pPr>
        <w:pStyle w:val="35"/>
        <w:rPr>
          <w:rFonts w:hint="eastAsia"/>
          <w:color w:val="auto"/>
          <w:highlight w:val="none"/>
        </w:rPr>
      </w:pPr>
      <w:r>
        <w:rPr>
          <w:rFonts w:eastAsiaTheme="minorEastAsia"/>
          <w:color w:val="auto"/>
          <w:highlight w:val="none"/>
        </w:rPr>
        <w:fldChar w:fldCharType="end"/>
      </w:r>
    </w:p>
    <w:p>
      <w:pPr>
        <w:pStyle w:val="37"/>
        <w:rPr>
          <w:color w:val="auto"/>
          <w:highlight w:val="none"/>
        </w:rPr>
      </w:pPr>
      <w:r>
        <w:rPr>
          <w:color w:val="auto"/>
          <w:highlight w:val="none"/>
        </w:rPr>
        <w:t>应收账款</w:t>
      </w:r>
    </w:p>
    <w:p>
      <w:pPr>
        <w:pStyle w:val="44"/>
        <w:rPr>
          <w:color w:val="auto"/>
          <w:highlight w:val="none"/>
        </w:rPr>
      </w:pPr>
      <w:r>
        <w:rPr>
          <w:rFonts w:hint="eastAsia"/>
          <w:color w:val="auto"/>
          <w:highlight w:val="none"/>
        </w:rPr>
        <w:t>按账龄</w:t>
      </w:r>
      <w:r>
        <w:rPr>
          <w:color w:val="auto"/>
          <w:highlight w:val="none"/>
        </w:rPr>
        <w:t>披露应收账款</w:t>
      </w:r>
    </w:p>
    <w:p>
      <w:pPr>
        <w:pStyle w:val="38"/>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"D:\\vsWorkspace\\branches\\20190430\\StandardTemplateTool\\template\\SASAC\\Frame\\202212\\SASACFinancialReports.xlsx" "应收账款!应收账款"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324"/>
        <w:gridCol w:w="1587"/>
        <w:gridCol w:w="1345"/>
        <w:gridCol w:w="1587"/>
        <w:gridCol w:w="13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2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293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293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2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2,426,421,641.49</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8,140,152.18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2,479,201,895.09</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2,206,241.84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1,264,104,671.41</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7,894,938.57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2,229,601,786.24</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2,181,753.23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1,914,819,532.64</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4,233,760.22</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133,338,064.44</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16,351,546.15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195,535,352.73</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53,694,707.11</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67,001,250.19</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37,320,841.51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5,800,881,198.27</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73,963,558.08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4,909,142,995.96</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58,060,382.73</w:t>
            </w:r>
          </w:p>
        </w:tc>
      </w:tr>
    </w:tbl>
    <w:p>
      <w:pPr>
        <w:pStyle w:val="38"/>
        <w:rPr>
          <w:color w:val="auto"/>
          <w:highlight w:val="none"/>
        </w:rPr>
      </w:pPr>
      <w:r>
        <w:rPr>
          <w:color w:val="auto"/>
          <w:highlight w:val="none"/>
        </w:rPr>
        <w:fldChar w:fldCharType="end"/>
      </w:r>
    </w:p>
    <w:p>
      <w:pPr>
        <w:pStyle w:val="38"/>
        <w:rPr>
          <w:rFonts w:eastAsiaTheme="minorEastAsia"/>
          <w:b/>
          <w:bCs/>
          <w:color w:val="auto"/>
          <w:highlight w:val="none"/>
        </w:rPr>
        <w:sectPr>
          <w:pgSz w:w="11907" w:h="16839"/>
          <w:pgMar w:top="1440" w:right="1797" w:bottom="1440" w:left="1797" w:header="794" w:footer="992" w:gutter="0"/>
          <w:cols w:space="425" w:num="1"/>
          <w:docGrid w:linePitch="312" w:charSpace="0"/>
        </w:sectPr>
      </w:pPr>
    </w:p>
    <w:p>
      <w:pPr>
        <w:pStyle w:val="44"/>
        <w:rPr>
          <w:bCs/>
          <w:color w:val="auto"/>
          <w:highlight w:val="none"/>
        </w:rPr>
      </w:pPr>
      <w:r>
        <w:rPr>
          <w:rFonts w:hint="eastAsia"/>
          <w:color w:val="auto"/>
          <w:highlight w:val="none"/>
        </w:rPr>
        <w:t>按坏账准备计提方法分类披露应收账款</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!应收账款1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00"/>
        <w:gridCol w:w="1516"/>
        <w:gridCol w:w="746"/>
        <w:gridCol w:w="1288"/>
        <w:gridCol w:w="928"/>
        <w:gridCol w:w="1516"/>
        <w:gridCol w:w="1516"/>
        <w:gridCol w:w="777"/>
        <w:gridCol w:w="1285"/>
        <w:gridCol w:w="920"/>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0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类别</w:t>
            </w:r>
          </w:p>
        </w:tc>
        <w:tc>
          <w:tcPr>
            <w:tcW w:w="5994"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6014"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0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26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21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1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29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20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1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0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74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28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92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51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7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28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92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51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0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按单项计提坏账准备的应收账款</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58,687,452.67</w:t>
            </w:r>
          </w:p>
        </w:tc>
        <w:tc>
          <w:tcPr>
            <w:tcW w:w="7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w:t>
            </w:r>
          </w:p>
        </w:tc>
        <w:tc>
          <w:tcPr>
            <w:tcW w:w="12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58,687,452.67</w:t>
            </w:r>
          </w:p>
        </w:tc>
        <w:tc>
          <w:tcPr>
            <w:tcW w:w="9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55,378,265.48</w:t>
            </w:r>
          </w:p>
        </w:tc>
        <w:tc>
          <w:tcPr>
            <w:tcW w:w="7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1.13</w:t>
            </w: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55,378,265.48</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0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按信用风险特征组合计提坏账准备的应收账款</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5,742,193,745.60</w:t>
            </w:r>
          </w:p>
        </w:tc>
        <w:tc>
          <w:tcPr>
            <w:tcW w:w="7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98.99</w:t>
            </w:r>
          </w:p>
        </w:tc>
        <w:tc>
          <w:tcPr>
            <w:tcW w:w="12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15,276,105.41</w:t>
            </w:r>
          </w:p>
        </w:tc>
        <w:tc>
          <w:tcPr>
            <w:tcW w:w="9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0.27</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5,726,917,640.19</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4,853,764,730.48</w:t>
            </w:r>
          </w:p>
        </w:tc>
        <w:tc>
          <w:tcPr>
            <w:tcW w:w="7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98.87</w:t>
            </w: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2,682,117.25</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0.06</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4,851,082,613.23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0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其中：账龄分析组合</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210,936,607.22</w:t>
            </w:r>
          </w:p>
        </w:tc>
        <w:tc>
          <w:tcPr>
            <w:tcW w:w="7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15,276,105.41</w:t>
            </w:r>
          </w:p>
        </w:tc>
        <w:tc>
          <w:tcPr>
            <w:tcW w:w="9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195,660,501.81</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23,263,115.89</w:t>
            </w:r>
          </w:p>
        </w:tc>
        <w:tc>
          <w:tcPr>
            <w:tcW w:w="7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2,682,117.25</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20,580,998.64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0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低风险组合</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5,531,257,138.38</w:t>
            </w:r>
          </w:p>
        </w:tc>
        <w:tc>
          <w:tcPr>
            <w:tcW w:w="7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5,531,257,138.38</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4,830,501,614.59</w:t>
            </w:r>
          </w:p>
        </w:tc>
        <w:tc>
          <w:tcPr>
            <w:tcW w:w="7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4,830,501,614.59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0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5,800,881,198.27</w:t>
            </w:r>
          </w:p>
        </w:tc>
        <w:tc>
          <w:tcPr>
            <w:tcW w:w="7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2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73,963,558.08</w:t>
            </w:r>
          </w:p>
        </w:tc>
        <w:tc>
          <w:tcPr>
            <w:tcW w:w="92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5,726,917,640.19</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4,909,142,995.96</w:t>
            </w:r>
          </w:p>
        </w:tc>
        <w:tc>
          <w:tcPr>
            <w:tcW w:w="7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58,060,382.73</w:t>
            </w:r>
          </w:p>
        </w:tc>
        <w:tc>
          <w:tcPr>
            <w:tcW w:w="92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4,851,082,613.23</w:t>
            </w:r>
          </w:p>
        </w:tc>
      </w:tr>
    </w:tbl>
    <w:p>
      <w:pPr>
        <w:pStyle w:val="35"/>
        <w:rPr>
          <w:rFonts w:eastAsiaTheme="minorEastAsia"/>
          <w:color w:val="auto"/>
          <w:highlight w:val="none"/>
        </w:rPr>
      </w:pPr>
      <w:r>
        <w:rPr>
          <w:rFonts w:eastAsiaTheme="minorEastAsia"/>
          <w:color w:val="auto"/>
          <w:highlight w:val="none"/>
        </w:rPr>
        <w:fldChar w:fldCharType="end"/>
      </w:r>
    </w:p>
    <w:p>
      <w:pPr>
        <w:pStyle w:val="35"/>
        <w:rPr>
          <w:color w:val="auto"/>
          <w:highlight w:val="none"/>
        </w:rPr>
      </w:pPr>
    </w:p>
    <w:p>
      <w:pPr>
        <w:pStyle w:val="38"/>
        <w:rPr>
          <w:rFonts w:eastAsiaTheme="minorEastAsia"/>
          <w:b/>
          <w:color w:val="auto"/>
          <w:highlight w:val="none"/>
        </w:rPr>
        <w:sectPr>
          <w:pgSz w:w="16839" w:h="11907" w:orient="landscape"/>
          <w:pgMar w:top="1797" w:right="1440" w:bottom="1797" w:left="1440" w:header="794" w:footer="992" w:gutter="0"/>
          <w:cols w:space="425" w:num="1"/>
          <w:docGrid w:linePitch="312" w:charSpace="0"/>
        </w:sectPr>
      </w:pPr>
    </w:p>
    <w:p>
      <w:pPr>
        <w:pStyle w:val="35"/>
        <w:rPr>
          <w:b/>
          <w:bCs/>
          <w:color w:val="auto"/>
          <w:highlight w:val="none"/>
        </w:rPr>
      </w:pPr>
      <w:r>
        <w:rPr>
          <w:rFonts w:hint="eastAsia"/>
          <w:b/>
          <w:bCs/>
          <w:color w:val="auto"/>
          <w:highlight w:val="none"/>
        </w:rPr>
        <w:t>期末单项计提坏账准备的应收账款</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"D:\\work\\20190430V3\\StandardTemplateTool\\template\\SASAC\\Frame\\202112\\SASACFinancialReports.xlsx" "应收账款!应收账款2"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889"/>
        <w:gridCol w:w="1372"/>
        <w:gridCol w:w="1221"/>
        <w:gridCol w:w="1372"/>
        <w:gridCol w:w="13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88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债务人名称</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122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预期信用损失率(%)</w:t>
            </w:r>
          </w:p>
        </w:tc>
        <w:tc>
          <w:tcPr>
            <w:tcW w:w="133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贵州粤黔电力有限责任公司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28,003,490.93</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28,003,490.93</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贵州电网有限责任公司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17,435,068.15</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17,435,068.15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遵义县南江贸易有限公司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4,367,945.04</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4,367,945.04</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三亚世纪豪庭酒店管理有限公司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3,311,683.20</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3,311,683.20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广西贵港市昌龙贸易有限公司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1,806,000.00</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1,806,000.00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其他小额汇总</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3,763,265.35</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3,763,265.35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88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58,687,452.67</w:t>
            </w:r>
          </w:p>
        </w:tc>
        <w:tc>
          <w:tcPr>
            <w:tcW w:w="122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58,687,452.67</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33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bl>
    <w:p>
      <w:pPr>
        <w:pStyle w:val="35"/>
        <w:rPr>
          <w:color w:val="auto"/>
          <w:highlight w:val="none"/>
        </w:rPr>
      </w:pPr>
      <w:r>
        <w:rPr>
          <w:color w:val="auto"/>
          <w:highlight w:val="none"/>
        </w:rPr>
        <w:fldChar w:fldCharType="end"/>
      </w:r>
    </w:p>
    <w:p>
      <w:pPr>
        <w:pStyle w:val="35"/>
        <w:rPr>
          <w:b/>
          <w:bCs/>
          <w:color w:val="auto"/>
          <w:highlight w:val="none"/>
        </w:rPr>
      </w:pPr>
      <w:r>
        <w:rPr>
          <w:rFonts w:hint="eastAsia"/>
          <w:b/>
          <w:bCs/>
          <w:color w:val="auto"/>
          <w:highlight w:val="none"/>
        </w:rPr>
        <w:t>按信用风险特征组合计提坏账准备的应收账款</w:t>
      </w:r>
    </w:p>
    <w:p>
      <w:pPr>
        <w:pStyle w:val="35"/>
        <w:rPr>
          <w:color w:val="auto"/>
          <w:highlight w:val="none"/>
        </w:rPr>
      </w:pPr>
      <w:r>
        <w:rPr>
          <w:rFonts w:hint="eastAsia"/>
          <w:color w:val="auto"/>
          <w:highlight w:val="none"/>
        </w:rPr>
        <w:t>（1）账龄组合</w:t>
      </w:r>
    </w:p>
    <w:p>
      <w:pPr>
        <w:pStyle w:val="35"/>
        <w:rPr>
          <w:color w:val="auto"/>
          <w:szCs w:val="22"/>
          <w:highlight w:val="none"/>
        </w:rPr>
      </w:pP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!应收账款4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045"/>
        <w:gridCol w:w="1245"/>
        <w:gridCol w:w="1231"/>
        <w:gridCol w:w="1223"/>
        <w:gridCol w:w="1229"/>
        <w:gridCol w:w="1078"/>
        <w:gridCol w:w="113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4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账龄</w:t>
            </w:r>
          </w:p>
        </w:tc>
        <w:tc>
          <w:tcPr>
            <w:tcW w:w="3699"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期末数</w:t>
            </w:r>
          </w:p>
        </w:tc>
        <w:tc>
          <w:tcPr>
            <w:tcW w:w="344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4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47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22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坏账准备</w:t>
            </w:r>
          </w:p>
        </w:tc>
        <w:tc>
          <w:tcPr>
            <w:tcW w:w="2307"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13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4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245"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23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比例（%）</w:t>
            </w:r>
          </w:p>
        </w:tc>
        <w:tc>
          <w:tcPr>
            <w:tcW w:w="1223"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229"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078"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比例（%）</w:t>
            </w:r>
          </w:p>
        </w:tc>
        <w:tc>
          <w:tcPr>
            <w:tcW w:w="113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4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1年以内（含1年）</w:t>
            </w:r>
          </w:p>
        </w:tc>
        <w:tc>
          <w:tcPr>
            <w:tcW w:w="124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197,220,008.02</w:t>
            </w:r>
          </w:p>
        </w:tc>
        <w:tc>
          <w:tcPr>
            <w:tcW w:w="123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93.50</w:t>
            </w:r>
          </w:p>
        </w:tc>
        <w:tc>
          <w:tcPr>
            <w:tcW w:w="122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3,147,406.62</w:t>
            </w:r>
          </w:p>
        </w:tc>
        <w:tc>
          <w:tcPr>
            <w:tcW w:w="122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2,289,372.07</w:t>
            </w:r>
          </w:p>
        </w:tc>
        <w:tc>
          <w:tcPr>
            <w:tcW w:w="107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9.84</w:t>
            </w:r>
          </w:p>
        </w:tc>
        <w:tc>
          <w:tcPr>
            <w:tcW w:w="113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500,364.02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4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1至2年</w:t>
            </w:r>
          </w:p>
        </w:tc>
        <w:tc>
          <w:tcPr>
            <w:tcW w:w="124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12,263,115.89</w:t>
            </w:r>
          </w:p>
        </w:tc>
        <w:tc>
          <w:tcPr>
            <w:tcW w:w="123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5.81</w:t>
            </w:r>
          </w:p>
        </w:tc>
        <w:tc>
          <w:tcPr>
            <w:tcW w:w="122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7,894,938.57</w:t>
            </w:r>
          </w:p>
        </w:tc>
        <w:tc>
          <w:tcPr>
            <w:tcW w:w="122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20,973,743.82</w:t>
            </w:r>
          </w:p>
        </w:tc>
        <w:tc>
          <w:tcPr>
            <w:tcW w:w="107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90.16</w:t>
            </w:r>
          </w:p>
        </w:tc>
        <w:tc>
          <w:tcPr>
            <w:tcW w:w="113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2,181,753.23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4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2至3年</w:t>
            </w:r>
          </w:p>
        </w:tc>
        <w:tc>
          <w:tcPr>
            <w:tcW w:w="124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1,453,483.31</w:t>
            </w:r>
          </w:p>
        </w:tc>
        <w:tc>
          <w:tcPr>
            <w:tcW w:w="123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0.68</w:t>
            </w:r>
          </w:p>
        </w:tc>
        <w:tc>
          <w:tcPr>
            <w:tcW w:w="122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4,233,760.22</w:t>
            </w:r>
          </w:p>
        </w:tc>
        <w:tc>
          <w:tcPr>
            <w:tcW w:w="122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7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3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4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3年以上</w:t>
            </w:r>
          </w:p>
        </w:tc>
        <w:tc>
          <w:tcPr>
            <w:tcW w:w="124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3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7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3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45"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124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210,936,607.22</w:t>
            </w:r>
          </w:p>
        </w:tc>
        <w:tc>
          <w:tcPr>
            <w:tcW w:w="123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99.99</w:t>
            </w:r>
          </w:p>
        </w:tc>
        <w:tc>
          <w:tcPr>
            <w:tcW w:w="122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15,276,105.41</w:t>
            </w:r>
          </w:p>
        </w:tc>
        <w:tc>
          <w:tcPr>
            <w:tcW w:w="122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23,263,115.89</w:t>
            </w:r>
          </w:p>
        </w:tc>
        <w:tc>
          <w:tcPr>
            <w:tcW w:w="107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13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2,682,117.25</w:t>
            </w:r>
          </w:p>
        </w:tc>
      </w:tr>
    </w:tbl>
    <w:p>
      <w:pPr>
        <w:pStyle w:val="35"/>
        <w:rPr>
          <w:rFonts w:eastAsiaTheme="minorEastAsia"/>
          <w:color w:val="auto"/>
          <w:highlight w:val="none"/>
        </w:rPr>
      </w:pPr>
      <w:r>
        <w:rPr>
          <w:rFonts w:eastAsiaTheme="minorEastAsia"/>
          <w:color w:val="auto"/>
          <w:highlight w:val="none"/>
        </w:rPr>
        <w:fldChar w:fldCharType="end"/>
      </w:r>
    </w:p>
    <w:p>
      <w:pPr>
        <w:pStyle w:val="35"/>
        <w:rPr>
          <w:color w:val="auto"/>
          <w:highlight w:val="none"/>
        </w:rPr>
      </w:pPr>
      <w:r>
        <w:rPr>
          <w:rFonts w:hint="eastAsia"/>
          <w:color w:val="auto"/>
          <w:highlight w:val="none"/>
        </w:rPr>
        <w:t>（2）采用余额百分比或其他组合方法计提坏账准备的应收账款</w:t>
      </w:r>
    </w:p>
    <w:p>
      <w:pPr>
        <w:pStyle w:val="35"/>
        <w:rPr>
          <w:color w:val="auto"/>
          <w:szCs w:val="22"/>
          <w:highlight w:val="none"/>
        </w:rPr>
      </w:pP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!应收账款5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569"/>
        <w:gridCol w:w="1598"/>
        <w:gridCol w:w="1047"/>
        <w:gridCol w:w="693"/>
        <w:gridCol w:w="1598"/>
        <w:gridCol w:w="1039"/>
        <w:gridCol w:w="64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6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组合名称</w:t>
            </w:r>
          </w:p>
        </w:tc>
        <w:tc>
          <w:tcPr>
            <w:tcW w:w="333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281"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6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69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64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6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低风险组合—电费及热力费</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5,531,257,138.38</w:t>
            </w:r>
          </w:p>
        </w:tc>
        <w:tc>
          <w:tcPr>
            <w:tcW w:w="10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4,830,501,614.59</w:t>
            </w:r>
          </w:p>
        </w:tc>
        <w:tc>
          <w:tcPr>
            <w:tcW w:w="10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5,531,257,138.38</w:t>
            </w:r>
          </w:p>
        </w:tc>
        <w:tc>
          <w:tcPr>
            <w:tcW w:w="10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4,830,501,614.59</w:t>
            </w:r>
          </w:p>
        </w:tc>
        <w:tc>
          <w:tcPr>
            <w:tcW w:w="10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r>
        <w:rPr>
          <w:rFonts w:eastAsiaTheme="minorEastAsia"/>
          <w:color w:val="auto"/>
          <w:highlight w:val="none"/>
        </w:rPr>
        <w:br w:type="page"/>
      </w:r>
    </w:p>
    <w:p>
      <w:pPr>
        <w:pStyle w:val="44"/>
        <w:rPr>
          <w:color w:val="auto"/>
          <w:highlight w:val="none"/>
        </w:rPr>
      </w:pPr>
      <w:r>
        <w:rPr>
          <w:rFonts w:hint="eastAsia"/>
          <w:color w:val="auto"/>
          <w:highlight w:val="none"/>
        </w:rPr>
        <w:t>收回或转回的坏账准备情况</w:t>
      </w:r>
    </w:p>
    <w:p>
      <w:pPr>
        <w:pStyle w:val="35"/>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!应收账款6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297"/>
        <w:gridCol w:w="1075"/>
        <w:gridCol w:w="2148"/>
        <w:gridCol w:w="26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10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转回或收回金额</w:t>
            </w:r>
          </w:p>
        </w:tc>
        <w:tc>
          <w:tcPr>
            <w:tcW w:w="214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转回或收回前累计已计提坏账准备金额</w:t>
            </w:r>
          </w:p>
        </w:tc>
        <w:tc>
          <w:tcPr>
            <w:tcW w:w="26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九江萍钢钢铁有限公司</w:t>
            </w:r>
          </w:p>
        </w:tc>
        <w:tc>
          <w:tcPr>
            <w:tcW w:w="10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2,496.01</w:t>
            </w:r>
          </w:p>
        </w:tc>
        <w:tc>
          <w:tcPr>
            <w:tcW w:w="2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2,496.01</w:t>
            </w:r>
          </w:p>
        </w:tc>
        <w:tc>
          <w:tcPr>
            <w:tcW w:w="26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恢复业务往来，收取票据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0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2,496.01</w:t>
            </w:r>
          </w:p>
        </w:tc>
        <w:tc>
          <w:tcPr>
            <w:tcW w:w="2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2,496.01</w:t>
            </w:r>
          </w:p>
        </w:tc>
        <w:tc>
          <w:tcPr>
            <w:tcW w:w="26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44"/>
        <w:rPr>
          <w:color w:val="auto"/>
          <w:highlight w:val="none"/>
        </w:rPr>
      </w:pPr>
      <w:r>
        <w:rPr>
          <w:color w:val="auto"/>
          <w:highlight w:val="none"/>
        </w:rPr>
        <w:t>按欠款方归集的期末余额前五名的应收账款情况</w:t>
      </w:r>
    </w:p>
    <w:p>
      <w:pPr>
        <w:pStyle w:val="35"/>
        <w:rPr>
          <w:rFonts w:eastAsiaTheme="minorEastAsia"/>
          <w:color w:val="auto"/>
          <w:highlight w:val="none"/>
        </w:rPr>
      </w:pPr>
      <w:r>
        <w:rPr>
          <w:rFonts w:eastAsiaTheme="minorEastAsia"/>
          <w:color w:val="auto"/>
          <w:szCs w:val="24"/>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!应收账款8 \f 4 \h \* MERGEFORMAT </w:instrText>
      </w:r>
      <w:r>
        <w:rPr>
          <w:rFonts w:eastAsiaTheme="minorEastAsia"/>
          <w:color w:val="auto"/>
          <w:szCs w:val="24"/>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449"/>
        <w:gridCol w:w="1842"/>
        <w:gridCol w:w="1688"/>
        <w:gridCol w:w="220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44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18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68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占应收账款合计的比例（%）</w:t>
            </w:r>
          </w:p>
        </w:tc>
        <w:tc>
          <w:tcPr>
            <w:tcW w:w="220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贵州电网有限责任公司</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3,039,692,726.19</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52.40</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17,435,068.15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广西电网有限责任公司</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535,997,313.97</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9.24</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云南电网有限责任公司</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334,097,138.78</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5.76</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国家储备局</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321,029,762.60</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5.53</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国网陕西省电力公司</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222,422,484.84</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3.83</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4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8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4,453,239,426.38</w:t>
            </w:r>
          </w:p>
        </w:tc>
        <w:tc>
          <w:tcPr>
            <w:tcW w:w="16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76.76</w:t>
            </w:r>
          </w:p>
        </w:tc>
        <w:tc>
          <w:tcPr>
            <w:tcW w:w="22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17,435,068.15</w:t>
            </w:r>
          </w:p>
        </w:tc>
      </w:tr>
    </w:tbl>
    <w:p>
      <w:pPr>
        <w:pStyle w:val="35"/>
        <w:ind w:left="0"/>
        <w:rPr>
          <w:rFonts w:eastAsiaTheme="minorEastAsia"/>
          <w:color w:val="auto"/>
          <w:highlight w:val="none"/>
          <w:shd w:val="pct10" w:color="auto" w:fill="FFFFFF"/>
        </w:rPr>
      </w:pPr>
      <w:r>
        <w:rPr>
          <w:rFonts w:eastAsiaTheme="minorEastAsia"/>
          <w:color w:val="auto"/>
          <w:highlight w:val="none"/>
        </w:rPr>
        <w:fldChar w:fldCharType="end"/>
      </w:r>
    </w:p>
    <w:p>
      <w:pPr>
        <w:pStyle w:val="35"/>
        <w:rPr>
          <w:rFonts w:eastAsiaTheme="minorEastAsia"/>
          <w:color w:val="auto"/>
          <w:highlight w:val="none"/>
        </w:rPr>
      </w:pPr>
    </w:p>
    <w:p>
      <w:pPr>
        <w:pStyle w:val="44"/>
        <w:rPr>
          <w:rFonts w:eastAsiaTheme="minorEastAsia"/>
          <w:color w:val="auto"/>
          <w:highlight w:val="none"/>
        </w:rPr>
        <w:sectPr>
          <w:pgSz w:w="11907" w:h="16839"/>
          <w:pgMar w:top="1440" w:right="1797" w:bottom="1440" w:left="1797" w:header="794"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预付款项</w:t>
      </w:r>
    </w:p>
    <w:p>
      <w:pPr>
        <w:pStyle w:val="44"/>
        <w:rPr>
          <w:rFonts w:eastAsiaTheme="minorEastAsia"/>
          <w:color w:val="auto"/>
          <w:highlight w:val="none"/>
        </w:rPr>
      </w:pPr>
      <w:r>
        <w:rPr>
          <w:rFonts w:eastAsiaTheme="minorEastAsia"/>
          <w:color w:val="auto"/>
          <w:highlight w:val="none"/>
        </w:rPr>
        <w:t>预付款项按账龄列示</w:t>
      </w:r>
    </w:p>
    <w:p>
      <w:pPr>
        <w:pStyle w:val="35"/>
        <w:rPr>
          <w:rFonts w:eastAsiaTheme="minorEastAsia"/>
          <w:color w:val="auto"/>
          <w:szCs w:val="22"/>
          <w:highlight w:val="none"/>
        </w:rPr>
      </w:pPr>
      <w:r>
        <w:rPr>
          <w:rFonts w:eastAsiaTheme="minorEastAsia"/>
          <w:b/>
          <w:bCs/>
          <w:color w:val="auto"/>
          <w:highlight w:val="none"/>
          <w:lang w:val="en-AU"/>
        </w:rPr>
        <w:fldChar w:fldCharType="begin"/>
      </w:r>
      <w:r>
        <w:rPr>
          <w:rFonts w:eastAsiaTheme="minorEastAsia"/>
          <w:color w:val="auto"/>
          <w:highlight w:val="none"/>
          <w:lang w:val="en-AU"/>
        </w:rPr>
        <w:instrText xml:space="preserve"> LINK Excel.Sheet.12 E:\\雍\\附注排版\\2014年年报格式\\附注过渡表20150130V0910.xlsx</w:instrText>
      </w:r>
      <w:r>
        <w:rPr>
          <w:rFonts w:hint="eastAsia" w:eastAsiaTheme="minorEastAsia"/>
          <w:color w:val="auto"/>
          <w:highlight w:val="none"/>
          <w:lang w:val="en-AU"/>
        </w:rPr>
        <w:instrText xml:space="preserve"> </w:instrText>
      </w:r>
      <w:r>
        <w:rPr>
          <w:rFonts w:hint="eastAsia" w:eastAsiaTheme="minorEastAsia"/>
          <w:color w:val="auto"/>
          <w:highlight w:val="none"/>
        </w:rPr>
        <w:instrText xml:space="preserve">合并附注</w:instrText>
      </w:r>
      <w:r>
        <w:rPr>
          <w:rFonts w:eastAsiaTheme="minorEastAsia"/>
          <w:color w:val="auto"/>
          <w:highlight w:val="none"/>
          <w:lang w:val="en-AU"/>
        </w:rPr>
        <w:instrText xml:space="preserve">!预付款项 \f 4 \h \* MERGEFORMAT </w:instrText>
      </w:r>
      <w:r>
        <w:rPr>
          <w:rFonts w:eastAsiaTheme="minorEastAsia"/>
          <w:b/>
          <w:bCs/>
          <w:color w:val="auto"/>
          <w:highlight w:val="none"/>
          <w:lang w:val="en-AU"/>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99"/>
        <w:gridCol w:w="2395"/>
        <w:gridCol w:w="1518"/>
        <w:gridCol w:w="1891"/>
        <w:gridCol w:w="2308"/>
        <w:gridCol w:w="1421"/>
        <w:gridCol w:w="207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9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580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5805"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9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391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89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3729"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07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9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39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151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89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3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142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207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23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457,119,353.37</w:t>
            </w:r>
          </w:p>
        </w:tc>
        <w:tc>
          <w:tcPr>
            <w:tcW w:w="15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90.15</w:t>
            </w:r>
          </w:p>
        </w:tc>
        <w:tc>
          <w:tcPr>
            <w:tcW w:w="18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3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431,620,411.66</w:t>
            </w:r>
          </w:p>
        </w:tc>
        <w:tc>
          <w:tcPr>
            <w:tcW w:w="142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82.76</w:t>
            </w:r>
          </w:p>
        </w:tc>
        <w:tc>
          <w:tcPr>
            <w:tcW w:w="20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23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1,596,295.06</w:t>
            </w:r>
          </w:p>
        </w:tc>
        <w:tc>
          <w:tcPr>
            <w:tcW w:w="15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0.31</w:t>
            </w:r>
          </w:p>
        </w:tc>
        <w:tc>
          <w:tcPr>
            <w:tcW w:w="18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3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9,974,973.73</w:t>
            </w:r>
          </w:p>
        </w:tc>
        <w:tc>
          <w:tcPr>
            <w:tcW w:w="142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w:t>
            </w:r>
          </w:p>
        </w:tc>
        <w:tc>
          <w:tcPr>
            <w:tcW w:w="20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23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3,251,794.08</w:t>
            </w:r>
          </w:p>
        </w:tc>
        <w:tc>
          <w:tcPr>
            <w:tcW w:w="15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0.64</w:t>
            </w:r>
          </w:p>
        </w:tc>
        <w:tc>
          <w:tcPr>
            <w:tcW w:w="18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7,988,357.58</w:t>
            </w:r>
          </w:p>
        </w:tc>
        <w:tc>
          <w:tcPr>
            <w:tcW w:w="23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6,739,147.03</w:t>
            </w:r>
          </w:p>
        </w:tc>
        <w:tc>
          <w:tcPr>
            <w:tcW w:w="142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1.29</w:t>
            </w:r>
          </w:p>
        </w:tc>
        <w:tc>
          <w:tcPr>
            <w:tcW w:w="20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6,368,990.76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23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45,122,506.61</w:t>
            </w:r>
          </w:p>
        </w:tc>
        <w:tc>
          <w:tcPr>
            <w:tcW w:w="15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8.90</w:t>
            </w:r>
          </w:p>
        </w:tc>
        <w:tc>
          <w:tcPr>
            <w:tcW w:w="18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52,834,012.08</w:t>
            </w:r>
          </w:p>
        </w:tc>
        <w:tc>
          <w:tcPr>
            <w:tcW w:w="23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73,201,308.71</w:t>
            </w:r>
          </w:p>
        </w:tc>
        <w:tc>
          <w:tcPr>
            <w:tcW w:w="142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14.04</w:t>
            </w:r>
          </w:p>
        </w:tc>
        <w:tc>
          <w:tcPr>
            <w:tcW w:w="20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69,861,536.88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507,089,949.12</w:t>
            </w:r>
          </w:p>
        </w:tc>
        <w:tc>
          <w:tcPr>
            <w:tcW w:w="15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8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60,822,369.66</w:t>
            </w:r>
          </w:p>
        </w:tc>
        <w:tc>
          <w:tcPr>
            <w:tcW w:w="23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521,535,841.13</w:t>
            </w:r>
          </w:p>
        </w:tc>
        <w:tc>
          <w:tcPr>
            <w:tcW w:w="142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20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76,230,527.64</w:t>
            </w:r>
          </w:p>
        </w:tc>
      </w:tr>
    </w:tbl>
    <w:p>
      <w:pPr>
        <w:pStyle w:val="35"/>
        <w:rPr>
          <w:rFonts w:eastAsiaTheme="minorEastAsia"/>
          <w:color w:val="auto"/>
          <w:highlight w:val="none"/>
        </w:rPr>
      </w:pPr>
      <w:r>
        <w:rPr>
          <w:rFonts w:eastAsiaTheme="minorEastAsia"/>
          <w:color w:val="auto"/>
          <w:highlight w:val="none"/>
          <w:lang w:val="en-AU"/>
        </w:rPr>
        <w:fldChar w:fldCharType="end"/>
      </w:r>
    </w:p>
    <w:p>
      <w:pPr>
        <w:pStyle w:val="44"/>
        <w:rPr>
          <w:color w:val="auto"/>
          <w:kern w:val="0"/>
          <w:highlight w:val="none"/>
        </w:rPr>
        <w:sectPr>
          <w:pgSz w:w="16839" w:h="11907" w:orient="landscape"/>
          <w:pgMar w:top="1797" w:right="1440" w:bottom="1797" w:left="1440" w:header="794" w:footer="992" w:gutter="0"/>
          <w:cols w:space="425" w:num="1"/>
          <w:docGrid w:linePitch="312" w:charSpace="0"/>
        </w:sectPr>
      </w:pPr>
    </w:p>
    <w:p>
      <w:pPr>
        <w:pStyle w:val="44"/>
        <w:rPr>
          <w:rFonts w:eastAsiaTheme="minorEastAsia"/>
          <w:color w:val="auto"/>
          <w:highlight w:val="none"/>
        </w:rPr>
      </w:pPr>
      <w:r>
        <w:rPr>
          <w:color w:val="auto"/>
          <w:kern w:val="0"/>
          <w:highlight w:val="none"/>
        </w:rPr>
        <w:t>账龄超过一年的大额预付款项情况</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!预付款项1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37"/>
        <w:gridCol w:w="1638"/>
        <w:gridCol w:w="1638"/>
        <w:gridCol w:w="1013"/>
        <w:gridCol w:w="2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债权单位</w:t>
            </w:r>
          </w:p>
        </w:tc>
        <w:tc>
          <w:tcPr>
            <w:tcW w:w="16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债务单位</w:t>
            </w:r>
          </w:p>
        </w:tc>
        <w:tc>
          <w:tcPr>
            <w:tcW w:w="16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01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226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未结算的原因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贵州西电电力股份有限公司</w:t>
            </w:r>
          </w:p>
        </w:tc>
        <w:tc>
          <w:tcPr>
            <w:tcW w:w="16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贵州龙里林隆实业有限公司</w:t>
            </w:r>
          </w:p>
        </w:tc>
        <w:tc>
          <w:tcPr>
            <w:tcW w:w="16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31,174,199.86</w:t>
            </w:r>
          </w:p>
        </w:tc>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5年以上</w:t>
            </w:r>
          </w:p>
        </w:tc>
        <w:tc>
          <w:tcPr>
            <w:tcW w:w="22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历史遗留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6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6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31,174,199.86</w:t>
            </w:r>
          </w:p>
        </w:tc>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226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rFonts w:hint="eastAsia"/>
          <w:color w:val="auto"/>
          <w:highlight w:val="none"/>
        </w:rPr>
        <w:t>按欠款方归集的期末余额前五名的预付款项情况</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"D:\\tonylee\\立信\\新附注排版工具\\2016央企年报格式\\中央企业财务报表和报表附注20170109V1.xlsm" "合并附注!预付款项2"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939"/>
        <w:gridCol w:w="1835"/>
        <w:gridCol w:w="1744"/>
        <w:gridCol w:w="167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9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18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74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占预付款项合计的比例（%）</w:t>
            </w:r>
          </w:p>
        </w:tc>
        <w:tc>
          <w:tcPr>
            <w:tcW w:w="167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国家电力投资集团有限公司物资装备分公司</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87,571,126.67</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17.27</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贵州振鑫能源实业有限公司</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83,044,321.08</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16.38</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中煤重庆销售有限公司</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70,272,778.98</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13.86</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贵州国兴煤炭贸易有限公司</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42,300,000.00</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8.34</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29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贵州龙里林隆实业有限公司</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31,174,199.86</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6.15</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31,174,199.86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8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314,362,426.59</w:t>
            </w:r>
          </w:p>
        </w:tc>
        <w:tc>
          <w:tcPr>
            <w:tcW w:w="17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62.00</w:t>
            </w:r>
          </w:p>
        </w:tc>
        <w:tc>
          <w:tcPr>
            <w:tcW w:w="167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31,174,199.86</w:t>
            </w:r>
          </w:p>
        </w:tc>
      </w:tr>
    </w:tbl>
    <w:p>
      <w:pPr>
        <w:pStyle w:val="35"/>
        <w:rPr>
          <w:rFonts w:eastAsiaTheme="minorEastAsia"/>
          <w:color w:val="auto"/>
          <w:highlight w:val="none"/>
        </w:rPr>
      </w:pPr>
      <w:r>
        <w:rPr>
          <w:rFonts w:eastAsiaTheme="minorEastAsia"/>
          <w:color w:val="auto"/>
          <w:highlight w:val="none"/>
        </w:rPr>
        <w:fldChar w:fldCharType="end"/>
      </w:r>
    </w:p>
    <w:p>
      <w:pPr>
        <w:pStyle w:val="37"/>
        <w:rPr>
          <w:color w:val="auto"/>
          <w:highlight w:val="none"/>
        </w:rPr>
      </w:pPr>
      <w:r>
        <w:rPr>
          <w:color w:val="auto"/>
          <w:highlight w:val="none"/>
        </w:rPr>
        <w:t>其他应收款</w:t>
      </w:r>
    </w:p>
    <w:p>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"合并附注!其他应收款总表"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应收利息</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应收股利</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41,552,068.64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18,616,005.38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其他应收款项</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504,715,283.96</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1,621,364,915.48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546,267,352.60</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1,639,980,920.86</w:t>
            </w:r>
          </w:p>
        </w:tc>
      </w:tr>
    </w:tbl>
    <w:p>
      <w:pPr>
        <w:pStyle w:val="38"/>
        <w:rPr>
          <w:color w:val="auto"/>
          <w:highlight w:val="none"/>
        </w:rPr>
      </w:pPr>
      <w:r>
        <w:rPr>
          <w:color w:val="auto"/>
          <w:highlight w:val="none"/>
        </w:rPr>
        <w:fldChar w:fldCharType="end"/>
      </w:r>
    </w:p>
    <w:p>
      <w:pPr>
        <w:pStyle w:val="44"/>
        <w:rPr>
          <w:rFonts w:eastAsiaTheme="minorEastAsia"/>
          <w:color w:val="auto"/>
          <w:highlight w:val="none"/>
        </w:rPr>
      </w:pPr>
      <w:r>
        <w:rPr>
          <w:rFonts w:eastAsiaTheme="minorEastAsia"/>
          <w:color w:val="auto"/>
          <w:highlight w:val="none"/>
        </w:rPr>
        <w:t>应收利息</w:t>
      </w:r>
    </w:p>
    <w:p>
      <w:pPr>
        <w:pStyle w:val="35"/>
        <w:rPr>
          <w:color w:val="auto"/>
          <w:highlight w:val="none"/>
        </w:rPr>
      </w:pPr>
      <w:r>
        <w:rPr>
          <w:rFonts w:hint="eastAsia"/>
          <w:color w:val="auto"/>
          <w:highlight w:val="none"/>
        </w:rPr>
        <w:t>（1）</w:t>
      </w:r>
      <w:r>
        <w:rPr>
          <w:color w:val="auto"/>
          <w:highlight w:val="none"/>
        </w:rPr>
        <w:t>应收利息分类</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!应收利息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678"/>
        <w:gridCol w:w="2681"/>
        <w:gridCol w:w="282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68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82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26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c>
          <w:tcPr>
            <w:tcW w:w="282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小计</w:t>
            </w:r>
          </w:p>
        </w:tc>
        <w:tc>
          <w:tcPr>
            <w:tcW w:w="26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c>
          <w:tcPr>
            <w:tcW w:w="282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减：坏账准备</w:t>
            </w:r>
          </w:p>
        </w:tc>
        <w:tc>
          <w:tcPr>
            <w:tcW w:w="26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c>
          <w:tcPr>
            <w:tcW w:w="282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6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82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hint="eastAsia" w:eastAsiaTheme="minorEastAsia"/>
          <w:color w:val="auto"/>
          <w:highlight w:val="none"/>
        </w:rPr>
      </w:pPr>
    </w:p>
    <w:p>
      <w:pPr>
        <w:pStyle w:val="35"/>
        <w:rPr>
          <w:rFonts w:eastAsiaTheme="minorEastAsia"/>
          <w:color w:val="auto"/>
          <w:highlight w:val="none"/>
        </w:rPr>
      </w:pPr>
    </w:p>
    <w:p>
      <w:pPr>
        <w:pStyle w:val="35"/>
        <w:rPr>
          <w:color w:val="auto"/>
          <w:highlight w:val="none"/>
        </w:rPr>
      </w:pPr>
      <w:r>
        <w:rPr>
          <w:rFonts w:hint="eastAsia"/>
          <w:color w:val="auto"/>
          <w:highlight w:val="none"/>
        </w:rPr>
        <w:t>（2）应收利息坏账准备计提情况</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"其他应收款!应收利息2"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72"/>
        <w:gridCol w:w="1691"/>
        <w:gridCol w:w="1691"/>
        <w:gridCol w:w="1691"/>
        <w:gridCol w:w="144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7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第一阶段</w:t>
            </w: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第二阶段</w:t>
            </w: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第三阶段</w:t>
            </w:r>
          </w:p>
        </w:tc>
        <w:tc>
          <w:tcPr>
            <w:tcW w:w="144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7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未来12个月预期信用损失</w:t>
            </w: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整个存续期预期信用损失(未发生信用减值)</w:t>
            </w:r>
          </w:p>
        </w:tc>
        <w:tc>
          <w:tcPr>
            <w:tcW w:w="16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整个存续期预期信用损失(已发生信用减值)</w:t>
            </w:r>
          </w:p>
        </w:tc>
        <w:tc>
          <w:tcPr>
            <w:tcW w:w="1443"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期初余额在本期</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--转入第二阶段</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--转入第三阶段</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--转回第二阶段</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--转回第一阶段</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本期计提</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本期转回</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本期转销</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本期核销</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其他变动</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11,448,673.03</w:t>
            </w:r>
          </w:p>
        </w:tc>
      </w:tr>
    </w:tbl>
    <w:p>
      <w:pPr>
        <w:pStyle w:val="35"/>
        <w:rPr>
          <w:rFonts w:eastAsiaTheme="minorEastAsia"/>
          <w:color w:val="auto"/>
          <w:highlight w:val="none"/>
        </w:rPr>
      </w:pPr>
      <w:r>
        <w:rPr>
          <w:rFonts w:eastAsiaTheme="minorEastAsia"/>
          <w:color w:val="auto"/>
          <w:highlight w:val="none"/>
        </w:rPr>
        <w:fldChar w:fldCharType="end"/>
      </w:r>
    </w:p>
    <w:p>
      <w:pPr>
        <w:pStyle w:val="44"/>
        <w:rPr>
          <w:color w:val="auto"/>
          <w:highlight w:val="none"/>
        </w:rPr>
      </w:pPr>
      <w:r>
        <w:rPr>
          <w:color w:val="auto"/>
          <w:highlight w:val="none"/>
        </w:rPr>
        <w:t>应收股利</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!应收股利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323"/>
        <w:gridCol w:w="1498"/>
        <w:gridCol w:w="1485"/>
        <w:gridCol w:w="1339"/>
        <w:gridCol w:w="154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2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4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48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3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未收回的原因</w:t>
            </w:r>
          </w:p>
        </w:tc>
        <w:tc>
          <w:tcPr>
            <w:tcW w:w="15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账龄一年以内的应收股利</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23,412,162.24</w:t>
            </w: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476,098.98</w:t>
            </w:r>
          </w:p>
        </w:tc>
        <w:tc>
          <w:tcPr>
            <w:tcW w:w="13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其中：（1）中国证券登记结算有限责任公司北京分公司</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23,412,162.24</w:t>
            </w: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（2）贵州省西能煤炭勘查开发有限公司</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476,098.98</w:t>
            </w:r>
          </w:p>
        </w:tc>
        <w:tc>
          <w:tcPr>
            <w:tcW w:w="13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账龄一年以上的应收股利</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18,139,906.40</w:t>
            </w: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18,139,906.40</w:t>
            </w:r>
          </w:p>
        </w:tc>
        <w:tc>
          <w:tcPr>
            <w:tcW w:w="13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其中：（1）贵州大方发电有限公司</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18,139,906.40</w:t>
            </w: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18,139,906.40</w:t>
            </w:r>
          </w:p>
        </w:tc>
        <w:tc>
          <w:tcPr>
            <w:tcW w:w="13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41,552,068.64</w:t>
            </w:r>
          </w:p>
        </w:tc>
        <w:tc>
          <w:tcPr>
            <w:tcW w:w="14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18,616,005.38</w:t>
            </w:r>
          </w:p>
        </w:tc>
        <w:tc>
          <w:tcPr>
            <w:tcW w:w="13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44"/>
        <w:rPr>
          <w:bCs/>
          <w:color w:val="auto"/>
          <w:highlight w:val="none"/>
          <w:shd w:val="clear" w:color="auto" w:fill="CCFFFF"/>
        </w:rPr>
      </w:pPr>
      <w:r>
        <w:rPr>
          <w:color w:val="auto"/>
          <w:highlight w:val="none"/>
        </w:rPr>
        <w:t>其他应收款</w:t>
      </w:r>
      <w:r>
        <w:rPr>
          <w:rFonts w:hint="eastAsia"/>
          <w:color w:val="auto"/>
          <w:highlight w:val="none"/>
        </w:rPr>
        <w:t>项</w:t>
      </w:r>
    </w:p>
    <w:p>
      <w:pPr>
        <w:pStyle w:val="35"/>
        <w:rPr>
          <w:b/>
          <w:color w:val="auto"/>
          <w:highlight w:val="none"/>
        </w:rPr>
      </w:pPr>
      <w:r>
        <w:rPr>
          <w:rFonts w:hint="eastAsia"/>
          <w:b/>
          <w:color w:val="auto"/>
          <w:highlight w:val="none"/>
        </w:rPr>
        <w:t>（1）按账龄披露其他应收款项</w:t>
      </w:r>
    </w:p>
    <w:p>
      <w:pPr>
        <w:pStyle w:val="35"/>
        <w:rPr>
          <w:rFonts w:asciiTheme="minorHAnsi" w:hAnsiTheme="minorHAnsi" w:eastAsiaTheme="minorEastAsia" w:cstheme="minorBidi"/>
          <w:color w:val="auto"/>
          <w:highlight w:val="none"/>
        </w:rPr>
      </w:pPr>
      <w:r>
        <w:rPr>
          <w:b/>
          <w:color w:val="auto"/>
          <w:highlight w:val="none"/>
        </w:rPr>
        <w:fldChar w:fldCharType="begin"/>
      </w:r>
      <w:r>
        <w:rPr>
          <w:b/>
          <w:color w:val="auto"/>
          <w:highlight w:val="none"/>
        </w:rPr>
        <w:instrText xml:space="preserve"> LINK Excel.Sheet.12 "D:\\vsWorkspace\\branches\\20190430\\StandardTemplateTool\\template\\SASAC\\Frame\\202212\\SASACFinancialReports.xlsx" "其他应收款!其他应收款"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40"/>
        <w:gridCol w:w="1587"/>
        <w:gridCol w:w="1587"/>
        <w:gridCol w:w="1587"/>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4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317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17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4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4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239,034,967.68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60,305,895.23</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2,100,545,182.50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954,392,194.43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4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1,014,576,518.11</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985,120,630.69</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332,129,698.70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4,549,223.33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4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117,836,075.28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394,175.58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498,153,728.13</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357,413,560.13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4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620,505,513.96</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441,417,089.57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184,393,995.62</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177,502,711.58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1,991,953,075.03</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1,487,237,791.07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3,115,222,604.95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1,493,857,689.47</w:t>
            </w:r>
          </w:p>
        </w:tc>
      </w:tr>
    </w:tbl>
    <w:p>
      <w:pPr>
        <w:pStyle w:val="35"/>
        <w:rPr>
          <w:rFonts w:eastAsiaTheme="minorEastAsia"/>
          <w:color w:val="auto"/>
          <w:highlight w:val="none"/>
        </w:rPr>
      </w:pPr>
      <w:r>
        <w:rPr>
          <w:b/>
          <w:color w:val="auto"/>
          <w:highlight w:val="none"/>
        </w:rPr>
        <w:fldChar w:fldCharType="end"/>
      </w:r>
    </w:p>
    <w:p>
      <w:pPr>
        <w:pStyle w:val="35"/>
        <w:rPr>
          <w:b/>
          <w:color w:val="auto"/>
          <w:highlight w:val="none"/>
        </w:rPr>
        <w:sectPr>
          <w:pgSz w:w="11907" w:h="16839"/>
          <w:pgMar w:top="1440" w:right="1797" w:bottom="1440" w:left="1797" w:header="794" w:footer="992" w:gutter="0"/>
          <w:cols w:space="425" w:num="1"/>
          <w:docGrid w:linePitch="312" w:charSpace="0"/>
        </w:sectPr>
      </w:pPr>
    </w:p>
    <w:p>
      <w:pPr>
        <w:pStyle w:val="35"/>
        <w:rPr>
          <w:b/>
          <w:bCs/>
          <w:color w:val="auto"/>
          <w:highlight w:val="none"/>
          <w:shd w:val="clear" w:color="auto" w:fill="CCFFFF"/>
        </w:rPr>
      </w:pPr>
      <w:r>
        <w:rPr>
          <w:rFonts w:hint="eastAsia"/>
          <w:b/>
          <w:color w:val="auto"/>
          <w:highlight w:val="none"/>
        </w:rPr>
        <w:t>（</w:t>
      </w:r>
      <w:r>
        <w:rPr>
          <w:b/>
          <w:color w:val="auto"/>
          <w:highlight w:val="none"/>
        </w:rPr>
        <w:t>2</w:t>
      </w:r>
      <w:r>
        <w:rPr>
          <w:rFonts w:hint="eastAsia"/>
          <w:b/>
          <w:color w:val="auto"/>
          <w:highlight w:val="none"/>
        </w:rPr>
        <w:t>）按坏账准备计提方法分类披露其他应收款项</w:t>
      </w:r>
    </w:p>
    <w:p>
      <w:pPr>
        <w:pStyle w:val="35"/>
        <w:rPr>
          <w:color w:val="auto"/>
          <w:szCs w:val="22"/>
          <w:highlight w:val="none"/>
        </w:rPr>
      </w:pPr>
      <w:r>
        <w:rPr>
          <w:b/>
          <w:bCs/>
          <w:color w:val="auto"/>
          <w:highlight w:val="none"/>
          <w:shd w:val="clear" w:color="auto" w:fill="CCFFFF"/>
        </w:rPr>
        <w:fldChar w:fldCharType="begin"/>
      </w:r>
      <w:r>
        <w:rPr>
          <w:color w:val="auto"/>
          <w:highlight w:val="none"/>
          <w:shd w:val="clear" w:color="auto" w:fill="CCFFFF"/>
        </w:rPr>
        <w:instrText xml:space="preserve"> LINK Excel.Sheet.12 E:\\雍\\附注排版\\2014年年报格式\\附注过渡表20150130V0910.xlsx</w:instrText>
      </w:r>
      <w:r>
        <w:rPr>
          <w:rFonts w:hint="eastAsia"/>
          <w:color w:val="auto"/>
          <w:highlight w:val="none"/>
          <w:shd w:val="clear" w:color="auto" w:fill="CCFFFF"/>
        </w:rPr>
        <w:instrText xml:space="preserve"> </w:instrText>
      </w:r>
      <w:r>
        <w:rPr>
          <w:rFonts w:hint="eastAsia"/>
          <w:color w:val="auto"/>
          <w:highlight w:val="none"/>
        </w:rPr>
        <w:instrText xml:space="preserve">合并附注</w:instrText>
      </w:r>
      <w:r>
        <w:rPr>
          <w:color w:val="auto"/>
          <w:highlight w:val="none"/>
          <w:shd w:val="clear" w:color="auto" w:fill="CCFFFF"/>
        </w:rPr>
        <w:instrText xml:space="preserve">!其他应收款</w:instrText>
      </w:r>
      <w:r>
        <w:rPr>
          <w:rFonts w:hint="eastAsia"/>
          <w:color w:val="auto"/>
          <w:highlight w:val="none"/>
          <w:shd w:val="clear" w:color="auto" w:fill="CCFFFF"/>
        </w:rPr>
        <w:instrText xml:space="preserve">1</w:instrText>
      </w:r>
      <w:r>
        <w:rPr>
          <w:color w:val="auto"/>
          <w:highlight w:val="none"/>
          <w:shd w:val="clear" w:color="auto" w:fill="CCFFFF"/>
        </w:rPr>
        <w:instrText xml:space="preserve"> \f 4 \h \* MERGEFORMAT </w:instrText>
      </w:r>
      <w:r>
        <w:rPr>
          <w:b/>
          <w:bCs/>
          <w:color w:val="auto"/>
          <w:highlight w:val="none"/>
          <w:shd w:val="clear" w:color="auto" w:fill="CCFFFF"/>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20"/>
        <w:gridCol w:w="1584"/>
        <w:gridCol w:w="842"/>
        <w:gridCol w:w="1372"/>
        <w:gridCol w:w="959"/>
        <w:gridCol w:w="1249"/>
        <w:gridCol w:w="1438"/>
        <w:gridCol w:w="841"/>
        <w:gridCol w:w="1372"/>
        <w:gridCol w:w="959"/>
        <w:gridCol w:w="13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2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类别</w:t>
            </w:r>
          </w:p>
        </w:tc>
        <w:tc>
          <w:tcPr>
            <w:tcW w:w="6006"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期末数</w:t>
            </w:r>
          </w:p>
        </w:tc>
        <w:tc>
          <w:tcPr>
            <w:tcW w:w="5982"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2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42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2331"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124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账面价值</w:t>
            </w:r>
          </w:p>
        </w:tc>
        <w:tc>
          <w:tcPr>
            <w:tcW w:w="2279"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2331"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137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2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金额</w:t>
            </w:r>
          </w:p>
        </w:tc>
        <w:tc>
          <w:tcPr>
            <w:tcW w:w="84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比例（%）</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金额</w:t>
            </w:r>
          </w:p>
        </w:tc>
        <w:tc>
          <w:tcPr>
            <w:tcW w:w="9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预期信用损失率（%）</w:t>
            </w:r>
          </w:p>
        </w:tc>
        <w:tc>
          <w:tcPr>
            <w:tcW w:w="124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金额</w:t>
            </w:r>
          </w:p>
        </w:tc>
        <w:tc>
          <w:tcPr>
            <w:tcW w:w="84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比例（%）</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金额</w:t>
            </w:r>
          </w:p>
        </w:tc>
        <w:tc>
          <w:tcPr>
            <w:tcW w:w="9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预期信用损失率（%）</w:t>
            </w:r>
          </w:p>
        </w:tc>
        <w:tc>
          <w:tcPr>
            <w:tcW w:w="137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单项计提坏账准备的其他应收款项</w:t>
            </w:r>
          </w:p>
        </w:tc>
        <w:tc>
          <w:tcPr>
            <w:tcW w:w="158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1,484,317,155.89</w:t>
            </w:r>
          </w:p>
        </w:tc>
        <w:tc>
          <w:tcPr>
            <w:tcW w:w="8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74.52</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1,482,889,149.96</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99.90</w:t>
            </w:r>
          </w:p>
        </w:tc>
        <w:tc>
          <w:tcPr>
            <w:tcW w:w="1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1,428,005.93</w:t>
            </w:r>
          </w:p>
        </w:tc>
        <w:tc>
          <w:tcPr>
            <w:tcW w:w="14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1,496,931,896.40</w:t>
            </w:r>
          </w:p>
        </w:tc>
        <w:tc>
          <w:tcPr>
            <w:tcW w:w="84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48.05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1,489,497,722.82</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99.50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7,434,173.58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按信用风险特征组合计提坏账准备的其他应收款项</w:t>
            </w:r>
          </w:p>
        </w:tc>
        <w:tc>
          <w:tcPr>
            <w:tcW w:w="158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507,635,919.14</w:t>
            </w:r>
          </w:p>
        </w:tc>
        <w:tc>
          <w:tcPr>
            <w:tcW w:w="8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25.48</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4,348,641.11</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0.86</w:t>
            </w:r>
          </w:p>
        </w:tc>
        <w:tc>
          <w:tcPr>
            <w:tcW w:w="1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503,287,278.03</w:t>
            </w:r>
          </w:p>
        </w:tc>
        <w:tc>
          <w:tcPr>
            <w:tcW w:w="14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1,618,290,708.55</w:t>
            </w:r>
          </w:p>
        </w:tc>
        <w:tc>
          <w:tcPr>
            <w:tcW w:w="84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51.95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4,359,966.65</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0.27</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1,613,930,741.90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其中：账龄分析组合</w:t>
            </w:r>
          </w:p>
        </w:tc>
        <w:tc>
          <w:tcPr>
            <w:tcW w:w="158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24,490,827.72</w:t>
            </w:r>
          </w:p>
        </w:tc>
        <w:tc>
          <w:tcPr>
            <w:tcW w:w="8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4,348,641.11</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20,142,186.61</w:t>
            </w:r>
          </w:p>
        </w:tc>
        <w:tc>
          <w:tcPr>
            <w:tcW w:w="14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34,394,106.23</w:t>
            </w:r>
          </w:p>
        </w:tc>
        <w:tc>
          <w:tcPr>
            <w:tcW w:w="84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4,359,966.65</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30,034,139.58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低风险组合</w:t>
            </w:r>
          </w:p>
        </w:tc>
        <w:tc>
          <w:tcPr>
            <w:tcW w:w="158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483,145,091.42</w:t>
            </w:r>
          </w:p>
        </w:tc>
        <w:tc>
          <w:tcPr>
            <w:tcW w:w="8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483,145,091.42</w:t>
            </w:r>
          </w:p>
        </w:tc>
        <w:tc>
          <w:tcPr>
            <w:tcW w:w="14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1,583,896,602.32</w:t>
            </w:r>
          </w:p>
        </w:tc>
        <w:tc>
          <w:tcPr>
            <w:tcW w:w="84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1,583,896,602.32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2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58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1,991,953,075.03</w:t>
            </w:r>
          </w:p>
        </w:tc>
        <w:tc>
          <w:tcPr>
            <w:tcW w:w="8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1,487,237,791.07</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504,715,283.96</w:t>
            </w:r>
          </w:p>
        </w:tc>
        <w:tc>
          <w:tcPr>
            <w:tcW w:w="14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3,115,222,604.95</w:t>
            </w:r>
          </w:p>
        </w:tc>
        <w:tc>
          <w:tcPr>
            <w:tcW w:w="84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1,493,857,689.47</w:t>
            </w:r>
          </w:p>
        </w:tc>
        <w:tc>
          <w:tcPr>
            <w:tcW w:w="9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1,621,364,915.48</w:t>
            </w:r>
          </w:p>
        </w:tc>
      </w:tr>
    </w:tbl>
    <w:p>
      <w:pPr>
        <w:pStyle w:val="35"/>
        <w:rPr>
          <w:color w:val="auto"/>
          <w:highlight w:val="none"/>
        </w:rPr>
      </w:pPr>
      <w:r>
        <w:rPr>
          <w:color w:val="auto"/>
          <w:highlight w:val="none"/>
          <w:shd w:val="clear" w:color="auto" w:fill="CCFFFF"/>
        </w:rPr>
        <w:fldChar w:fldCharType="end"/>
      </w:r>
    </w:p>
    <w:p>
      <w:pPr>
        <w:pStyle w:val="35"/>
        <w:rPr>
          <w:color w:val="auto"/>
          <w:highlight w:val="none"/>
        </w:rPr>
      </w:pPr>
    </w:p>
    <w:p>
      <w:pPr>
        <w:pStyle w:val="38"/>
        <w:rPr>
          <w:rFonts w:eastAsiaTheme="minorEastAsia"/>
          <w:b/>
          <w:color w:val="auto"/>
          <w:highlight w:val="none"/>
        </w:rPr>
        <w:sectPr>
          <w:pgSz w:w="16839" w:h="11907" w:orient="landscape"/>
          <w:pgMar w:top="1797" w:right="1440" w:bottom="1797" w:left="1440" w:header="794" w:footer="992" w:gutter="0"/>
          <w:cols w:space="425" w:num="1"/>
          <w:docGrid w:linePitch="312" w:charSpace="0"/>
        </w:sectPr>
      </w:pPr>
    </w:p>
    <w:p>
      <w:pPr>
        <w:pStyle w:val="35"/>
        <w:rPr>
          <w:b/>
          <w:color w:val="auto"/>
          <w:highlight w:val="none"/>
        </w:rPr>
      </w:pPr>
      <w:r>
        <w:rPr>
          <w:rFonts w:hint="eastAsia"/>
          <w:b/>
          <w:bCs/>
          <w:color w:val="auto"/>
          <w:highlight w:val="none"/>
        </w:rPr>
        <w:t>单项计提坏账准备的其他应收款项情况</w:t>
      </w:r>
    </w:p>
    <w:p>
      <w:pPr>
        <w:pStyle w:val="35"/>
        <w:rPr>
          <w:rFonts w:asciiTheme="minorHAnsi" w:hAnsiTheme="minorHAnsi" w:eastAsiaTheme="minorEastAsia" w:cstheme="minorBidi"/>
          <w:color w:val="auto"/>
          <w:highlight w:val="none"/>
        </w:rPr>
      </w:pPr>
      <w:r>
        <w:rPr>
          <w:b/>
          <w:color w:val="auto"/>
          <w:highlight w:val="none"/>
        </w:rPr>
        <w:fldChar w:fldCharType="begin"/>
      </w:r>
      <w:r>
        <w:rPr>
          <w:b/>
          <w:color w:val="auto"/>
          <w:highlight w:val="none"/>
        </w:rPr>
        <w:instrText xml:space="preserve"> LINK Excel.Sheet.12 "D:\\work\\20190430V3\\StandardTemplateTool\\template\\SASAC\\Frame\\202112\\SASACFinancialReports.xlsx" "其他应收款!其他应收款2"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676"/>
        <w:gridCol w:w="1437"/>
        <w:gridCol w:w="1654"/>
        <w:gridCol w:w="1034"/>
        <w:gridCol w:w="13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7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债务人名称</w:t>
            </w:r>
          </w:p>
        </w:tc>
        <w:tc>
          <w:tcPr>
            <w:tcW w:w="5512" w:type="dxa"/>
            <w:gridSpan w:val="4"/>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7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3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165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103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预期信用损失率（%）</w:t>
            </w:r>
          </w:p>
        </w:tc>
        <w:tc>
          <w:tcPr>
            <w:tcW w:w="13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984,552,540.17</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983,125,484.48</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99.86</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贵州钟山野马寨热电有限责任公司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321,610,794.00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321,610,794.00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宁夏红墩子煤业有限公司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43,948,150.24</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43,947,200.00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贵州水城矿业（集团）有限责任公司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40,000,000.00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40,000,000.00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贵州惠水经济开发区管理委员会</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30,642,997.00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30,642,997.00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清镇市土地矿产资源储备中心</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18,283,400.00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18,283,400.00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玉屏县侗族自治县工业和商务局</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10,155,535.18</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10,155,535.18</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北京三和兴源贸易有限公司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10,000,000.00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10,000,000.00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太原市尖草坪区兴金物资供应站</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7,798,017.70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7,798,017.70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贵州隆盛兴铁合金有限公司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7,255,826.84</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7,255,826.84</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椰景蓝岸小区违建业主</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5,000,000.00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5,000,000.00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工伤事故赔款</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1,898,944.85</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1,898,944.85</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山西省运城安瑞节能风机有限公司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1,074,000.00</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1,074,000.00</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小额汇总</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2,096,949.91</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2,096,949.91</w:t>
            </w:r>
          </w:p>
        </w:tc>
        <w:tc>
          <w:tcPr>
            <w:tcW w:w="10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1,484,317,155.89</w:t>
            </w:r>
          </w:p>
        </w:tc>
        <w:tc>
          <w:tcPr>
            <w:tcW w:w="16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1,482,889,149.96</w:t>
            </w:r>
          </w:p>
        </w:tc>
        <w:tc>
          <w:tcPr>
            <w:tcW w:w="103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3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bl>
    <w:p>
      <w:pPr>
        <w:pStyle w:val="35"/>
        <w:rPr>
          <w:rFonts w:eastAsiaTheme="minorEastAsia"/>
          <w:color w:val="auto"/>
          <w:highlight w:val="none"/>
        </w:rPr>
      </w:pPr>
      <w:r>
        <w:rPr>
          <w:b/>
          <w:color w:val="auto"/>
          <w:highlight w:val="none"/>
        </w:rPr>
        <w:fldChar w:fldCharType="end"/>
      </w:r>
    </w:p>
    <w:p>
      <w:pPr>
        <w:pStyle w:val="35"/>
        <w:rPr>
          <w:b/>
          <w:color w:val="auto"/>
          <w:highlight w:val="none"/>
        </w:rPr>
      </w:pPr>
      <w:r>
        <w:rPr>
          <w:rFonts w:hint="eastAsia"/>
          <w:b/>
          <w:bCs/>
          <w:color w:val="auto"/>
          <w:highlight w:val="none"/>
        </w:rPr>
        <w:t>按信用风险特征组合计提坏账准备的其他应收款项</w:t>
      </w:r>
    </w:p>
    <w:p>
      <w:pPr>
        <w:pStyle w:val="35"/>
        <w:rPr>
          <w:color w:val="auto"/>
          <w:highlight w:val="none"/>
        </w:rPr>
      </w:pPr>
      <w:r>
        <w:rPr>
          <w:rFonts w:hint="eastAsia"/>
          <w:color w:val="auto"/>
          <w:highlight w:val="none"/>
        </w:rPr>
        <w:t>①账龄组合</w:t>
      </w:r>
    </w:p>
    <w:p>
      <w:pPr>
        <w:pStyle w:val="35"/>
        <w:rPr>
          <w:rFonts w:eastAsiaTheme="minorEastAsia"/>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!其他应收款4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084"/>
        <w:gridCol w:w="1345"/>
        <w:gridCol w:w="869"/>
        <w:gridCol w:w="1316"/>
        <w:gridCol w:w="1345"/>
        <w:gridCol w:w="869"/>
        <w:gridCol w:w="13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8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3530"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57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8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21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31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221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36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8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31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36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8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16,864,832.46</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68.86</w:t>
            </w:r>
          </w:p>
        </w:tc>
        <w:tc>
          <w:tcPr>
            <w:tcW w:w="13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1,967,769.35</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30,476,543.35</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88.61</w:t>
            </w:r>
          </w:p>
        </w:tc>
        <w:tc>
          <w:tcPr>
            <w:tcW w:w="13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2,308,111.50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8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4,308,432.38</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17.59</w:t>
            </w:r>
          </w:p>
        </w:tc>
        <w:tc>
          <w:tcPr>
            <w:tcW w:w="13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776,466.05</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1,731,946.45</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5.04</w:t>
            </w:r>
          </w:p>
        </w:tc>
        <w:tc>
          <w:tcPr>
            <w:tcW w:w="13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519,583.93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8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1,531,946.45</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6.26</w:t>
            </w:r>
          </w:p>
        </w:tc>
        <w:tc>
          <w:tcPr>
            <w:tcW w:w="13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394,175.58</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2,185,616.43</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6.35</w:t>
            </w:r>
          </w:p>
        </w:tc>
        <w:tc>
          <w:tcPr>
            <w:tcW w:w="13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1,532,271.22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8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1,785,616.43</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7.29</w:t>
            </w:r>
          </w:p>
        </w:tc>
        <w:tc>
          <w:tcPr>
            <w:tcW w:w="13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1,210,230.13</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24,490,827.72</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3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4,348,641.11</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34,394,106.23</w:t>
            </w:r>
          </w:p>
        </w:tc>
        <w:tc>
          <w:tcPr>
            <w:tcW w:w="8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3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4,359,966.65</w:t>
            </w:r>
          </w:p>
        </w:tc>
      </w:tr>
    </w:tbl>
    <w:p>
      <w:pPr>
        <w:pStyle w:val="35"/>
        <w:rPr>
          <w:rFonts w:eastAsiaTheme="minorEastAsia"/>
          <w:color w:val="auto"/>
          <w:highlight w:val="none"/>
        </w:rPr>
      </w:pPr>
      <w:r>
        <w:rPr>
          <w:rFonts w:eastAsiaTheme="minorEastAsia"/>
          <w:color w:val="auto"/>
          <w:highlight w:val="none"/>
        </w:rPr>
        <w:fldChar w:fldCharType="end"/>
      </w:r>
    </w:p>
    <w:p>
      <w:pPr>
        <w:rPr>
          <w:rFonts w:ascii="Times New Roman" w:hAnsi="Times New Roman" w:cs="Times New Roman"/>
          <w:color w:val="auto"/>
          <w:highlight w:val="none"/>
        </w:rPr>
      </w:pPr>
      <w:r>
        <w:rPr>
          <w:color w:val="auto"/>
          <w:highlight w:val="none"/>
        </w:rPr>
        <w:br w:type="page"/>
      </w:r>
    </w:p>
    <w:p>
      <w:pPr>
        <w:pStyle w:val="35"/>
        <w:rPr>
          <w:color w:val="auto"/>
          <w:highlight w:val="none"/>
        </w:rPr>
      </w:pPr>
      <w:r>
        <w:rPr>
          <w:rFonts w:hint="eastAsia"/>
          <w:color w:val="auto"/>
          <w:highlight w:val="none"/>
        </w:rPr>
        <w:t>②采用余额百分比法或其他组合方法计提坏账准备的其他应收款项</w:t>
      </w:r>
    </w:p>
    <w:p>
      <w:pPr>
        <w:pStyle w:val="35"/>
        <w:rPr>
          <w:rFonts w:eastAsiaTheme="minorEastAsia"/>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!其他应收款5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022"/>
        <w:gridCol w:w="1442"/>
        <w:gridCol w:w="887"/>
        <w:gridCol w:w="1139"/>
        <w:gridCol w:w="1587"/>
        <w:gridCol w:w="887"/>
        <w:gridCol w:w="122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2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组合名称</w:t>
            </w:r>
          </w:p>
        </w:tc>
        <w:tc>
          <w:tcPr>
            <w:tcW w:w="346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69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2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8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11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8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122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2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低风险组合</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483,145,091.42</w:t>
            </w:r>
          </w:p>
        </w:tc>
        <w:tc>
          <w:tcPr>
            <w:tcW w:w="8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1,583,896,602.32</w:t>
            </w:r>
          </w:p>
        </w:tc>
        <w:tc>
          <w:tcPr>
            <w:tcW w:w="8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2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2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483,145,091.42</w:t>
            </w:r>
          </w:p>
        </w:tc>
        <w:tc>
          <w:tcPr>
            <w:tcW w:w="8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1,583,896,602.32</w:t>
            </w:r>
          </w:p>
        </w:tc>
        <w:tc>
          <w:tcPr>
            <w:tcW w:w="8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2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）其他应收款项坏账准备计提情况</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"其他应收款!其他应收款6"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12"/>
        <w:gridCol w:w="1669"/>
        <w:gridCol w:w="1634"/>
        <w:gridCol w:w="1686"/>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1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6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第一阶段</w:t>
            </w:r>
          </w:p>
        </w:tc>
        <w:tc>
          <w:tcPr>
            <w:tcW w:w="163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第二阶段</w:t>
            </w:r>
          </w:p>
        </w:tc>
        <w:tc>
          <w:tcPr>
            <w:tcW w:w="168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第三阶段</w:t>
            </w:r>
          </w:p>
        </w:tc>
        <w:tc>
          <w:tcPr>
            <w:tcW w:w="158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1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未来12个月预期信用损失</w:t>
            </w:r>
          </w:p>
        </w:tc>
        <w:tc>
          <w:tcPr>
            <w:tcW w:w="163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整个存续期预期信用损失(未发生信用减值)</w:t>
            </w:r>
          </w:p>
        </w:tc>
        <w:tc>
          <w:tcPr>
            <w:tcW w:w="168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整个存续期预期信用损失(已发生信用减值)</w:t>
            </w:r>
          </w:p>
        </w:tc>
        <w:tc>
          <w:tcPr>
            <w:tcW w:w="158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4,200,552.64</w:t>
            </w: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1,489,657,136.83</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1,493,857,689.47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期初余额在本期</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--转入第二阶段</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--转入第三阶段</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--转回第二阶段</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--转回第一阶段</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本期计提</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397,921.04</w:t>
            </w: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435,929.39</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833,850.43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本期转回</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本期转销</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本期核销</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92,555.07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92,555.07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其他变动</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409,246.57</w:t>
            </w: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5,451,947.18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5,861,193.75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4,189,227.11</w:t>
            </w:r>
          </w:p>
        </w:tc>
        <w:tc>
          <w:tcPr>
            <w:tcW w:w="16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1,483,048,563.96</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1,487,237,791.07</w:t>
            </w:r>
          </w:p>
        </w:tc>
      </w:tr>
    </w:tbl>
    <w:p>
      <w:pPr>
        <w:pStyle w:val="35"/>
        <w:rPr>
          <w:rFonts w:eastAsiaTheme="minorEastAsia"/>
          <w:color w:val="auto"/>
          <w:highlight w:val="none"/>
        </w:rPr>
      </w:pPr>
      <w:r>
        <w:rPr>
          <w:rFonts w:eastAsiaTheme="minorEastAsia"/>
          <w:color w:val="auto"/>
          <w:highlight w:val="none"/>
        </w:rPr>
        <w:fldChar w:fldCharType="end"/>
      </w:r>
    </w:p>
    <w:p>
      <w:pPr>
        <w:pStyle w:val="35"/>
        <w:rPr>
          <w:b/>
          <w:color w:val="auto"/>
          <w:szCs w:val="22"/>
          <w:highlight w:val="none"/>
        </w:rPr>
      </w:pPr>
      <w:r>
        <w:rPr>
          <w:rFonts w:hint="eastAsia"/>
          <w:b/>
          <w:color w:val="auto"/>
          <w:highlight w:val="none"/>
        </w:rPr>
        <w:t>（</w:t>
      </w:r>
      <w:r>
        <w:rPr>
          <w:b/>
          <w:color w:val="auto"/>
          <w:highlight w:val="none"/>
        </w:rPr>
        <w:t>4</w:t>
      </w:r>
      <w:r>
        <w:rPr>
          <w:rFonts w:hint="eastAsia"/>
          <w:b/>
          <w:color w:val="auto"/>
          <w:highlight w:val="none"/>
        </w:rPr>
        <w:t>）</w:t>
      </w:r>
      <w:r>
        <w:rPr>
          <w:b/>
          <w:color w:val="auto"/>
          <w:highlight w:val="none"/>
        </w:rPr>
        <w:t>收回或转回的坏账准备情况</w:t>
      </w:r>
    </w:p>
    <w:p>
      <w:pPr>
        <w:pStyle w:val="35"/>
        <w:rPr>
          <w:rFonts w:eastAsiaTheme="minorEastAsia"/>
          <w:b/>
          <w:bCs/>
          <w:color w:val="auto"/>
          <w:szCs w:val="22"/>
          <w:highlight w:val="none"/>
        </w:rPr>
      </w:pPr>
      <w:r>
        <w:rPr>
          <w:rFonts w:eastAsiaTheme="minorEastAsia"/>
          <w:color w:val="auto"/>
          <w:szCs w:val="24"/>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!其他应收款8 \f 4 \h \* MERGEFORMAT </w:instrText>
      </w:r>
      <w:r>
        <w:rPr>
          <w:rFonts w:eastAsiaTheme="minorEastAsia"/>
          <w:color w:val="auto"/>
          <w:szCs w:val="24"/>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195"/>
        <w:gridCol w:w="1372"/>
        <w:gridCol w:w="1981"/>
        <w:gridCol w:w="16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19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债务人名称</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转回或收回金额</w:t>
            </w:r>
          </w:p>
        </w:tc>
        <w:tc>
          <w:tcPr>
            <w:tcW w:w="198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转回或收回前累计已计提坏账准备金额</w:t>
            </w:r>
          </w:p>
        </w:tc>
        <w:tc>
          <w:tcPr>
            <w:tcW w:w="164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贵州钟山野马寨热电有限责任公司</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1,500,000.00</w:t>
            </w:r>
          </w:p>
        </w:tc>
        <w:tc>
          <w:tcPr>
            <w:tcW w:w="19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323,110,794.00</w:t>
            </w:r>
          </w:p>
        </w:tc>
        <w:tc>
          <w:tcPr>
            <w:tcW w:w="164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款项收回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1,500,000.00</w:t>
            </w:r>
          </w:p>
        </w:tc>
        <w:tc>
          <w:tcPr>
            <w:tcW w:w="19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323,110,794.00</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r>
        <w:rPr>
          <w:rFonts w:eastAsiaTheme="minorEastAsia"/>
          <w:color w:val="auto"/>
          <w:highlight w:val="none"/>
        </w:rPr>
        <w:br w:type="page"/>
      </w:r>
    </w:p>
    <w:p>
      <w:pPr>
        <w:pStyle w:val="35"/>
        <w:rPr>
          <w:b/>
          <w:color w:val="auto"/>
          <w:highlight w:val="none"/>
        </w:rPr>
      </w:pPr>
      <w:r>
        <w:rPr>
          <w:rFonts w:hint="eastAsia"/>
          <w:b/>
          <w:color w:val="auto"/>
          <w:highlight w:val="none"/>
        </w:rPr>
        <w:t>（</w:t>
      </w:r>
      <w:r>
        <w:rPr>
          <w:b/>
          <w:color w:val="auto"/>
          <w:highlight w:val="none"/>
        </w:rPr>
        <w:t>5</w:t>
      </w:r>
      <w:r>
        <w:rPr>
          <w:rFonts w:hint="eastAsia"/>
          <w:b/>
          <w:color w:val="auto"/>
          <w:highlight w:val="none"/>
        </w:rPr>
        <w:t>）</w:t>
      </w:r>
      <w:r>
        <w:rPr>
          <w:b/>
          <w:color w:val="auto"/>
          <w:highlight w:val="none"/>
        </w:rPr>
        <w:t>本</w:t>
      </w:r>
      <w:r>
        <w:rPr>
          <w:rFonts w:hint="eastAsia"/>
          <w:b/>
          <w:color w:val="auto"/>
          <w:highlight w:val="none"/>
        </w:rPr>
        <w:t>报告</w:t>
      </w:r>
      <w:r>
        <w:rPr>
          <w:b/>
          <w:color w:val="auto"/>
          <w:highlight w:val="none"/>
        </w:rPr>
        <w:t>期实际核销的其他应收款</w:t>
      </w:r>
      <w:r>
        <w:rPr>
          <w:rFonts w:hint="eastAsia" w:eastAsiaTheme="minorEastAsia"/>
          <w:b/>
          <w:bCs/>
          <w:color w:val="auto"/>
          <w:highlight w:val="none"/>
        </w:rPr>
        <w:t>项</w:t>
      </w:r>
      <w:r>
        <w:rPr>
          <w:b/>
          <w:color w:val="auto"/>
          <w:highlight w:val="none"/>
        </w:rPr>
        <w:t>情况</w:t>
      </w:r>
    </w:p>
    <w:p>
      <w:pPr>
        <w:pStyle w:val="35"/>
        <w:rPr>
          <w:rFonts w:eastAsiaTheme="minorEastAsia"/>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!其他应收款9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29"/>
        <w:gridCol w:w="1222"/>
        <w:gridCol w:w="1222"/>
        <w:gridCol w:w="1523"/>
        <w:gridCol w:w="1033"/>
        <w:gridCol w:w="13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2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债务人名称</w:t>
            </w:r>
          </w:p>
        </w:tc>
        <w:tc>
          <w:tcPr>
            <w:tcW w:w="122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其他应收款项性质</w:t>
            </w:r>
          </w:p>
        </w:tc>
        <w:tc>
          <w:tcPr>
            <w:tcW w:w="122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核销金额</w:t>
            </w:r>
          </w:p>
        </w:tc>
        <w:tc>
          <w:tcPr>
            <w:tcW w:w="152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核销原因</w:t>
            </w:r>
          </w:p>
        </w:tc>
        <w:tc>
          <w:tcPr>
            <w:tcW w:w="1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履行的核销程序</w:t>
            </w:r>
          </w:p>
        </w:tc>
        <w:tc>
          <w:tcPr>
            <w:tcW w:w="13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是否因关联交易产生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广州畅租物业管理有限公司</w:t>
            </w:r>
          </w:p>
        </w:tc>
        <w:tc>
          <w:tcPr>
            <w:tcW w:w="122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应收其他保证金</w:t>
            </w:r>
          </w:p>
        </w:tc>
        <w:tc>
          <w:tcPr>
            <w:tcW w:w="12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10,400.00</w:t>
            </w:r>
          </w:p>
        </w:tc>
        <w:tc>
          <w:tcPr>
            <w:tcW w:w="15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确认无法收回已清理</w:t>
            </w:r>
          </w:p>
        </w:tc>
        <w:tc>
          <w:tcPr>
            <w:tcW w:w="103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总经理办公会批准</w:t>
            </w:r>
          </w:p>
        </w:tc>
        <w:tc>
          <w:tcPr>
            <w:tcW w:w="135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中国太平洋保险公司</w:t>
            </w:r>
          </w:p>
        </w:tc>
        <w:tc>
          <w:tcPr>
            <w:tcW w:w="122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保险费</w:t>
            </w:r>
          </w:p>
        </w:tc>
        <w:tc>
          <w:tcPr>
            <w:tcW w:w="12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7,205.07</w:t>
            </w:r>
          </w:p>
        </w:tc>
        <w:tc>
          <w:tcPr>
            <w:tcW w:w="15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确认无法收回已清理</w:t>
            </w:r>
          </w:p>
        </w:tc>
        <w:tc>
          <w:tcPr>
            <w:tcW w:w="103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厂办会</w:t>
            </w:r>
          </w:p>
        </w:tc>
        <w:tc>
          <w:tcPr>
            <w:tcW w:w="135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中水公司职工</w:t>
            </w:r>
          </w:p>
        </w:tc>
        <w:tc>
          <w:tcPr>
            <w:tcW w:w="122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安全质量奖金</w:t>
            </w:r>
          </w:p>
        </w:tc>
        <w:tc>
          <w:tcPr>
            <w:tcW w:w="12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73,200.00</w:t>
            </w:r>
          </w:p>
        </w:tc>
        <w:tc>
          <w:tcPr>
            <w:tcW w:w="15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确认无法收回已清理</w:t>
            </w:r>
          </w:p>
        </w:tc>
        <w:tc>
          <w:tcPr>
            <w:tcW w:w="103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厂办会</w:t>
            </w:r>
          </w:p>
        </w:tc>
        <w:tc>
          <w:tcPr>
            <w:tcW w:w="135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罗甸县水力发电管理有限责任公司</w:t>
            </w:r>
          </w:p>
        </w:tc>
        <w:tc>
          <w:tcPr>
            <w:tcW w:w="122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往来款</w:t>
            </w:r>
          </w:p>
        </w:tc>
        <w:tc>
          <w:tcPr>
            <w:tcW w:w="12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1,750.00</w:t>
            </w:r>
          </w:p>
        </w:tc>
        <w:tc>
          <w:tcPr>
            <w:tcW w:w="15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确认无法收回已清理</w:t>
            </w:r>
          </w:p>
        </w:tc>
        <w:tc>
          <w:tcPr>
            <w:tcW w:w="103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厂办会</w:t>
            </w:r>
          </w:p>
        </w:tc>
        <w:tc>
          <w:tcPr>
            <w:tcW w:w="135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22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2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92,555.07</w:t>
            </w:r>
          </w:p>
        </w:tc>
        <w:tc>
          <w:tcPr>
            <w:tcW w:w="152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3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b/>
          <w:color w:val="auto"/>
          <w:highlight w:val="none"/>
        </w:rPr>
      </w:pPr>
      <w:r>
        <w:rPr>
          <w:rFonts w:hint="eastAsia"/>
          <w:b/>
          <w:color w:val="auto"/>
          <w:highlight w:val="none"/>
        </w:rPr>
        <w:t>（</w:t>
      </w:r>
      <w:r>
        <w:rPr>
          <w:b/>
          <w:color w:val="auto"/>
          <w:highlight w:val="none"/>
        </w:rPr>
        <w:t>6</w:t>
      </w:r>
      <w:r>
        <w:rPr>
          <w:rFonts w:hint="eastAsia"/>
          <w:b/>
          <w:color w:val="auto"/>
          <w:highlight w:val="none"/>
        </w:rPr>
        <w:t>）</w:t>
      </w:r>
      <w:r>
        <w:rPr>
          <w:b/>
          <w:color w:val="auto"/>
          <w:highlight w:val="none"/>
        </w:rPr>
        <w:t>按欠款方归集的期末余额前五名的其他应收款</w:t>
      </w:r>
      <w:r>
        <w:rPr>
          <w:rFonts w:hint="eastAsia" w:eastAsiaTheme="minorEastAsia"/>
          <w:b/>
          <w:bCs/>
          <w:color w:val="auto"/>
          <w:highlight w:val="none"/>
        </w:rPr>
        <w:t>项</w:t>
      </w:r>
      <w:r>
        <w:rPr>
          <w:b/>
          <w:color w:val="auto"/>
          <w:highlight w:val="none"/>
        </w:rPr>
        <w:t>情况</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!其他应收款10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82"/>
        <w:gridCol w:w="1228"/>
        <w:gridCol w:w="1535"/>
        <w:gridCol w:w="859"/>
        <w:gridCol w:w="1437"/>
        <w:gridCol w:w="14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债务人名称</w:t>
            </w:r>
          </w:p>
        </w:tc>
        <w:tc>
          <w:tcPr>
            <w:tcW w:w="122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款项性质</w:t>
            </w:r>
          </w:p>
        </w:tc>
        <w:tc>
          <w:tcPr>
            <w:tcW w:w="153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账龄</w:t>
            </w:r>
          </w:p>
        </w:tc>
        <w:tc>
          <w:tcPr>
            <w:tcW w:w="143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占其他应收款项合计的比例（%）</w:t>
            </w:r>
          </w:p>
        </w:tc>
        <w:tc>
          <w:tcPr>
            <w:tcW w:w="144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12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往来款</w:t>
            </w: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984,552,540.17</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1-2年</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49.43</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983,125,484.48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贵州钟山野马寨热电有限责任公司</w:t>
            </w:r>
          </w:p>
        </w:tc>
        <w:tc>
          <w:tcPr>
            <w:tcW w:w="12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往来款</w:t>
            </w: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321,610,794.00</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3年以上</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16.15</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321,610,794.00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上海联合产权交易所有限公司</w:t>
            </w:r>
          </w:p>
        </w:tc>
        <w:tc>
          <w:tcPr>
            <w:tcW w:w="12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资产处置款</w:t>
            </w: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253,331,400.00</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1年以内</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12.72</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金沙县能源局</w:t>
            </w:r>
          </w:p>
        </w:tc>
        <w:tc>
          <w:tcPr>
            <w:tcW w:w="12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电煤补贴</w:t>
            </w: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63,430,936.00</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2-3年</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3.18</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宁夏红墩子煤业有限公司</w:t>
            </w:r>
          </w:p>
        </w:tc>
        <w:tc>
          <w:tcPr>
            <w:tcW w:w="12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产能置换</w:t>
            </w: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43,948,150.24</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3年以上</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2.21</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43,947,200.00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22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5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1,666,873,820.41</w:t>
            </w:r>
          </w:p>
        </w:tc>
        <w:tc>
          <w:tcPr>
            <w:tcW w:w="8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83.69</w:t>
            </w:r>
          </w:p>
        </w:tc>
        <w:tc>
          <w:tcPr>
            <w:tcW w:w="144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1,348,683,478.48</w:t>
            </w: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存货</w:t>
      </w:r>
    </w:p>
    <w:p>
      <w:pPr>
        <w:pStyle w:val="44"/>
        <w:numPr>
          <w:ilvl w:val="0"/>
          <w:numId w:val="0"/>
        </w:numPr>
        <w:ind w:left="1276"/>
        <w:rPr>
          <w:rFonts w:eastAsiaTheme="minorEastAsia"/>
          <w:color w:val="auto"/>
          <w:highlight w:val="none"/>
        </w:rPr>
      </w:pPr>
      <w:r>
        <w:rPr>
          <w:rFonts w:eastAsiaTheme="minorEastAsia"/>
          <w:color w:val="auto"/>
          <w:highlight w:val="none"/>
        </w:rPr>
        <w:t>存货分类</w:t>
      </w:r>
    </w:p>
    <w:p>
      <w:pPr>
        <w:pStyle w:val="35"/>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!存货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013"/>
        <w:gridCol w:w="1266"/>
        <w:gridCol w:w="1004"/>
        <w:gridCol w:w="1274"/>
        <w:gridCol w:w="1274"/>
        <w:gridCol w:w="1091"/>
        <w:gridCol w:w="12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1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项目</w:t>
            </w:r>
          </w:p>
        </w:tc>
        <w:tc>
          <w:tcPr>
            <w:tcW w:w="354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期末数</w:t>
            </w:r>
          </w:p>
        </w:tc>
        <w:tc>
          <w:tcPr>
            <w:tcW w:w="3631"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013" w:type="dxa"/>
            <w:vMerge w:val="continue"/>
            <w:shd w:val="clear" w:color="auto" w:fill="auto"/>
            <w:vAlign w:val="center"/>
          </w:tcPr>
          <w:p>
            <w:pPr>
              <w:spacing w:line="200" w:lineRule="atLeast"/>
              <w:jc w:val="both"/>
              <w:rPr>
                <w:rFonts w:ascii="Times New Roman" w:hAnsi="Times New Roman" w:eastAsia="宋体" w:cs="Times New Roman"/>
                <w:color w:val="auto"/>
                <w:sz w:val="14"/>
                <w:highlight w:val="none"/>
              </w:rPr>
            </w:pPr>
          </w:p>
        </w:tc>
        <w:tc>
          <w:tcPr>
            <w:tcW w:w="1266"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账面余额</w:t>
            </w:r>
          </w:p>
        </w:tc>
        <w:tc>
          <w:tcPr>
            <w:tcW w:w="1004"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存货跌价准备/合同履约成本减值准备</w:t>
            </w:r>
          </w:p>
        </w:tc>
        <w:tc>
          <w:tcPr>
            <w:tcW w:w="1274"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账面价值</w:t>
            </w:r>
          </w:p>
        </w:tc>
        <w:tc>
          <w:tcPr>
            <w:tcW w:w="1274"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账面余额</w:t>
            </w:r>
          </w:p>
        </w:tc>
        <w:tc>
          <w:tcPr>
            <w:tcW w:w="1091"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存货跌价准备/合同履约成本减值准备</w:t>
            </w:r>
          </w:p>
        </w:tc>
        <w:tc>
          <w:tcPr>
            <w:tcW w:w="1266"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原材料</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1,058,854,426.85</w:t>
            </w:r>
          </w:p>
        </w:tc>
        <w:tc>
          <w:tcPr>
            <w:tcW w:w="100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2,929,127.30</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1,055,925,299.55</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1,219,537,147.66</w:t>
            </w:r>
          </w:p>
        </w:tc>
        <w:tc>
          <w:tcPr>
            <w:tcW w:w="1091"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56,741,414.13</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1,162,795,733.53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自制半成品及在产品</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6,065,944.45</w:t>
            </w:r>
          </w:p>
        </w:tc>
        <w:tc>
          <w:tcPr>
            <w:tcW w:w="100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6,065,944.45</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7,456,414.20</w:t>
            </w:r>
          </w:p>
        </w:tc>
        <w:tc>
          <w:tcPr>
            <w:tcW w:w="1091"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7,456,414.20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库存商品</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184,704,759.19</w:t>
            </w:r>
          </w:p>
        </w:tc>
        <w:tc>
          <w:tcPr>
            <w:tcW w:w="100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184,704,759.19</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376,781,725.77</w:t>
            </w:r>
          </w:p>
        </w:tc>
        <w:tc>
          <w:tcPr>
            <w:tcW w:w="1091"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34,167,563.46</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342,614,162.31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3" w:type="dxa"/>
            <w:shd w:val="clear" w:color="auto" w:fill="auto"/>
            <w:vAlign w:val="center"/>
          </w:tcPr>
          <w:p>
            <w:pPr>
              <w:snapToGrid w:val="0"/>
              <w:spacing w:line="200" w:lineRule="atLeast"/>
              <w:jc w:val="lef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周转材料</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934,627.14</w:t>
            </w:r>
          </w:p>
        </w:tc>
        <w:tc>
          <w:tcPr>
            <w:tcW w:w="100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934,627.14</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881,755.68</w:t>
            </w:r>
          </w:p>
        </w:tc>
        <w:tc>
          <w:tcPr>
            <w:tcW w:w="1091"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881,755.68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013" w:type="dxa"/>
            <w:shd w:val="clear" w:color="auto" w:fill="auto"/>
            <w:vAlign w:val="center"/>
          </w:tcPr>
          <w:p>
            <w:pPr>
              <w:snapToGrid w:val="0"/>
              <w:spacing w:line="200" w:lineRule="atLeast"/>
              <w:jc w:val="center"/>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合计</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1,250,559,757.63</w:t>
            </w:r>
          </w:p>
        </w:tc>
        <w:tc>
          <w:tcPr>
            <w:tcW w:w="100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2,929,127.30</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1,247,630,630.33</w:t>
            </w:r>
          </w:p>
        </w:tc>
        <w:tc>
          <w:tcPr>
            <w:tcW w:w="1274"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1,604,657,043.31</w:t>
            </w:r>
          </w:p>
        </w:tc>
        <w:tc>
          <w:tcPr>
            <w:tcW w:w="1091"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90,908,977.59</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4"/>
                <w:szCs w:val="15"/>
                <w:highlight w:val="none"/>
              </w:rPr>
            </w:pPr>
            <w:r>
              <w:rPr>
                <w:rFonts w:ascii="Times New Roman" w:hAnsi="Times New Roman" w:eastAsia="宋体" w:cs="Times New Roman"/>
                <w:color w:val="auto"/>
                <w:sz w:val="14"/>
                <w:szCs w:val="15"/>
                <w:highlight w:val="none"/>
              </w:rPr>
              <w:t>1,513,748,065.72</w:t>
            </w:r>
          </w:p>
        </w:tc>
      </w:tr>
    </w:tbl>
    <w:p>
      <w:pPr>
        <w:pStyle w:val="35"/>
        <w:rPr>
          <w:rFonts w:hint="eastAsia"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37"/>
        <w:rPr>
          <w:rFonts w:eastAsiaTheme="minorEastAsia"/>
          <w:color w:val="auto"/>
          <w:highlight w:val="none"/>
        </w:rPr>
      </w:pPr>
      <w:r>
        <w:rPr>
          <w:rFonts w:hint="eastAsia" w:eastAsiaTheme="minorEastAsia"/>
          <w:color w:val="auto"/>
          <w:highlight w:val="none"/>
        </w:rPr>
        <w:t>合同</w:t>
      </w:r>
      <w:r>
        <w:rPr>
          <w:rFonts w:eastAsiaTheme="minorEastAsia"/>
          <w:color w:val="auto"/>
          <w:highlight w:val="none"/>
        </w:rPr>
        <w:t>资产</w:t>
      </w:r>
    </w:p>
    <w:p>
      <w:pPr>
        <w:pStyle w:val="44"/>
        <w:numPr>
          <w:ilvl w:val="0"/>
          <w:numId w:val="0"/>
        </w:numPr>
        <w:ind w:left="1276"/>
        <w:rPr>
          <w:color w:val="auto"/>
          <w:highlight w:val="none"/>
        </w:rPr>
      </w:pPr>
      <w:r>
        <w:rPr>
          <w:color w:val="auto"/>
          <w:highlight w:val="none"/>
        </w:rPr>
        <w:t>合同资产情况</w:t>
      </w:r>
    </w:p>
    <w:p>
      <w:pPr>
        <w:pStyle w:val="35"/>
        <w:rPr>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"合并附注!合同资产"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872"/>
        <w:gridCol w:w="1345"/>
        <w:gridCol w:w="871"/>
        <w:gridCol w:w="1345"/>
        <w:gridCol w:w="1442"/>
        <w:gridCol w:w="871"/>
        <w:gridCol w:w="14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87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3561"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755"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87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87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减值准备</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87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减值准备</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87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工程款</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12,478,726.78</w:t>
            </w:r>
          </w:p>
        </w:tc>
        <w:tc>
          <w:tcPr>
            <w:tcW w:w="8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12,478,726.78</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140,752,360.47</w:t>
            </w:r>
          </w:p>
        </w:tc>
        <w:tc>
          <w:tcPr>
            <w:tcW w:w="8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140,752,360.47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87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12,478,726.78</w:t>
            </w:r>
          </w:p>
        </w:tc>
        <w:tc>
          <w:tcPr>
            <w:tcW w:w="8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12,478,726.78</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140,752,360.47</w:t>
            </w:r>
          </w:p>
        </w:tc>
        <w:tc>
          <w:tcPr>
            <w:tcW w:w="8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140,752,360.47</w:t>
            </w:r>
          </w:p>
        </w:tc>
      </w:tr>
    </w:tbl>
    <w:p>
      <w:pPr>
        <w:pStyle w:val="35"/>
        <w:rPr>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其他流动资产</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!其他流动资产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878"/>
        <w:gridCol w:w="2155"/>
        <w:gridCol w:w="215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8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15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5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未抵扣进项税</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1,319,682,381.64</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1,242,483,415.54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预缴税金</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77,510,547.45</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36,905,344.20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碳排放权资产</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376.23</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35,093,817.62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待处理财产损溢</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325,474.97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8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1,397,193,305.32</w:t>
            </w:r>
          </w:p>
        </w:tc>
        <w:tc>
          <w:tcPr>
            <w:tcW w:w="21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1,314,808,052.33</w:t>
            </w:r>
          </w:p>
        </w:tc>
      </w:tr>
    </w:tbl>
    <w:p>
      <w:pPr>
        <w:pStyle w:val="38"/>
        <w:rPr>
          <w:rFonts w:eastAsiaTheme="minorEastAsia"/>
          <w:color w:val="auto"/>
          <w:highlight w:val="none"/>
        </w:rPr>
      </w:pPr>
      <w:r>
        <w:rPr>
          <w:rFonts w:eastAsiaTheme="minorEastAsia"/>
          <w:color w:val="auto"/>
          <w:highlight w:val="none"/>
        </w:rPr>
        <w:fldChar w:fldCharType="end"/>
      </w:r>
    </w:p>
    <w:p>
      <w:pPr>
        <w:pStyle w:val="37"/>
        <w:rPr>
          <w:color w:val="auto"/>
          <w:highlight w:val="none"/>
        </w:rPr>
      </w:pPr>
      <w:r>
        <w:rPr>
          <w:rFonts w:hint="eastAsia"/>
          <w:color w:val="auto"/>
          <w:highlight w:val="none"/>
        </w:rPr>
        <w:t>债权</w:t>
      </w:r>
      <w:r>
        <w:rPr>
          <w:color w:val="auto"/>
          <w:highlight w:val="none"/>
        </w:rPr>
        <w:t>投资</w:t>
      </w:r>
    </w:p>
    <w:p>
      <w:pPr>
        <w:pStyle w:val="44"/>
        <w:numPr>
          <w:ilvl w:val="0"/>
          <w:numId w:val="0"/>
        </w:numPr>
        <w:ind w:left="1276"/>
        <w:rPr>
          <w:color w:val="auto"/>
          <w:highlight w:val="none"/>
        </w:rPr>
      </w:pPr>
      <w:r>
        <w:rPr>
          <w:rFonts w:hint="eastAsia"/>
          <w:color w:val="auto"/>
          <w:highlight w:val="none"/>
        </w:rPr>
        <w:t>债权</w:t>
      </w:r>
      <w:r>
        <w:rPr>
          <w:color w:val="auto"/>
          <w:highlight w:val="none"/>
        </w:rPr>
        <w:t>投资情况</w:t>
      </w:r>
    </w:p>
    <w:p>
      <w:pPr>
        <w:pStyle w:val="35"/>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 </w:instrText>
      </w:r>
      <w:r>
        <w:rPr>
          <w:rFonts w:hint="eastAsia"/>
          <w:color w:val="auto"/>
          <w:highlight w:val="none"/>
        </w:rPr>
        <w:instrText xml:space="preserve">债权投资</w:instrText>
      </w:r>
      <w:r>
        <w:rPr>
          <w:color w:val="auto"/>
          <w:highlight w:val="none"/>
        </w:rPr>
        <w:instrText xml:space="preserve">!</w:instrText>
      </w:r>
      <w:r>
        <w:rPr>
          <w:rFonts w:hint="eastAsia"/>
          <w:color w:val="auto"/>
          <w:highlight w:val="none"/>
        </w:rPr>
        <w:instrText xml:space="preserve">债权投资</w:instrText>
      </w:r>
      <w:r>
        <w:rPr>
          <w:color w:val="auto"/>
          <w:highlight w:val="none"/>
        </w:rPr>
        <w:instrText xml:space="preserve">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776"/>
        <w:gridCol w:w="1587"/>
        <w:gridCol w:w="1060"/>
        <w:gridCol w:w="1587"/>
        <w:gridCol w:w="1060"/>
        <w:gridCol w:w="1060"/>
        <w:gridCol w:w="10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77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423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17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77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6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减值准备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106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6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减值准备</w:t>
            </w:r>
          </w:p>
        </w:tc>
        <w:tc>
          <w:tcPr>
            <w:tcW w:w="105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77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委托借款</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5,556,721,330.61</w:t>
            </w: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5,556,721,330.61</w:t>
            </w: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0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7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5,556,721,330.61</w:t>
            </w: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5,556,721,330.61</w:t>
            </w: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06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0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color w:val="auto"/>
          <w:highlight w:val="none"/>
        </w:rPr>
      </w:pPr>
      <w:r>
        <w:rPr>
          <w:color w:val="auto"/>
          <w:highlight w:val="none"/>
        </w:rPr>
        <w:fldChar w:fldCharType="end"/>
      </w:r>
    </w:p>
    <w:p>
      <w:pPr>
        <w:pStyle w:val="37"/>
        <w:rPr>
          <w:color w:val="auto"/>
          <w:highlight w:val="none"/>
        </w:rPr>
      </w:pPr>
      <w:r>
        <w:rPr>
          <w:rFonts w:hint="eastAsia"/>
          <w:color w:val="auto"/>
          <w:highlight w:val="none"/>
        </w:rPr>
        <w:t>其他</w:t>
      </w:r>
      <w:r>
        <w:rPr>
          <w:color w:val="auto"/>
          <w:highlight w:val="none"/>
        </w:rPr>
        <w:t>债权投资</w:t>
      </w:r>
    </w:p>
    <w:p>
      <w:pPr>
        <w:pStyle w:val="44"/>
        <w:numPr>
          <w:ilvl w:val="0"/>
          <w:numId w:val="0"/>
        </w:numPr>
        <w:ind w:left="1276"/>
        <w:rPr>
          <w:color w:val="auto"/>
          <w:highlight w:val="none"/>
        </w:rPr>
      </w:pPr>
      <w:r>
        <w:rPr>
          <w:color w:val="auto"/>
          <w:highlight w:val="none"/>
        </w:rPr>
        <w:t>其他债权投资情况</w:t>
      </w:r>
    </w:p>
    <w:p>
      <w:pPr>
        <w:pStyle w:val="35"/>
        <w:rPr>
          <w:color w:val="auto"/>
          <w:highlight w:val="none"/>
        </w:rPr>
      </w:pPr>
      <w:r>
        <w:rPr>
          <w:color w:val="auto"/>
          <w:highlight w:val="none"/>
        </w:rPr>
        <w:fldChar w:fldCharType="begin"/>
      </w:r>
      <w:r>
        <w:rPr>
          <w:color w:val="auto"/>
          <w:highlight w:val="none"/>
        </w:rPr>
        <w:instrText xml:space="preserve"> LINK Excel.Sheet.12 "D:\\tonylee\\立信标准化审计报告工具\\2018年报\\其他\\上海市国有企业财务报告参考格式（201902）\\上海国资委V2.xlsx" "其他债权投资!其他债权投资"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87"/>
        <w:gridCol w:w="2307"/>
        <w:gridCol w:w="21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9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委托借款</w:t>
            </w:r>
          </w:p>
        </w:tc>
        <w:tc>
          <w:tcPr>
            <w:tcW w:w="230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9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3,095,369,600.92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9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3,095,369,600.92</w:t>
            </w:r>
          </w:p>
        </w:tc>
      </w:tr>
    </w:tbl>
    <w:p>
      <w:pPr>
        <w:pStyle w:val="35"/>
        <w:rPr>
          <w:color w:val="auto"/>
          <w:highlight w:val="none"/>
        </w:rPr>
      </w:pPr>
      <w:r>
        <w:rPr>
          <w:color w:val="auto"/>
          <w:highlight w:val="none"/>
        </w:rPr>
        <w:fldChar w:fldCharType="end"/>
      </w:r>
    </w:p>
    <w:p>
      <w:pPr>
        <w:pStyle w:val="35"/>
        <w:rPr>
          <w:color w:val="auto"/>
          <w:highlight w:val="none"/>
        </w:rPr>
      </w:pPr>
    </w:p>
    <w:p>
      <w:pPr>
        <w:pStyle w:val="35"/>
        <w:rPr>
          <w:color w:val="auto"/>
          <w:highlight w:val="none"/>
        </w:rPr>
      </w:pPr>
      <w:r>
        <w:rPr>
          <w:color w:val="auto"/>
          <w:highlight w:val="none"/>
        </w:rPr>
        <w:br w:type="page"/>
      </w:r>
    </w:p>
    <w:p>
      <w:pPr>
        <w:pStyle w:val="35"/>
        <w:rPr>
          <w:color w:val="auto"/>
          <w:highlight w:val="none"/>
        </w:rPr>
        <w:sectPr>
          <w:pgSz w:w="11907" w:h="16839"/>
          <w:pgMar w:top="1440" w:right="1797" w:bottom="1440" w:left="1797" w:header="680"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长期应收款</w:t>
      </w:r>
    </w:p>
    <w:p>
      <w:pPr>
        <w:pStyle w:val="44"/>
        <w:numPr>
          <w:ilvl w:val="0"/>
          <w:numId w:val="0"/>
        </w:numPr>
        <w:ind w:left="1276"/>
        <w:rPr>
          <w:rFonts w:eastAsiaTheme="minorEastAsia"/>
          <w:color w:val="auto"/>
          <w:highlight w:val="none"/>
        </w:rPr>
      </w:pPr>
      <w:r>
        <w:rPr>
          <w:rFonts w:eastAsiaTheme="minorEastAsia"/>
          <w:color w:val="auto"/>
          <w:highlight w:val="none"/>
        </w:rPr>
        <w:t>长期应收款情况</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!长期应收款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185"/>
        <w:gridCol w:w="1707"/>
        <w:gridCol w:w="1707"/>
        <w:gridCol w:w="1706"/>
        <w:gridCol w:w="1872"/>
        <w:gridCol w:w="1706"/>
        <w:gridCol w:w="1706"/>
        <w:gridCol w:w="101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8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w:t>
            </w:r>
          </w:p>
        </w:tc>
        <w:tc>
          <w:tcPr>
            <w:tcW w:w="5120"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期末数</w:t>
            </w:r>
          </w:p>
        </w:tc>
        <w:tc>
          <w:tcPr>
            <w:tcW w:w="528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期初数</w:t>
            </w:r>
          </w:p>
        </w:tc>
        <w:tc>
          <w:tcPr>
            <w:tcW w:w="101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期末折现率区间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8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70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70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坏账准备</w:t>
            </w:r>
          </w:p>
        </w:tc>
        <w:tc>
          <w:tcPr>
            <w:tcW w:w="1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187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坏账准备</w:t>
            </w:r>
          </w:p>
        </w:tc>
        <w:tc>
          <w:tcPr>
            <w:tcW w:w="1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101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融资租赁款</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43,535,058.50</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43,535,058.50</w:t>
            </w:r>
          </w:p>
        </w:tc>
        <w:tc>
          <w:tcPr>
            <w:tcW w:w="18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184,170,970.84</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184,170,970.84</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其中：未实现融资收益</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111,718.94</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111,718.94</w:t>
            </w:r>
          </w:p>
        </w:tc>
        <w:tc>
          <w:tcPr>
            <w:tcW w:w="18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338,992.97</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338,992.97</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分期收款销售商品</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46,547,782.60</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46,547,782.60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8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46,547,782.60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46,547,782.60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848,806,939.70</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666,811,100.00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181,995,839.70</w:t>
            </w:r>
          </w:p>
        </w:tc>
        <w:tc>
          <w:tcPr>
            <w:tcW w:w="18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852,172,845.00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666,811,100.00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185,361,745.00</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5"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938,889,780.80</w:t>
            </w:r>
          </w:p>
        </w:tc>
        <w:tc>
          <w:tcPr>
            <w:tcW w:w="17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713,358,882.60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225,530,898.20</w:t>
            </w:r>
          </w:p>
        </w:tc>
        <w:tc>
          <w:tcPr>
            <w:tcW w:w="18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1,082,891,598.44</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713,358,882.60</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369,532,715.84</w:t>
            </w:r>
          </w:p>
        </w:tc>
        <w:tc>
          <w:tcPr>
            <w:tcW w:w="101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color w:val="auto"/>
          <w:highlight w:val="none"/>
        </w:rPr>
        <w:sectPr>
          <w:pgSz w:w="16839" w:h="11907" w:orient="landscape"/>
          <w:pgMar w:top="1797" w:right="1440" w:bottom="1797" w:left="1440" w:header="680"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长期股权投资</w:t>
      </w:r>
    </w:p>
    <w:p>
      <w:pPr>
        <w:pStyle w:val="44"/>
        <w:rPr>
          <w:color w:val="auto"/>
          <w:highlight w:val="none"/>
        </w:rPr>
      </w:pPr>
      <w:r>
        <w:rPr>
          <w:color w:val="auto"/>
          <w:highlight w:val="none"/>
        </w:rPr>
        <w:t>长期股权投资分类</w:t>
      </w:r>
    </w:p>
    <w:p>
      <w:pPr>
        <w:pStyle w:val="35"/>
        <w:rPr>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"D:\\tonylee\\立信\\新附注排版工具\\2015央企年报格式\\中央企业财务报表和报表附注20160818.xlsm" "合并附注!长期股权投资"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204"/>
        <w:gridCol w:w="1587"/>
        <w:gridCol w:w="1442"/>
        <w:gridCol w:w="1368"/>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0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3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对合营企业投资</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13,722,308.13</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2,294,833.48</w:t>
            </w:r>
          </w:p>
        </w:tc>
        <w:tc>
          <w:tcPr>
            <w:tcW w:w="13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681,534.10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15,335,607.51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对联营企业投资</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1,507,952,964.16</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468,024,187.45</w:t>
            </w:r>
          </w:p>
        </w:tc>
        <w:tc>
          <w:tcPr>
            <w:tcW w:w="13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68,708,199.84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1,907,268,951.77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小计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1,521,675,272.29</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470,319,020.93</w:t>
            </w:r>
          </w:p>
        </w:tc>
        <w:tc>
          <w:tcPr>
            <w:tcW w:w="13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69,389,733.94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1,922,604,559.28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减：长期股权投资减值准备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181,000,000.00</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1,340,675,272.29</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470,319,020.93</w:t>
            </w:r>
          </w:p>
        </w:tc>
        <w:tc>
          <w:tcPr>
            <w:tcW w:w="13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69,389,733.94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1,741,604,559.28</w:t>
            </w:r>
          </w:p>
        </w:tc>
      </w:tr>
    </w:tbl>
    <w:p>
      <w:pPr>
        <w:pStyle w:val="35"/>
        <w:rPr>
          <w:color w:val="auto"/>
          <w:highlight w:val="none"/>
        </w:rPr>
      </w:pPr>
      <w:r>
        <w:rPr>
          <w:color w:val="auto"/>
          <w:highlight w:val="none"/>
        </w:rPr>
        <w:fldChar w:fldCharType="end"/>
      </w:r>
    </w:p>
    <w:p>
      <w:pPr>
        <w:pStyle w:val="35"/>
        <w:rPr>
          <w:color w:val="auto"/>
          <w:highlight w:val="none"/>
        </w:rPr>
      </w:pPr>
    </w:p>
    <w:p>
      <w:pPr>
        <w:pStyle w:val="44"/>
        <w:rPr>
          <w:color w:val="auto"/>
          <w:highlight w:val="none"/>
        </w:rPr>
        <w:sectPr>
          <w:pgSz w:w="11907" w:h="16839"/>
          <w:pgMar w:top="1440" w:right="1797" w:bottom="1440" w:left="1797" w:header="680" w:footer="992" w:gutter="0"/>
          <w:cols w:space="425" w:num="1"/>
          <w:docGrid w:linePitch="312" w:charSpace="0"/>
        </w:sectPr>
      </w:pPr>
    </w:p>
    <w:p>
      <w:pPr>
        <w:pStyle w:val="44"/>
        <w:rPr>
          <w:color w:val="auto"/>
          <w:highlight w:val="none"/>
        </w:rPr>
      </w:pPr>
      <w:r>
        <w:rPr>
          <w:color w:val="auto"/>
          <w:highlight w:val="none"/>
        </w:rPr>
        <w:t>长期股权投资明细</w:t>
      </w:r>
    </w:p>
    <w:p>
      <w:pPr>
        <w:pStyle w:val="35"/>
        <w:rPr>
          <w:color w:val="auto"/>
          <w:szCs w:val="22"/>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!长期股权投资</w:instrText>
      </w:r>
      <w:r>
        <w:rPr>
          <w:rFonts w:hint="eastAsia"/>
          <w:color w:val="auto"/>
          <w:highlight w:val="none"/>
        </w:rPr>
        <w:instrText xml:space="preserve">1</w:instrText>
      </w:r>
      <w:r>
        <w:rPr>
          <w:color w:val="auto"/>
          <w:highlight w:val="none"/>
        </w:rPr>
        <w:instrText xml:space="preserve">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061"/>
        <w:gridCol w:w="1273"/>
        <w:gridCol w:w="1266"/>
        <w:gridCol w:w="1154"/>
        <w:gridCol w:w="402"/>
        <w:gridCol w:w="1132"/>
        <w:gridCol w:w="485"/>
        <w:gridCol w:w="1101"/>
        <w:gridCol w:w="691"/>
        <w:gridCol w:w="469"/>
        <w:gridCol w:w="1154"/>
        <w:gridCol w:w="1266"/>
        <w:gridCol w:w="115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6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被投资单位</w:t>
            </w:r>
          </w:p>
        </w:tc>
        <w:tc>
          <w:tcPr>
            <w:tcW w:w="127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投资成本</w:t>
            </w:r>
          </w:p>
        </w:tc>
        <w:tc>
          <w:tcPr>
            <w:tcW w:w="126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期初余额</w:t>
            </w:r>
          </w:p>
        </w:tc>
        <w:tc>
          <w:tcPr>
            <w:tcW w:w="6588" w:type="dxa"/>
            <w:gridSpan w:val="8"/>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本期增减变动</w:t>
            </w:r>
          </w:p>
        </w:tc>
        <w:tc>
          <w:tcPr>
            <w:tcW w:w="126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期末余额</w:t>
            </w:r>
          </w:p>
        </w:tc>
        <w:tc>
          <w:tcPr>
            <w:tcW w:w="115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减值准备期末余额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61"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273"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266"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154"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追加投资</w:t>
            </w:r>
          </w:p>
        </w:tc>
        <w:tc>
          <w:tcPr>
            <w:tcW w:w="402"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减少投资</w:t>
            </w:r>
          </w:p>
        </w:tc>
        <w:tc>
          <w:tcPr>
            <w:tcW w:w="1132"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权益法下确认的投资损益</w:t>
            </w:r>
          </w:p>
        </w:tc>
        <w:tc>
          <w:tcPr>
            <w:tcW w:w="485"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其他综合收益调整</w:t>
            </w:r>
          </w:p>
        </w:tc>
        <w:tc>
          <w:tcPr>
            <w:tcW w:w="1101"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其他权益变动</w:t>
            </w:r>
          </w:p>
        </w:tc>
        <w:tc>
          <w:tcPr>
            <w:tcW w:w="691"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宣告发放现金股利或利润</w:t>
            </w:r>
          </w:p>
        </w:tc>
        <w:tc>
          <w:tcPr>
            <w:tcW w:w="469"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计提减值准备</w:t>
            </w:r>
          </w:p>
        </w:tc>
        <w:tc>
          <w:tcPr>
            <w:tcW w:w="1154"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其他</w:t>
            </w:r>
          </w:p>
        </w:tc>
        <w:tc>
          <w:tcPr>
            <w:tcW w:w="1266"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154"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center"/>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合计</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2,994,749,457.28</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1,521,675,272.29</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163,096,300.00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44,407,853.19</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-2,509,730.11</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195,934,863.91</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1,922,604,559.28</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181,000,000.00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一、合营企业</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11,800,000.00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13,722,308.13</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1,500,000.00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515,855.43</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278,978.05</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-681,534.10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15,335,607.51</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阿拉善金元新能源有限公司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9,800,000.00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13,222,308.13</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332,139.46</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278,978.05</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13,833,425.64</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贵州绿动能源有限公司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1,500,000.00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2,181.87</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1,502,181.87</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青海金旗新能源有限责任公司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181,534.10</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-681,534.10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二、联营企业</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2,982,949,457.28</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1,507,952,964.16</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161,596,300.00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43,891,997.76</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-2,788,708.16</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196,616,398.01</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1,907,268,951.77</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181,000,000.00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贵州织金平远清洁能源有限责任公司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380,000,000.00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250,000,000.00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130,000,000.00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380,000,000.00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贵州黔西能源开发有限公司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37,500,000.00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252,672,321.91</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46,273,781.32</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2,469,335.75</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301,415,438.98</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贵州能发电力燃料开发有限公司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132,097,375.24</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265,324,550.31</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265,324,550.31</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贵州省西威新能源有限公司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186,383,365.00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235,209,786.52</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15,089,852.15</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1,219,745.52</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251,519,384.19</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贵州发耳煤业有限公司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81,990,000.00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237,027,441.04</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-34,307.66</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-6,850,511.57</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230,142,621.81</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国家电投集团（贵安新区）数据中心有限公司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138,796,300.00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107,200,000.00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31,596,300.00</w:t>
            </w: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1,224,571.37</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140,020,871.37</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贵州钟山野马寨热电有限责任公司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100,000,000.00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100,000,000.00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100,000,000.00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100,000,000.00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贵州红威公路有限责任公司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77,000,000.00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77,000,000.00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77,000,000.00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77,000,000.00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贵州远达金元环保有限公司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45,000,000.00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61,515,828.85</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4,810,471.05</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66,326,299.90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四川兴鼎电力有限责任公司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450,000,000.00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33,349,033.20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6,902,623.83</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121,045.80</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40,372,702.83</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贵州金泽新能源科技有限公司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72,000,000.00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61,909,484.55</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-32,008,814.38</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217,768.27</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30,118,438.44</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国能荔波荔都水电发展有限责任公司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10,462,000.00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17,606,174.55</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3,336,969.39</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33,908.07</w:t>
            </w: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47.54</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20,977,099.55</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贵州云之龙电煤运输投资有限公司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4,000,000.00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深圳金深新能源有限公司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4,200,000.00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2,962,469.54</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-2,910,934.15</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51,535.39</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贵州金诚能源有限责任公司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9.00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9.00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9.00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大唐贵州发耳发电有限公司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829,475,062.50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贵州大方发电有限公司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202,845,345.54</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遵义智源配售电有限公司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67,500,000.00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67,500,415.00</w:t>
            </w: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1,207,784.84</w:t>
            </w: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-68,708,199.84</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贵州五轮山煤业有限公司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60,000,000.00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贵州能发高山矿业有限公司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51,000,000.00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贵州比德煤业有限公司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48,000,000.00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贵州玉舍煤业有限公司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4,200,000.00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贵州泰元能源有限责任公司</w:t>
            </w:r>
          </w:p>
        </w:tc>
        <w:tc>
          <w:tcPr>
            <w:tcW w:w="1273"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r>
              <w:rPr>
                <w:rFonts w:ascii="Times New Roman" w:hAnsi="Times New Roman" w:eastAsia="宋体" w:cs="Times New Roman"/>
                <w:color w:val="auto"/>
                <w:sz w:val="12"/>
                <w:szCs w:val="15"/>
                <w:highlight w:val="none"/>
              </w:rPr>
              <w:t>500,000.00</w:t>
            </w: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0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85"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0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691"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469"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266"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c>
          <w:tcPr>
            <w:tcW w:w="1154" w:type="dxa"/>
            <w:shd w:val="clear" w:color="auto" w:fill="auto"/>
            <w:vAlign w:val="center"/>
          </w:tcPr>
          <w:p>
            <w:pPr>
              <w:snapToGrid w:val="0"/>
              <w:spacing w:line="200" w:lineRule="atLeast"/>
              <w:jc w:val="right"/>
              <w:rPr>
                <w:rFonts w:ascii="Times New Roman" w:hAnsi="Times New Roman" w:eastAsia="宋体" w:cs="Times New Roman"/>
                <w:color w:val="auto"/>
                <w:sz w:val="12"/>
                <w:szCs w:val="15"/>
                <w:highlight w:val="none"/>
              </w:rPr>
            </w:pPr>
          </w:p>
        </w:tc>
      </w:tr>
    </w:tbl>
    <w:p>
      <w:pPr>
        <w:pStyle w:val="35"/>
        <w:rPr>
          <w:color w:val="auto"/>
          <w:highlight w:val="none"/>
        </w:rPr>
      </w:pPr>
      <w:r>
        <w:rPr>
          <w:color w:val="auto"/>
          <w:highlight w:val="none"/>
        </w:rPr>
        <w:fldChar w:fldCharType="end"/>
      </w:r>
      <w:r>
        <w:rPr>
          <w:rFonts w:hint="eastAsia"/>
          <w:color w:val="auto"/>
          <w:highlight w:val="none"/>
        </w:rPr>
        <w:t>注：本期增减变动中，“其他”变动</w:t>
      </w:r>
      <w:r>
        <w:rPr>
          <w:color w:val="auto"/>
          <w:highlight w:val="none"/>
        </w:rPr>
        <w:t>195,934,863.91</w:t>
      </w:r>
      <w:r>
        <w:rPr>
          <w:rFonts w:hint="eastAsia"/>
          <w:color w:val="auto"/>
          <w:highlight w:val="none"/>
        </w:rPr>
        <w:t>元，构成如下：</w:t>
      </w:r>
    </w:p>
    <w:p>
      <w:pPr>
        <w:pStyle w:val="35"/>
        <w:rPr>
          <w:color w:val="auto"/>
          <w:highlight w:val="none"/>
        </w:rPr>
      </w:pPr>
      <w:r>
        <w:rPr>
          <w:rFonts w:hint="eastAsia"/>
          <w:color w:val="auto"/>
          <w:highlight w:val="none"/>
        </w:rPr>
        <w:t>①本期公司对青海金旗新能源有限责任公司长期股权投资核算方式由权益法转为成本法，其他变动</w:t>
      </w:r>
      <w:r>
        <w:rPr>
          <w:color w:val="auto"/>
          <w:highlight w:val="none"/>
        </w:rPr>
        <w:t>-681,534.10</w:t>
      </w:r>
      <w:r>
        <w:rPr>
          <w:rFonts w:hint="eastAsia"/>
          <w:color w:val="auto"/>
          <w:highlight w:val="none"/>
        </w:rPr>
        <w:t>元；</w:t>
      </w:r>
    </w:p>
    <w:p>
      <w:pPr>
        <w:pStyle w:val="35"/>
        <w:rPr>
          <w:color w:val="auto"/>
          <w:highlight w:val="none"/>
        </w:rPr>
      </w:pPr>
      <w:r>
        <w:rPr>
          <w:rFonts w:hint="eastAsia"/>
          <w:color w:val="auto"/>
          <w:highlight w:val="none"/>
        </w:rPr>
        <w:t>②本期公司对遵义智源配售电有限公司长期股权投资核算方式由权益法转为成本法，其他变动-</w:t>
      </w:r>
      <w:r>
        <w:rPr>
          <w:color w:val="auto"/>
          <w:highlight w:val="none"/>
        </w:rPr>
        <w:t>68,708,199.84</w:t>
      </w:r>
      <w:r>
        <w:rPr>
          <w:rFonts w:hint="eastAsia"/>
          <w:color w:val="auto"/>
          <w:highlight w:val="none"/>
        </w:rPr>
        <w:t>元；</w:t>
      </w:r>
    </w:p>
    <w:p>
      <w:pPr>
        <w:pStyle w:val="35"/>
        <w:rPr>
          <w:color w:val="auto"/>
          <w:highlight w:val="none"/>
        </w:rPr>
      </w:pPr>
      <w:r>
        <w:rPr>
          <w:rFonts w:hint="eastAsia"/>
          <w:color w:val="auto"/>
          <w:highlight w:val="none"/>
        </w:rPr>
        <w:t>③本期公司对贵州能发电力燃料开发有限公司长期股权投资核算方式由成本法转为权益法，其他变动</w:t>
      </w:r>
      <w:r>
        <w:rPr>
          <w:color w:val="auto"/>
          <w:highlight w:val="none"/>
        </w:rPr>
        <w:t>265,324,550.31</w:t>
      </w:r>
      <w:r>
        <w:rPr>
          <w:rFonts w:hint="eastAsia"/>
          <w:color w:val="auto"/>
          <w:highlight w:val="none"/>
        </w:rPr>
        <w:t>元，详见“财务报表附注七、（三）本期不再纳入合并范围的原子公司”。</w:t>
      </w:r>
    </w:p>
    <w:p>
      <w:pPr>
        <w:pStyle w:val="35"/>
        <w:rPr>
          <w:color w:val="auto"/>
          <w:highlight w:val="none"/>
        </w:rPr>
      </w:pPr>
      <w:r>
        <w:rPr>
          <w:rFonts w:hint="eastAsia"/>
          <w:color w:val="auto"/>
          <w:highlight w:val="none"/>
        </w:rPr>
        <w:t>④本期公司调整以前年度对国能荔波荔都水电发展有限责任公司确认的分红尾差，其他变动47.54元。</w:t>
      </w:r>
    </w:p>
    <w:p>
      <w:pPr>
        <w:pStyle w:val="38"/>
        <w:rPr>
          <w:rFonts w:eastAsiaTheme="minorEastAsia"/>
          <w:color w:val="auto"/>
          <w:highlight w:val="none"/>
        </w:rPr>
        <w:sectPr>
          <w:pgSz w:w="16839" w:h="11907" w:orient="landscape"/>
          <w:pgMar w:top="1797" w:right="1440" w:bottom="1797" w:left="1440" w:header="794" w:footer="992" w:gutter="0"/>
          <w:cols w:space="425" w:num="1"/>
          <w:docGrid w:linePitch="312" w:charSpace="0"/>
        </w:sectPr>
      </w:pPr>
    </w:p>
    <w:p>
      <w:pPr>
        <w:pStyle w:val="44"/>
        <w:rPr>
          <w:color w:val="auto"/>
          <w:highlight w:val="none"/>
        </w:rPr>
      </w:pPr>
      <w:r>
        <w:rPr>
          <w:rFonts w:hint="eastAsia"/>
          <w:color w:val="auto"/>
          <w:highlight w:val="none"/>
        </w:rPr>
        <w:t>重要联</w:t>
      </w:r>
      <w:r>
        <w:rPr>
          <w:color w:val="auto"/>
          <w:highlight w:val="none"/>
        </w:rPr>
        <w:t>营企业</w:t>
      </w:r>
      <w:r>
        <w:rPr>
          <w:rFonts w:hint="eastAsia"/>
          <w:color w:val="auto"/>
          <w:highlight w:val="none"/>
        </w:rPr>
        <w:t>的主要财务信息</w:t>
      </w:r>
    </w:p>
    <w:p>
      <w:pPr>
        <w:pStyle w:val="35"/>
        <w:rPr>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"D:\\tonylee\\立信\\新附注排版工具\\2015央企年报格式\\中央企业财务报表和报表附注20160818.xlsm" "合并附注!长期股权投资3"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586"/>
        <w:gridCol w:w="1372"/>
        <w:gridCol w:w="1371"/>
        <w:gridCol w:w="1372"/>
        <w:gridCol w:w="14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58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w:t>
            </w:r>
          </w:p>
        </w:tc>
        <w:tc>
          <w:tcPr>
            <w:tcW w:w="274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本期数</w:t>
            </w:r>
          </w:p>
        </w:tc>
        <w:tc>
          <w:tcPr>
            <w:tcW w:w="2859"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58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贵州织金平远清洁能源有限责任公司</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四川兴鼎电力有限责任公司</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贵州织金平远清洁能源有限责任公司</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四川兴鼎电力有限责任公司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流动资产</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344,768,593.79</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23,357,997.63</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93,245,780.49</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72,293,080.98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非流动资产</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2,905,422,807.55</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4,820,758,941.42</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1,238,201,676.25</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4,512,638,660.65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资产合计</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3,250,191,401.34</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4,844,116,939.05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1,331,447,456.74</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4,584,931,741.63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流动负债</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46,162,126.68</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610,033,451.12</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3,418,182.08</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323,727,768.60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非流动负债</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2,444,029,274.66</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3,319,784,168.75</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828,029,274.66</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3,380,750,078.23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负债合计</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2,490,191,401.34</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3,929,817,619.87</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831,447,456.74</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3,704,477,846.83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净资产</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760,000,000.00</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913,405,695.34</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500,000,000.00</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880,453,894.80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按持股比例计算的净资产份额</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380,000,000.00</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40,372,702.83</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250,000,000.00</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188,681,269.66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调整事项</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对联营企业权益投资的账面价值</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380,000,000.00</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40,372,702.83</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380,000,000.00</w:t>
            </w: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33,349,033.20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存在公开报价的权益投资的公允价值</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营业收入</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137,289,777.96</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151,911,986.62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净利润</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57,429,135.66</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68,631,212.90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其他综合收益</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综合收益总额</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57,429,135.66</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68,631,212.90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86"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企业本期收到的来自联营企业的股利</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8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bl>
    <w:p>
      <w:pPr>
        <w:pStyle w:val="35"/>
        <w:rPr>
          <w:color w:val="auto"/>
          <w:highlight w:val="none"/>
        </w:rPr>
      </w:pPr>
      <w:r>
        <w:rPr>
          <w:color w:val="auto"/>
          <w:highlight w:val="none"/>
        </w:rPr>
        <w:fldChar w:fldCharType="end"/>
      </w:r>
    </w:p>
    <w:p>
      <w:pPr>
        <w:pStyle w:val="44"/>
        <w:rPr>
          <w:color w:val="auto"/>
          <w:highlight w:val="none"/>
        </w:rPr>
      </w:pPr>
      <w:r>
        <w:rPr>
          <w:rFonts w:hint="eastAsia"/>
          <w:color w:val="auto"/>
          <w:highlight w:val="none"/>
        </w:rPr>
        <w:t>不重要合营企业和联</w:t>
      </w:r>
      <w:r>
        <w:rPr>
          <w:color w:val="auto"/>
          <w:highlight w:val="none"/>
        </w:rPr>
        <w:t>营企业</w:t>
      </w:r>
      <w:r>
        <w:rPr>
          <w:rFonts w:hint="eastAsia"/>
          <w:color w:val="auto"/>
          <w:highlight w:val="none"/>
        </w:rPr>
        <w:t>的汇总信息</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"D:\\tonylee\\立信\\新附注排版工具\\2015央企年报格式\\中央企业财务报表和报表附注20160818.xlsm" "合并附注!长期股权投资4"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053"/>
        <w:gridCol w:w="2081"/>
        <w:gridCol w:w="205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0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08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本期数</w:t>
            </w:r>
          </w:p>
        </w:tc>
        <w:tc>
          <w:tcPr>
            <w:tcW w:w="205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合营企业：</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投资账面价值合计</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15,335,607.51</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13,722,308.13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下列各项按持股比例计算的合计数</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净利润</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513,673.56</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3,422,308.13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其他综合收益</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综合收益总额</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513,673.56</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3,422,308.13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联营企业：</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投资账面价值合计</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1,305,896,248.94</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1,043,603,930.96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下列各项按持股比例计算的合计数</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净利润</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32,180,956.41</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55,487,964.40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其他综合收益</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综合收益总额</w:t>
            </w:r>
          </w:p>
        </w:tc>
        <w:tc>
          <w:tcPr>
            <w:tcW w:w="208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32,180,956.41</w:t>
            </w:r>
          </w:p>
        </w:tc>
        <w:tc>
          <w:tcPr>
            <w:tcW w:w="205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55,487,964.40</w:t>
            </w:r>
          </w:p>
        </w:tc>
      </w:tr>
    </w:tbl>
    <w:p>
      <w:pPr>
        <w:pStyle w:val="35"/>
        <w:ind w:left="0"/>
        <w:rPr>
          <w:color w:val="auto"/>
          <w:highlight w:val="none"/>
        </w:rPr>
        <w:sectPr>
          <w:pgSz w:w="11907" w:h="16839"/>
          <w:pgMar w:top="1440" w:right="1797" w:bottom="1440" w:left="1797" w:header="680" w:footer="992" w:gutter="0"/>
          <w:cols w:space="425" w:num="1"/>
          <w:docGrid w:linePitch="312" w:charSpace="0"/>
        </w:sectPr>
      </w:pPr>
      <w:r>
        <w:rPr>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其他</w:t>
      </w:r>
      <w:r>
        <w:rPr>
          <w:rFonts w:eastAsiaTheme="minorEastAsia"/>
          <w:color w:val="auto"/>
          <w:highlight w:val="none"/>
        </w:rPr>
        <w:t>权益工具投资</w:t>
      </w:r>
    </w:p>
    <w:p>
      <w:pPr>
        <w:pStyle w:val="38"/>
        <w:rPr>
          <w:b/>
          <w:bCs/>
          <w:color w:val="auto"/>
          <w:highlight w:val="none"/>
        </w:rPr>
      </w:pPr>
      <w:r>
        <w:rPr>
          <w:rFonts w:hint="eastAsia"/>
          <w:b/>
          <w:bCs/>
          <w:color w:val="auto"/>
          <w:highlight w:val="none"/>
        </w:rPr>
        <w:t>其他权益工具投资情况</w:t>
      </w:r>
    </w:p>
    <w:p>
      <w:pPr>
        <w:pStyle w:val="38"/>
        <w:rPr>
          <w:rFonts w:asciiTheme="minorHAnsi" w:hAnsiTheme="minorHAnsi" w:cstheme="minorBidi"/>
          <w:color w:val="auto"/>
          <w:highlight w:val="none"/>
        </w:rPr>
      </w:pPr>
      <w:r>
        <w:rPr>
          <w:color w:val="auto"/>
          <w:highlight w:val="none"/>
        </w:rPr>
        <w:fldChar w:fldCharType="begin"/>
      </w:r>
      <w:r>
        <w:rPr>
          <w:color w:val="auto"/>
          <w:highlight w:val="none"/>
        </w:rPr>
        <w:instrText xml:space="preserve"> LINK Excel.Sheet.12 "D:\\vsWorkspace\\branches\\20190430\\StandardTemplateTool\\template\\SASAC\\Frame\\202412\\SASACFinancialReports.xlsx" "其他权益工具投资!其他权益工具投资"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199"/>
        <w:gridCol w:w="1747"/>
        <w:gridCol w:w="1601"/>
        <w:gridCol w:w="1456"/>
        <w:gridCol w:w="1457"/>
        <w:gridCol w:w="1601"/>
        <w:gridCol w:w="1311"/>
        <w:gridCol w:w="123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19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本期确认的股利收入</w:t>
            </w: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本期计入其他综合收益的利得或损失</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截至期末累计计入其他综合收益的利得或损失</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其他综合收益转入留存收益的金额</w:t>
            </w: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其他综合收益转入留存收益的原因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贵州西能煤炭勘查开发有限公司</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39,351,550.65</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38,826,104.46</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525,446.19</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24,351,550.65</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贵州电力交易中心有限责任公司</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10,120,234.80</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9,497,797.20</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622,437.60</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3,489,503.09</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黄织铁路有限责任公司</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-67,271,000.00</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贵州北盘江电力股份有限公司</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842,077,987.54</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822,467,317.49</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36,232,800.00</w:t>
            </w: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19,610,670.05</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389,167,987.54</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贵州乾朗钢材物流有限公司</w:t>
            </w:r>
          </w:p>
        </w:tc>
        <w:tc>
          <w:tcPr>
            <w:tcW w:w="17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12,640,571.56</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9,194,800.00</w:t>
            </w:r>
          </w:p>
        </w:tc>
        <w:tc>
          <w:tcPr>
            <w:tcW w:w="145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3,445,771.56</w:t>
            </w:r>
          </w:p>
        </w:tc>
        <w:tc>
          <w:tcPr>
            <w:tcW w:w="16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3,445,771.56</w:t>
            </w:r>
          </w:p>
        </w:tc>
        <w:tc>
          <w:tcPr>
            <w:tcW w:w="13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贵州中岭矿业有限责任公司</w:t>
            </w:r>
          </w:p>
        </w:tc>
        <w:tc>
          <w:tcPr>
            <w:tcW w:w="17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5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-31,786,150.00</w:t>
            </w:r>
          </w:p>
        </w:tc>
        <w:tc>
          <w:tcPr>
            <w:tcW w:w="13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贵州湘能实业有限公司</w:t>
            </w:r>
          </w:p>
        </w:tc>
        <w:tc>
          <w:tcPr>
            <w:tcW w:w="17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5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5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-60,000,000.00</w:t>
            </w:r>
          </w:p>
        </w:tc>
        <w:tc>
          <w:tcPr>
            <w:tcW w:w="13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9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7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904,190,344.55</w:t>
            </w: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879,986,019.15</w:t>
            </w:r>
          </w:p>
        </w:tc>
        <w:tc>
          <w:tcPr>
            <w:tcW w:w="145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36,232,800.00</w:t>
            </w:r>
          </w:p>
        </w:tc>
        <w:tc>
          <w:tcPr>
            <w:tcW w:w="145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24,204,325.40</w:t>
            </w:r>
          </w:p>
        </w:tc>
        <w:tc>
          <w:tcPr>
            <w:tcW w:w="16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261,397,662.84</w:t>
            </w:r>
          </w:p>
        </w:tc>
        <w:tc>
          <w:tcPr>
            <w:tcW w:w="13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3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8"/>
        <w:rPr>
          <w:color w:val="auto"/>
          <w:highlight w:val="none"/>
        </w:rPr>
      </w:pPr>
      <w:r>
        <w:rPr>
          <w:color w:val="auto"/>
          <w:highlight w:val="none"/>
        </w:rPr>
        <w:fldChar w:fldCharType="end"/>
      </w:r>
    </w:p>
    <w:p>
      <w:pPr>
        <w:pStyle w:val="35"/>
        <w:rPr>
          <w:rFonts w:eastAsiaTheme="minorEastAsia"/>
          <w:color w:val="auto"/>
          <w:highlight w:val="none"/>
        </w:rPr>
      </w:pPr>
    </w:p>
    <w:p>
      <w:pPr>
        <w:pStyle w:val="38"/>
        <w:rPr>
          <w:color w:val="auto"/>
          <w:highlight w:val="none"/>
        </w:rPr>
        <w:sectPr>
          <w:pgSz w:w="16839" w:h="11907" w:orient="landscape"/>
          <w:pgMar w:top="1797" w:right="1440" w:bottom="1797" w:left="1440" w:header="680" w:footer="992" w:gutter="0"/>
          <w:cols w:space="425" w:num="1"/>
          <w:docGrid w:linePitch="312" w:charSpace="0"/>
        </w:sectPr>
      </w:pPr>
    </w:p>
    <w:p>
      <w:pPr>
        <w:pStyle w:val="37"/>
        <w:rPr>
          <w:color w:val="auto"/>
          <w:highlight w:val="none"/>
        </w:rPr>
      </w:pPr>
      <w:r>
        <w:rPr>
          <w:rFonts w:eastAsiaTheme="minorEastAsia"/>
          <w:color w:val="auto"/>
          <w:highlight w:val="none"/>
        </w:rPr>
        <w:t>投资性房地产</w:t>
      </w:r>
    </w:p>
    <w:p>
      <w:pPr>
        <w:pStyle w:val="44"/>
        <w:rPr>
          <w:rFonts w:eastAsiaTheme="minorEastAsia"/>
          <w:color w:val="auto"/>
          <w:highlight w:val="none"/>
        </w:rPr>
      </w:pPr>
      <w:r>
        <w:rPr>
          <w:rFonts w:hint="eastAsia" w:eastAsiaTheme="minorEastAsia"/>
          <w:color w:val="auto"/>
          <w:highlight w:val="none"/>
        </w:rPr>
        <w:t>以公允价值计量</w:t>
      </w:r>
    </w:p>
    <w:p>
      <w:pPr>
        <w:pStyle w:val="35"/>
        <w:rPr>
          <w:rFonts w:eastAsiaTheme="minorEastAsia"/>
          <w:color w:val="auto"/>
          <w:szCs w:val="22"/>
          <w:highlight w:val="none"/>
        </w:rPr>
      </w:pPr>
      <w:r>
        <w:rPr>
          <w:rFonts w:eastAsiaTheme="minorEastAsia"/>
          <w:b/>
          <w:bCs/>
          <w:color w:val="auto"/>
          <w:highlight w:val="none"/>
          <w:shd w:val="pct10" w:color="auto" w:fill="FFFFFF"/>
        </w:rPr>
        <w:fldChar w:fldCharType="begin"/>
      </w:r>
      <w:r>
        <w:rPr>
          <w:rFonts w:eastAsiaTheme="minorEastAsia"/>
          <w:color w:val="auto"/>
          <w:highlight w:val="none"/>
          <w:shd w:val="pct10" w:color="auto" w:fill="FFFFFF"/>
        </w:rPr>
        <w:instrText xml:space="preserve"> LINK Excel.Sheet.12 E:\\雍\\附注排版\\2014年年报格式\\附注过渡表20150130V0910.xlsx</w:instrText>
      </w:r>
      <w:r>
        <w:rPr>
          <w:rFonts w:hint="eastAsia" w:eastAsiaTheme="minorEastAsia"/>
          <w:color w:val="auto"/>
          <w:highlight w:val="none"/>
          <w:shd w:val="pct10" w:color="auto" w:fill="FFFFFF"/>
        </w:rPr>
        <w:instrText xml:space="preserve"> </w:instrText>
      </w:r>
      <w:r>
        <w:rPr>
          <w:rFonts w:hint="eastAsia" w:eastAsiaTheme="minorEastAsia"/>
          <w:color w:val="auto"/>
          <w:highlight w:val="none"/>
        </w:rPr>
        <w:instrText xml:space="preserve">合并附注</w:instrText>
      </w:r>
      <w:r>
        <w:rPr>
          <w:rFonts w:eastAsiaTheme="minorEastAsia"/>
          <w:color w:val="auto"/>
          <w:highlight w:val="none"/>
          <w:shd w:val="pct10" w:color="auto" w:fill="FFFFFF"/>
        </w:rPr>
        <w:instrText xml:space="preserve">!投资性房地产1 \f 4 \h \* MERGEFORMAT </w:instrText>
      </w:r>
      <w:r>
        <w:rPr>
          <w:rFonts w:eastAsiaTheme="minorEastAsia"/>
          <w:b/>
          <w:bCs/>
          <w:color w:val="auto"/>
          <w:highlight w:val="none"/>
          <w:shd w:val="pct10" w:color="auto" w:fill="FFFFFF"/>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932"/>
        <w:gridCol w:w="1635"/>
        <w:gridCol w:w="1505"/>
        <w:gridCol w:w="1505"/>
        <w:gridCol w:w="1505"/>
        <w:gridCol w:w="1505"/>
        <w:gridCol w:w="1505"/>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93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63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期初公允价值</w:t>
            </w:r>
          </w:p>
        </w:tc>
        <w:tc>
          <w:tcPr>
            <w:tcW w:w="4515"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301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1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93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3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购置</w:t>
            </w:r>
          </w:p>
        </w:tc>
        <w:tc>
          <w:tcPr>
            <w:tcW w:w="15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自用房地产或存货转入</w:t>
            </w:r>
          </w:p>
        </w:tc>
        <w:tc>
          <w:tcPr>
            <w:tcW w:w="15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公允价值变动损益</w:t>
            </w:r>
          </w:p>
        </w:tc>
        <w:tc>
          <w:tcPr>
            <w:tcW w:w="15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处置</w:t>
            </w:r>
          </w:p>
        </w:tc>
        <w:tc>
          <w:tcPr>
            <w:tcW w:w="15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转为自用房地产</w:t>
            </w:r>
          </w:p>
        </w:tc>
        <w:tc>
          <w:tcPr>
            <w:tcW w:w="151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一、成本合计</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796,161,290.05</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796,161,290.05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其中：1、房屋、建筑物</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660,871,369.20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660,871,369.20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2、土地使用权</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135,289,920.85</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135,289,920.85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二、公允价值变动合计</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203,783,935.74</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-23,661,070.91</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1,285,710.30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178,837,154.53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其中：1、房屋、建筑物</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131,468,834.66</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-23,248,573.71</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1,285,710.30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106,934,550.65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2、土地使用权</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72,315,101.08</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-412,497.20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71,902,603.88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三、投资性房地产账面价值合计</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999,945,225.79</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-23,661,070.91</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1,285,710.30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974,998,444.58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其中：1、房屋、建筑物</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792,340,203.86</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-23,248,573.71</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1,285,710.30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767,805,919.85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2、土地使用权</w:t>
            </w:r>
          </w:p>
        </w:tc>
        <w:tc>
          <w:tcPr>
            <w:tcW w:w="16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207,605,021.93</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-412,497.20</w:t>
            </w: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207,192,524.73</w:t>
            </w:r>
          </w:p>
        </w:tc>
      </w:tr>
    </w:tbl>
    <w:p>
      <w:pPr>
        <w:pStyle w:val="35"/>
        <w:rPr>
          <w:rFonts w:eastAsiaTheme="minorEastAsia"/>
          <w:color w:val="auto"/>
          <w:highlight w:val="none"/>
        </w:rPr>
      </w:pPr>
      <w:r>
        <w:rPr>
          <w:rFonts w:eastAsiaTheme="minorEastAsia"/>
          <w:color w:val="auto"/>
          <w:highlight w:val="none"/>
          <w:shd w:val="pct10" w:color="auto" w:fill="FFFFFF"/>
        </w:rPr>
        <w:fldChar w:fldCharType="end"/>
      </w:r>
    </w:p>
    <w:p>
      <w:pPr>
        <w:snapToGrid w:val="0"/>
        <w:ind w:firstLine="1589" w:firstLineChars="757"/>
        <w:rPr>
          <w:rFonts w:eastAsia="宋体"/>
          <w:color w:val="auto"/>
          <w:highlight w:val="none"/>
        </w:rPr>
        <w:sectPr>
          <w:pgSz w:w="16839" w:h="11907" w:orient="landscape"/>
          <w:pgMar w:top="1797" w:right="1440" w:bottom="1797" w:left="1440" w:header="794" w:footer="992" w:gutter="0"/>
          <w:cols w:space="425" w:num="1"/>
          <w:docGrid w:linePitch="312" w:charSpace="0"/>
        </w:sectPr>
      </w:pPr>
    </w:p>
    <w:p>
      <w:pPr>
        <w:pStyle w:val="44"/>
        <w:rPr>
          <w:color w:val="auto"/>
          <w:highlight w:val="none"/>
        </w:rPr>
      </w:pPr>
      <w:r>
        <w:rPr>
          <w:rFonts w:hint="eastAsia"/>
          <w:color w:val="auto"/>
          <w:highlight w:val="none"/>
        </w:rPr>
        <w:t>未办妥产权证书的投资性房地产情况</w:t>
      </w:r>
    </w:p>
    <w:p>
      <w:pPr>
        <w:pStyle w:val="38"/>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"D:\\tonylee\\立信\\新附注排版工具\\2016央企年报格式\\中央企业财务报表和报表附注20170109V1.xlsm" "合并附注!投资性房地产2"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未办妥产权证书的原因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元龙公司投资性房地产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55,814,700.00</w:t>
            </w:r>
          </w:p>
        </w:tc>
        <w:tc>
          <w:tcPr>
            <w:tcW w:w="219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绥阳公司投资性房地产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34,280,724.73</w:t>
            </w:r>
          </w:p>
        </w:tc>
        <w:tc>
          <w:tcPr>
            <w:tcW w:w="219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金元母公司投资性房地产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7,854,800.00</w:t>
            </w:r>
          </w:p>
        </w:tc>
        <w:tc>
          <w:tcPr>
            <w:tcW w:w="219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西电公司投资性房地产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3,447,800.00</w:t>
            </w:r>
          </w:p>
        </w:tc>
        <w:tc>
          <w:tcPr>
            <w:tcW w:w="219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中水公司投资性房地产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901,300.00</w:t>
            </w:r>
          </w:p>
        </w:tc>
        <w:tc>
          <w:tcPr>
            <w:tcW w:w="219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102,299,324.73</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8"/>
        <w:rPr>
          <w:rFonts w:eastAsiaTheme="minorEastAsia"/>
          <w:color w:val="auto"/>
          <w:highlight w:val="none"/>
        </w:rPr>
      </w:pPr>
      <w:r>
        <w:rPr>
          <w:color w:val="auto"/>
          <w:highlight w:val="none"/>
        </w:rPr>
        <w:fldChar w:fldCharType="end"/>
      </w:r>
    </w:p>
    <w:p>
      <w:pPr>
        <w:pStyle w:val="37"/>
        <w:rPr>
          <w:color w:val="auto"/>
          <w:highlight w:val="none"/>
        </w:rPr>
      </w:pPr>
      <w:r>
        <w:rPr>
          <w:color w:val="auto"/>
          <w:highlight w:val="none"/>
        </w:rPr>
        <w:t>固定资产</w:t>
      </w:r>
    </w:p>
    <w:p>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"合并附注!固定资产总表"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期末账面价值</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固定资产</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43,960,156,324.04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41,580,785,493.46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固定资产清理</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7,252,827.57</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1,258,575.85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43,967,409,151.61</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41,582,044,069.31</w:t>
            </w:r>
          </w:p>
        </w:tc>
      </w:tr>
    </w:tbl>
    <w:p>
      <w:pPr>
        <w:pStyle w:val="38"/>
        <w:rPr>
          <w:color w:val="auto"/>
          <w:highlight w:val="none"/>
        </w:rPr>
      </w:pPr>
      <w:r>
        <w:rPr>
          <w:color w:val="auto"/>
          <w:highlight w:val="none"/>
        </w:rPr>
        <w:fldChar w:fldCharType="end"/>
      </w:r>
    </w:p>
    <w:p>
      <w:pPr>
        <w:pStyle w:val="44"/>
        <w:rPr>
          <w:rFonts w:eastAsiaTheme="minorEastAsia"/>
          <w:bCs/>
          <w:color w:val="auto"/>
          <w:szCs w:val="22"/>
          <w:highlight w:val="none"/>
        </w:rPr>
      </w:pPr>
      <w:r>
        <w:rPr>
          <w:rFonts w:eastAsiaTheme="minorEastAsia"/>
          <w:color w:val="auto"/>
          <w:highlight w:val="none"/>
        </w:rPr>
        <w:t>固定资产情况</w:t>
      </w:r>
    </w:p>
    <w:p>
      <w:pPr>
        <w:pStyle w:val="35"/>
        <w:rPr>
          <w:bCs/>
          <w:color w:val="auto"/>
          <w:szCs w:val="22"/>
          <w:highlight w:val="none"/>
        </w:rPr>
      </w:pP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!固定资产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94"/>
        <w:gridCol w:w="1622"/>
        <w:gridCol w:w="1476"/>
        <w:gridCol w:w="1530"/>
        <w:gridCol w:w="15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9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62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4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6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一、账面原值合计：</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70,923,243,008.86</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8,810,699,885.43</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5,563,264,101.76</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74,170,678,792.53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房屋及建筑物</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23,460,283,635.57</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110,605,107.12</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2,701,461,504.73</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20,869,427,237.96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43,028,346,163.77</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7,279,654,264.36</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468,026,123.29</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49,839,974,304.84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运输工具</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237,347,536.76</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4,232,471.81</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72,254,537.45</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169,325,471.12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电子设备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293,392,547.33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38,798,025.12</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25,342,062.93</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306,848,509.52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办公设备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17,221,731.32</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905,488.08</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7,358,308.67</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10,768,910.73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3,886,651,394.11</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1,376,504,528.94</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2,288,821,564.69</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2,974,334,358.36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二、累计折旧合计：</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23,078,823,003.43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4,841,562,906.37</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3,876,909,039.66</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24,043,476,870.14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房屋及建筑物</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7,791,512,919.16</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480,642,962.79</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2,194,022,216.56</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6,078,133,665.39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13,936,210,098.42</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4,143,306,851.01</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724,757,859.59</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17,354,759,089.84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运输工具</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191,540,819.39</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5,733,361.37</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51,127,593.03</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146,146,587.73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电子设备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153,074,351.13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25,519,576.62</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30,502,173.47</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148,091,754.28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办公设备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12,671,449.95</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1,173,919.95</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6,071,991.66</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7,773,378.24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993,813,365.38</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185,186,234.63</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870,427,205.35</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308,572,394.66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三、固定资产账面净值合计</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47,844,420,005.43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50,127,201,922.39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房屋及建筑物</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15,668,770,716.41</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14,791,293,572.57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29,092,136,065.35</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32,485,215,215.00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运输工具</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45,806,717.37</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23,178,883.39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电子设备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140,318,196.20</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158,756,755.24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办公设备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4,550,281.37</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2,995,532.49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2,892,838,028.73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2,665,761,963.70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四、减值准备合计</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6,263,634,511.97</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508,041,073.66</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604,629,987.28</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6,167,045,598.35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房屋及建筑物</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3,445,471,514.81</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355,303,216.84</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3,090,168,297.97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2,662,409,018.33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143,396,587.72</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2,519,012,430.61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运输工具</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8,374,037.92</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8,058,765.95</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315,271.97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电子设备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535,643.45</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83,642,644.07</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981,852.84</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83,196,434.68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办公设备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2,811.23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101,504.62</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104,315.85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146,841,486.23</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424,296,924.97</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96,889,563.93</w:t>
            </w: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474,248,847.27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五、固定资产账面价值合计</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41,580,785,493.46</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43,960,156,324.04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房屋及建筑物</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12,223,299,201.60</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11,701,125,274.60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26,429,727,047.02</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29,966,202,784.39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运输工具</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37,432,679.45</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22,863,611.42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电子设备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139,782,552.75</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75,560,320.56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办公设备</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4,547,470.14</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2,891,216.64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62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2,745,996,542.50</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6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2,191,513,116.43</w:t>
            </w: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rFonts w:eastAsiaTheme="minorEastAsia"/>
          <w:color w:val="auto"/>
          <w:highlight w:val="none"/>
        </w:rPr>
        <w:t>未办妥产权证书的固定资产情况</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!固定资产4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415"/>
        <w:gridCol w:w="1524"/>
        <w:gridCol w:w="22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41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2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未办妥产权证书的原因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生产用房、升压站、办公楼、配电室及附属设施</w:t>
            </w:r>
          </w:p>
        </w:tc>
        <w:tc>
          <w:tcPr>
            <w:tcW w:w="152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644,867,008.04</w:t>
            </w:r>
          </w:p>
        </w:tc>
        <w:tc>
          <w:tcPr>
            <w:tcW w:w="22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hint="eastAsia"/>
          <w:color w:val="auto"/>
          <w:szCs w:val="22"/>
          <w:highlight w:val="none"/>
        </w:rPr>
      </w:pPr>
      <w:r>
        <w:rPr>
          <w:color w:val="auto"/>
          <w:highlight w:val="none"/>
        </w:rPr>
        <w:t>固定资产清理</w:t>
      </w:r>
    </w:p>
    <w:p>
      <w:pPr>
        <w:pStyle w:val="44"/>
        <w:numPr>
          <w:ilvl w:val="0"/>
          <w:numId w:val="0"/>
        </w:numPr>
        <w:ind w:left="1276"/>
        <w:rPr>
          <w:color w:val="auto"/>
          <w:szCs w:val="22"/>
          <w:highlight w:val="none"/>
        </w:rPr>
      </w:pP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!固定资产清理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187"/>
        <w:gridCol w:w="2000"/>
        <w:gridCol w:w="2000"/>
        <w:gridCol w:w="20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00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期末账面价值</w:t>
            </w:r>
          </w:p>
        </w:tc>
        <w:tc>
          <w:tcPr>
            <w:tcW w:w="200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期初账面价值</w:t>
            </w:r>
          </w:p>
        </w:tc>
        <w:tc>
          <w:tcPr>
            <w:tcW w:w="20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转入清理的原因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资产处置</w:t>
            </w:r>
          </w:p>
        </w:tc>
        <w:tc>
          <w:tcPr>
            <w:tcW w:w="200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7,252,827.57</w:t>
            </w:r>
          </w:p>
        </w:tc>
        <w:tc>
          <w:tcPr>
            <w:tcW w:w="200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1,258,575.85</w:t>
            </w:r>
          </w:p>
        </w:tc>
        <w:tc>
          <w:tcPr>
            <w:tcW w:w="200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00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7,252,827.57</w:t>
            </w:r>
          </w:p>
        </w:tc>
        <w:tc>
          <w:tcPr>
            <w:tcW w:w="200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1,258,575.85</w:t>
            </w:r>
          </w:p>
        </w:tc>
        <w:tc>
          <w:tcPr>
            <w:tcW w:w="200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color w:val="auto"/>
          <w:highlight w:val="none"/>
        </w:rPr>
        <w:sectPr>
          <w:pgSz w:w="11907" w:h="16839"/>
          <w:pgMar w:top="1440" w:right="1797" w:bottom="1440" w:left="1797" w:header="680" w:footer="992" w:gutter="0"/>
          <w:cols w:space="425" w:num="1"/>
          <w:docGrid w:linePitch="312" w:charSpace="0"/>
        </w:sect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在建工程</w:t>
      </w:r>
    </w:p>
    <w:p>
      <w:pPr>
        <w:pStyle w:val="38"/>
        <w:rPr>
          <w:color w:val="auto"/>
          <w:szCs w:val="22"/>
          <w:highlight w:val="none"/>
        </w:rPr>
      </w:pPr>
      <w:r>
        <w:rPr>
          <w:b/>
          <w:bCs/>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!在建工程 \f 4 \h \* MERGEFORMAT </w:instrText>
      </w:r>
      <w:r>
        <w:rPr>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770"/>
        <w:gridCol w:w="2033"/>
        <w:gridCol w:w="1853"/>
        <w:gridCol w:w="2033"/>
        <w:gridCol w:w="2033"/>
        <w:gridCol w:w="1853"/>
        <w:gridCol w:w="203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77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w:t>
            </w:r>
          </w:p>
        </w:tc>
        <w:tc>
          <w:tcPr>
            <w:tcW w:w="5919"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期末余额</w:t>
            </w:r>
          </w:p>
        </w:tc>
        <w:tc>
          <w:tcPr>
            <w:tcW w:w="5919"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77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85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减值准备</w:t>
            </w:r>
          </w:p>
        </w:tc>
        <w:tc>
          <w:tcPr>
            <w:tcW w:w="2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2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85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减值准备</w:t>
            </w:r>
          </w:p>
        </w:tc>
        <w:tc>
          <w:tcPr>
            <w:tcW w:w="203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7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在建工程</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4,085,497,763.67</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308,328,494.89</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3,777,169,268.78</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5,693,205,193.17</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307,316,728.42</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5,385,888,464.75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7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工程物资</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796,019,433.90</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318,130.12</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795,701,303.78</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12,955,545.90</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318,130.12</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12,637,415.78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70"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4,881,517,197.57</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308,646,625.01</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4,572,870,572.56</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5,706,160,739.07</w:t>
            </w:r>
          </w:p>
        </w:tc>
        <w:tc>
          <w:tcPr>
            <w:tcW w:w="185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307,634,858.54</w:t>
            </w:r>
          </w:p>
        </w:tc>
        <w:tc>
          <w:tcPr>
            <w:tcW w:w="203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5,398,525,880.53</w:t>
            </w:r>
          </w:p>
        </w:tc>
      </w:tr>
    </w:tbl>
    <w:p>
      <w:pPr>
        <w:pStyle w:val="38"/>
        <w:rPr>
          <w:color w:val="auto"/>
          <w:highlight w:val="none"/>
        </w:rPr>
      </w:pPr>
      <w:r>
        <w:rPr>
          <w:color w:val="auto"/>
          <w:highlight w:val="none"/>
        </w:rPr>
        <w:fldChar w:fldCharType="end"/>
      </w:r>
    </w:p>
    <w:p>
      <w:pPr>
        <w:pStyle w:val="44"/>
        <w:rPr>
          <w:color w:val="auto"/>
          <w:highlight w:val="none"/>
        </w:rPr>
      </w:pPr>
      <w:r>
        <w:rPr>
          <w:color w:val="auto"/>
          <w:highlight w:val="none"/>
        </w:rPr>
        <w:t>在建工程情况</w:t>
      </w:r>
    </w:p>
    <w:p>
      <w:pPr>
        <w:pStyle w:val="3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w:instrText>
      </w:r>
      <w:r>
        <w:rPr>
          <w:rFonts w:hint="eastAsia"/>
          <w:color w:val="auto"/>
          <w:highlight w:val="none"/>
        </w:rPr>
        <w:instrText xml:space="preserve">合并附注!在建工程0 </w:instrText>
      </w:r>
      <w:r>
        <w:rPr>
          <w:color w:val="auto"/>
          <w:highlight w:val="none"/>
        </w:rPr>
        <w:instrText xml:space="preserve">\f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974"/>
        <w:gridCol w:w="2091"/>
        <w:gridCol w:w="1228"/>
        <w:gridCol w:w="1347"/>
        <w:gridCol w:w="1347"/>
        <w:gridCol w:w="1228"/>
        <w:gridCol w:w="13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97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w:t>
            </w:r>
          </w:p>
        </w:tc>
        <w:tc>
          <w:tcPr>
            <w:tcW w:w="4666"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期末余额</w:t>
            </w:r>
          </w:p>
        </w:tc>
        <w:tc>
          <w:tcPr>
            <w:tcW w:w="396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97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09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228"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减值准备</w:t>
            </w:r>
          </w:p>
        </w:tc>
        <w:tc>
          <w:tcPr>
            <w:tcW w:w="134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134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账面余额</w:t>
            </w:r>
          </w:p>
        </w:tc>
        <w:tc>
          <w:tcPr>
            <w:tcW w:w="1228"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减值准备</w:t>
            </w:r>
          </w:p>
        </w:tc>
        <w:tc>
          <w:tcPr>
            <w:tcW w:w="139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威宁县海拉海元农业光伏电站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572,925,176.75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572,925,176.75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436,294,031.69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436,294,031.69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贵州金元股份有限公司安塞坪桥100MW一期风力发电项目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478,037,113.36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478,037,113.36</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21,986,270.40</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21,986,270.40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连州市西江镇、龙坪镇、九陂镇210MW农光互补光伏电站项目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324,293,043.04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324,293,043.04</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304,917,764.79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304,917,764.79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广西田林潞城那帮100MW风电项目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324,241,039.16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324,241,039.16</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4,100,787.01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4,100,787.01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罗定市100MW光伏复合项目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197,072,596.35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197,072,596.35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212,452,641.39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212,452,641.39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纳雍县骔岭镇杨家箐风电场</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125,411,006.16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125,411,006.16</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50,553,405.09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50,553,405.09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威宁县盐仓兰子山农业光伏电站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127,690,102.54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127,690,102.54</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3,379,613.48</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3,379,613.48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怀集县幸福街道三多村100MW农光互补光伏发电项目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101,543,036.83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101,543,036.83</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91,474,801.35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91,474,801.35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镇康县勐捧镇绿茵塘100MW农光互补光伏项目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93,207,819.12</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93,207,819.12</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200,182,055.51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200,182,055.51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板底双狮山220kV送出工程项目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91,738,041.55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91,738,041.55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20,058,814.39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20,058,814.39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威宁县石门大梨树农业光伏电站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67,740,508.24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67,740,508.24</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3,461,460.44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3,461,460.44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威宁县二塘议山农业光伏电站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67,497,013.15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67,497,013.15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4,390,441.93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4,390,441.93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威宁县二塘红花坡农业光伏电站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66,922,780.80</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66,922,780.80</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2,413,504.53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2,413,504.53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威宁县羊街骑龙农业光伏电站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53,238,934.51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53,238,934.51</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2,149,246.33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2,149,246.33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威宁县盐仓老鸦营农业光伏电站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44,295,823.99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44,295,823.99</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65,007,149.70</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65,007,149.70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瓮安县建中枫香坪风电场</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38,127,162.37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38,127,162.37</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6,042,716.51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6,042,716.51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盐仓老鸦营110kV送出工程项目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34,211,629.44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34,211,629.44</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13,286,603.67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13,286,603.67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威宁县么站风光互补风电场</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32,976,876.17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32,976,876.17</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18,050,673.11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18,050,673.11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平山堡岛新能源有限公司平山县岗南镇100MW光伏发电项目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26,032,378.43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26,032,378.43</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77,901,381.76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77,901,381.76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威宁县板底双狮山农业光伏电站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37,803,806.25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37,803,806.25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4,833,397.62</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4,833,397.62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海拉海元220KV送出工程项目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19,898,529.32</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19,898,529.32</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30,636,293.13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30,636,293.13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镇康县勐捧镇蒿子坝200MW农光互补光伏项目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17,097,998.71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17,097,998.71</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平山县北冀建能新能源开发有限责任公司200兆瓦农光互补光伏发电项目(一期100兆瓦)</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2,662,150.85</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2,662,150.85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236,804,673.14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236,804,673.14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威宁县盐仓全麻口子农业光伏电站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14,150.94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14,150.94</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126,823,536.21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126,823,536.21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永仁宜莲光伏基地谢腊230MW复合型光伏电站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784,185,767.68</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784,185,767.68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威宁县玉龙长坡院子农业光伏电站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286,074,279.68</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286,074,279.68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广西钦州300MW光伏平价上网示范项目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284,685,331.82</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284,685,331.82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海西金元乌图美仁100兆瓦平价光伏发电项目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177,729,017.92</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177,729,017.92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广西钦州金安 250MW 平价光伏基地项目（二期150MW）</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152,634,302.66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152,634,302.66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威宁县盐仓大地坪子农业光伏电站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113,624,764.43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113,624,764.43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关岭县永宁萝卜农业光伏电站</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86,629,917.16</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86,629,917.16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阳山县黎埠50MW农光互补光伏发电项目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70,647,399.23</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70,647,399.23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阳山县七拱镇岩口村50MW农光互补发电项目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55,475,689.24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55,475,689.24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阳山阳光江英50MW农光互补光伏发电项目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52,708,287.37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52,708,287.37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阳山阳光黎埠40MW农光互补光伏发电项目</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40,754,040.11</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40,754,040.11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其他汇总</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1,140,819,045.64</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308,328,494.89</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832,490,550.75</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1,650,855,132.69</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307,316,728.42</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1,343,538,404.27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974"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209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4,085,497,763.67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308,328,494.89</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3,777,169,268.78</w:t>
            </w:r>
          </w:p>
        </w:tc>
        <w:tc>
          <w:tcPr>
            <w:tcW w:w="134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5,693,205,193.17</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307,316,728.42</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5,385,888,464.75</w:t>
            </w:r>
          </w:p>
        </w:tc>
      </w:tr>
    </w:tbl>
    <w:p>
      <w:pPr>
        <w:pStyle w:val="35"/>
        <w:rPr>
          <w:color w:val="auto"/>
          <w:highlight w:val="none"/>
        </w:rPr>
      </w:pPr>
      <w:r>
        <w:rPr>
          <w:color w:val="auto"/>
          <w:highlight w:val="none"/>
        </w:rPr>
        <w:fldChar w:fldCharType="end"/>
      </w:r>
    </w:p>
    <w:p>
      <w:pPr>
        <w:pStyle w:val="38"/>
        <w:rPr>
          <w:rFonts w:eastAsiaTheme="minorEastAsia"/>
          <w:color w:val="auto"/>
          <w:highlight w:val="none"/>
        </w:rPr>
        <w:sectPr>
          <w:pgSz w:w="16839" w:h="11907" w:orient="landscape"/>
          <w:pgMar w:top="1797" w:right="1440" w:bottom="1797" w:left="1440" w:header="680" w:footer="992" w:gutter="0"/>
          <w:cols w:space="425" w:num="1"/>
          <w:docGrid w:linePitch="312" w:charSpace="0"/>
        </w:sectPr>
      </w:pPr>
    </w:p>
    <w:p>
      <w:pPr>
        <w:pStyle w:val="44"/>
        <w:rPr>
          <w:color w:val="auto"/>
          <w:highlight w:val="none"/>
        </w:rPr>
      </w:pPr>
      <w:r>
        <w:rPr>
          <w:color w:val="auto"/>
          <w:highlight w:val="none"/>
        </w:rPr>
        <w:t>重要在建工程项目本期变动情况</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!在建工程1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703"/>
        <w:gridCol w:w="1232"/>
        <w:gridCol w:w="1132"/>
        <w:gridCol w:w="1132"/>
        <w:gridCol w:w="1104"/>
        <w:gridCol w:w="706"/>
        <w:gridCol w:w="1132"/>
        <w:gridCol w:w="986"/>
        <w:gridCol w:w="664"/>
        <w:gridCol w:w="1028"/>
        <w:gridCol w:w="1084"/>
        <w:gridCol w:w="764"/>
        <w:gridCol w:w="9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1703"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项目名称</w:t>
            </w:r>
          </w:p>
        </w:tc>
        <w:tc>
          <w:tcPr>
            <w:tcW w:w="1232"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预算数</w:t>
            </w:r>
          </w:p>
        </w:tc>
        <w:tc>
          <w:tcPr>
            <w:tcW w:w="1132"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期初余额</w:t>
            </w:r>
          </w:p>
        </w:tc>
        <w:tc>
          <w:tcPr>
            <w:tcW w:w="1132"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本期增加额</w:t>
            </w:r>
          </w:p>
        </w:tc>
        <w:tc>
          <w:tcPr>
            <w:tcW w:w="110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本期转入固定资产金额</w:t>
            </w:r>
          </w:p>
        </w:tc>
        <w:tc>
          <w:tcPr>
            <w:tcW w:w="70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本期其他减少金额</w:t>
            </w:r>
          </w:p>
        </w:tc>
        <w:tc>
          <w:tcPr>
            <w:tcW w:w="1132"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期末余额</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工程累计投入占预算比例（%）</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工程进度</w:t>
            </w:r>
          </w:p>
        </w:tc>
        <w:tc>
          <w:tcPr>
            <w:tcW w:w="1028"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利息资本化累计金额</w:t>
            </w:r>
          </w:p>
        </w:tc>
        <w:tc>
          <w:tcPr>
            <w:tcW w:w="108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其中：本期利息资本化金额</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本期利息资本化率</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资金来源</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威宁县海拉海元农业光伏电站</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861,680,328.45</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436,294,031.69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262,286,441.95</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125,655,296.89</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572,925,176.75</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66.49%</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61.84%</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23,814,540.54</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10,625,435.18</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2.65%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贵州金元股份有限公司安塞坪桥100MW一期风力发电项目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593,937,100.00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21,986,270.40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456,050,842.96</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478,037,113.36</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80.49%</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80.49%</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1,060,407.68</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1,060,407.68</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3.02%</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融资租赁、自有资金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连州市西江镇、龙坪镇、九陂镇210MW农光互补光伏电站项目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947,144,700.00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304,917,764.79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31,603,438.55</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12,228,160.30</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324,293,043.04</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34.24%</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34.24%</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36,266,791.91</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7,350,373.60</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2.65%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广西田林潞城那帮100MW风电项目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765,282,100.00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4,100,787.01</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320,140,252.15</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324,241,039.16</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42.37%</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42.37%</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891,267.86</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891,267.86</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自有资金及贷款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罗定市100MW光伏复合项目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451,145,100.00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212,452,641.39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93,516,601.94</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108,896,646.98</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197,072,596.35</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67.82%</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67.82%</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17,349,043.86</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3,196,096.19</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2.85%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纳雍县骔岭镇杨家箐风电场</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329,389,366.33</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50,553,405.09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105,084,569.34</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30,226,968.27</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125,411,006.16</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83.42%</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83.42%</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7,192,347.40</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3,575,929.63</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2.55%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威宁县盐仓兰子山农业光伏电站</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364,395,453.88</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3,379,613.48</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124,310,489.06</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127,690,102.54</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5.49%</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5.49%</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1,676,590.02</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1,676,590.02</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2.65%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怀集县幸福街道三多村 100MW农光互补光伏发电项目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438,735,800.00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91,474,801.35</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10,068,235.48</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101,543,036.83</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23.14%</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23.14%</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10,600,630.72</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2,010,057.56</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5.00%</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镇康县勐捧镇绿茵塘100MW农光互补光伏项目</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537,716,100.00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200,182,055.51</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68,970,001.64</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175,944,238.03</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93,207,819.12</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45.67%</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45.67%</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5,281,759.06</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2,558,327.60</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3.74%</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融资租赁、自有资金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威宁县石门大梨树农业光伏电站</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334,375,895.99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3,461,460.44</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184,544,088.03</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120,265,040.23</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67,740,508.24</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44.32%</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44.32%</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1,119,999.99</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1,119,999.99</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2.80%</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威宁县二塘议山农业光伏电站</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450,112,998.49</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4,390,441.93</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198,550,151.51</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135,443,580.29</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67,497,013.15</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60.00%</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60.00%</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7,252,318.53</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7,252,318.53</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2.80%</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威宁县二塘红花坡农业光伏电站</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211,175,325.61</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2,413,504.53</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129,236,055.41</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64,726,779.14</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66,922,780.80</w:t>
            </w:r>
          </w:p>
        </w:tc>
        <w:tc>
          <w:tcPr>
            <w:tcW w:w="98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70.00%</w:t>
            </w:r>
          </w:p>
        </w:tc>
        <w:tc>
          <w:tcPr>
            <w:tcW w:w="6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70.00%</w:t>
            </w: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1,887,962.56</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1,887,962.56</w:t>
            </w:r>
          </w:p>
        </w:tc>
        <w:tc>
          <w:tcPr>
            <w:tcW w:w="76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2.05%</w:t>
            </w:r>
          </w:p>
        </w:tc>
        <w:tc>
          <w:tcPr>
            <w:tcW w:w="94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金融机构贷款和自有资金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03"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合计</w:t>
            </w:r>
          </w:p>
        </w:tc>
        <w:tc>
          <w:tcPr>
            <w:tcW w:w="12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6,285,090,268.75</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1,335,606,777.61</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1,984,361,168.02</w:t>
            </w:r>
          </w:p>
        </w:tc>
        <w:tc>
          <w:tcPr>
            <w:tcW w:w="110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773,386,710.13</w:t>
            </w:r>
          </w:p>
        </w:tc>
        <w:tc>
          <w:tcPr>
            <w:tcW w:w="70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2,546,581,235.50</w:t>
            </w:r>
          </w:p>
        </w:tc>
        <w:tc>
          <w:tcPr>
            <w:tcW w:w="98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64"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p>
        </w:tc>
        <w:tc>
          <w:tcPr>
            <w:tcW w:w="1028"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114,393,660.13</w:t>
            </w:r>
          </w:p>
        </w:tc>
        <w:tc>
          <w:tcPr>
            <w:tcW w:w="108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43,204,766.40</w:t>
            </w:r>
          </w:p>
        </w:tc>
        <w:tc>
          <w:tcPr>
            <w:tcW w:w="76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941"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sectPr>
          <w:pgSz w:w="16839" w:h="11907" w:orient="landscape"/>
          <w:pgMar w:top="1797" w:right="1440" w:bottom="1293" w:left="1440" w:header="794" w:footer="992" w:gutter="0"/>
          <w:cols w:space="425" w:num="1"/>
          <w:docGrid w:linePitch="312" w:charSpace="0"/>
        </w:sectPr>
      </w:pPr>
    </w:p>
    <w:p>
      <w:pPr>
        <w:pStyle w:val="44"/>
        <w:rPr>
          <w:rFonts w:eastAsiaTheme="minorEastAsia"/>
          <w:color w:val="auto"/>
          <w:highlight w:val="none"/>
        </w:rPr>
      </w:pPr>
      <w:r>
        <w:rPr>
          <w:rFonts w:eastAsiaTheme="minorEastAsia"/>
          <w:color w:val="auto"/>
          <w:highlight w:val="none"/>
        </w:rPr>
        <w:t>本期计提在建工程减值准备情况</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!在建工程2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642"/>
        <w:gridCol w:w="2678"/>
        <w:gridCol w:w="28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6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本期计提金额</w:t>
            </w:r>
          </w:p>
        </w:tc>
        <w:tc>
          <w:tcPr>
            <w:tcW w:w="28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习水县小糊涂仙酒厂固体蓄热式能源示范项目</w:t>
            </w:r>
          </w:p>
        </w:tc>
        <w:tc>
          <w:tcPr>
            <w:tcW w:w="26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545,231.40</w:t>
            </w:r>
          </w:p>
        </w:tc>
        <w:tc>
          <w:tcPr>
            <w:tcW w:w="28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项目整改未达标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福平煤矿项目</w:t>
            </w:r>
          </w:p>
        </w:tc>
        <w:tc>
          <w:tcPr>
            <w:tcW w:w="26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466,535.07</w:t>
            </w:r>
          </w:p>
        </w:tc>
        <w:tc>
          <w:tcPr>
            <w:tcW w:w="28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评估减值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6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1,011,766.47</w:t>
            </w:r>
          </w:p>
        </w:tc>
        <w:tc>
          <w:tcPr>
            <w:tcW w:w="28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7"/>
        <w:rPr>
          <w:color w:val="auto"/>
          <w:highlight w:val="none"/>
        </w:rPr>
      </w:pPr>
      <w:r>
        <w:rPr>
          <w:rFonts w:hint="eastAsia"/>
          <w:color w:val="auto"/>
          <w:highlight w:val="none"/>
        </w:rPr>
        <w:t>使用权资产</w:t>
      </w:r>
    </w:p>
    <w:p>
      <w:pPr>
        <w:pStyle w:val="38"/>
        <w:rPr>
          <w:color w:val="auto"/>
          <w:highlight w:val="none"/>
        </w:rPr>
      </w:pPr>
      <w:r>
        <w:rPr>
          <w:color w:val="auto"/>
          <w:highlight w:val="none"/>
        </w:rPr>
        <w:fldChar w:fldCharType="begin"/>
      </w:r>
      <w:r>
        <w:rPr>
          <w:color w:val="auto"/>
          <w:highlight w:val="none"/>
        </w:rPr>
        <w:instrText xml:space="preserve"> LINK Excel.Sheet.12 "D:\\work\\20190430\\StandardTemplateTool\\template\\SASAC\\Frame\\201912\\SASACFinancialReports.xlsx" "合并附注!使用权资产"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137"/>
        <w:gridCol w:w="1587"/>
        <w:gridCol w:w="1442"/>
        <w:gridCol w:w="1435"/>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1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一、账面原值合计：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3,080,085,123.27</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697,974,288.47</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118,217,516.00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3,659,841,895.74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其中：土地</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1,458,616,866.21</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163,266,248.36</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31,808,737.85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1,590,074,376.72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机器运输办公设备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1,621,468,257.06</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534,708,040.11</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86,408,778.15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2,069,767,519.02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二、累计折旧合计：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419,550,444.29</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262,635,700.66</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94,634,476.30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587,551,668.65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其中：土地</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184,163,882.51</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84,400,219.21</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3,933,411.61</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264,630,690.11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机器运输办公设备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235,386,561.78</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178,235,481.45</w:t>
            </w: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90,701,064.69</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322,920,978.54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三、使用权资产账面净值合计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2,660,534,678.98</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3,072,290,227.09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其中：土地</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1,274,452,983.70</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1,325,443,686.61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机器运输办公设备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1,386,081,695.28</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1,746,846,540.48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四、减值准备合计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其中：土地</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机器运输办公设备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五、使用权资产账面价值合计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2,660,534,678.98</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3,072,290,227.09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其中：土地</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1,274,452,983.70</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1,325,443,686.61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13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机器运输办公设备</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1,386,081,695.28</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1,746,846,540.48</w:t>
            </w:r>
          </w:p>
        </w:tc>
      </w:tr>
    </w:tbl>
    <w:p>
      <w:pPr>
        <w:pStyle w:val="38"/>
        <w:rPr>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无形资产</w:t>
      </w:r>
    </w:p>
    <w:p>
      <w:pPr>
        <w:pStyle w:val="44"/>
        <w:rPr>
          <w:rFonts w:eastAsiaTheme="minorEastAsia"/>
          <w:color w:val="auto"/>
          <w:highlight w:val="none"/>
        </w:rPr>
      </w:pPr>
      <w:r>
        <w:rPr>
          <w:rFonts w:eastAsiaTheme="minorEastAsia"/>
          <w:color w:val="auto"/>
          <w:highlight w:val="none"/>
        </w:rPr>
        <w:t>无形资产情况</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!无形资产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46"/>
        <w:gridCol w:w="1598"/>
        <w:gridCol w:w="1519"/>
        <w:gridCol w:w="1527"/>
        <w:gridCol w:w="159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4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1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本期增加额</w:t>
            </w:r>
          </w:p>
        </w:tc>
        <w:tc>
          <w:tcPr>
            <w:tcW w:w="152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本期减少额</w:t>
            </w:r>
          </w:p>
        </w:tc>
        <w:tc>
          <w:tcPr>
            <w:tcW w:w="159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一、原价合计</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2,835,992,809.80</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91,710,398.62</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455,907,377.26</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2,471,795,831.16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其中：软件</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105,646,531.09</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13,928,535.66</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305,874.82</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119,269,191.93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土地使用权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713,944,442.41</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75,821,630.69</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64,910,371.24</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724,855,701.86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专利权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4,496,051.27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1,912,192.27</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6,408,243.54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非专利技术</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4,128,932.57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25,360.88</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4,103,571.69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商标权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2,600.00</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特许权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492,962,714.31</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48,040.00</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4,957.26</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493,005,797.05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采矿权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1,458,208,140.62</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376,982,014.31</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1,081,226,126.31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探矿权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48,156,540.07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12,007,540.44</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36,148,999.63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8,446,857.46</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1,671,258.31</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6,775,599.15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二、累计摊销合计</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362,973,792.45</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67,048,610.41</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75,208,489.66</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354,813,913.20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其中：软件</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58,778,380.04</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6,514,348.24</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68,337.24</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65,224,391.04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土地使用权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124,602,344.06</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29,205,885.11</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13,292,156.48</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140,516,072.69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专利权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932,300.50</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968,179.61</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1,900,480.11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非专利技术</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4,103,571.69</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4,103,571.69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商标权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2,600.00</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特许权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85,374,533.67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30,357,597.45</w:t>
            </w: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4,957.26</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115,727,173.86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采矿权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88,633,356.67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61,757,618.76</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26,875,737.91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探矿权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549,305.82</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85,419.92</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463,885.90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三、无形资产减值准备金额合计</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1,069,709,142.17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1,069,709,142.17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其中：软件</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187,056.95</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187,056.95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土地使用权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36,792,538.16</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36,792,538.16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专利权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非专利技术</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商标权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特许权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采矿权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995,357,575.87</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995,357,575.87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探矿权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36,148,999.63</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36,148,999.63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1,222,971.56</w:t>
            </w:r>
          </w:p>
        </w:tc>
        <w:tc>
          <w:tcPr>
            <w:tcW w:w="151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1,222,971.56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四、账面价值合计</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1,403,309,875.18</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1,047,272,775.79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其中：软件</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46,681,094.10</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53,857,743.94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土地使用权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552,549,560.19</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547,547,091.01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专利权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3,563,750.77</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4,507,763.43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非专利技术</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25,360.88</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商标权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2,600.00</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著作权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特许权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407,588,180.64</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377,278,623.19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采矿权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374,217,208.08</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58,992,812.53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探矿权</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12,007,540.44</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4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6,674,580.08</w:t>
            </w:r>
          </w:p>
        </w:tc>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2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9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5,088,741.69</w:t>
            </w:r>
          </w:p>
        </w:tc>
      </w:tr>
    </w:tbl>
    <w:p>
      <w:pPr>
        <w:pStyle w:val="35"/>
        <w:rPr>
          <w:rFonts w:hint="eastAsia"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44"/>
        <w:rPr>
          <w:rFonts w:eastAsiaTheme="minorEastAsia"/>
          <w:color w:val="auto"/>
          <w:highlight w:val="none"/>
        </w:rPr>
      </w:pPr>
      <w:r>
        <w:rPr>
          <w:rFonts w:eastAsiaTheme="minorEastAsia"/>
          <w:color w:val="auto"/>
          <w:highlight w:val="none"/>
        </w:rPr>
        <w:t>未办妥产权证书的土地使用权情况</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!无形资产1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245"/>
        <w:gridCol w:w="2695"/>
        <w:gridCol w:w="224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32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69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24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未办妥产权证书的原因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风电、光伏等项目的土地使用权</w:t>
            </w:r>
          </w:p>
        </w:tc>
        <w:tc>
          <w:tcPr>
            <w:tcW w:w="26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3,469,296.54</w:t>
            </w:r>
          </w:p>
        </w:tc>
        <w:tc>
          <w:tcPr>
            <w:tcW w:w="224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正在办理中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69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3,469,296.54</w:t>
            </w:r>
          </w:p>
        </w:tc>
        <w:tc>
          <w:tcPr>
            <w:tcW w:w="224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sectPr>
          <w:pgSz w:w="11907" w:h="16839"/>
          <w:pgMar w:top="1440" w:right="1797" w:bottom="1440" w:left="1797" w:header="680"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开发支出</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!开发支出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852"/>
        <w:gridCol w:w="1167"/>
        <w:gridCol w:w="1287"/>
        <w:gridCol w:w="1167"/>
        <w:gridCol w:w="1430"/>
        <w:gridCol w:w="1308"/>
        <w:gridCol w:w="1163"/>
        <w:gridCol w:w="12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485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16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245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本期增加金额</w:t>
            </w:r>
          </w:p>
        </w:tc>
        <w:tc>
          <w:tcPr>
            <w:tcW w:w="3901"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本期减少金额</w:t>
            </w:r>
          </w:p>
        </w:tc>
        <w:tc>
          <w:tcPr>
            <w:tcW w:w="123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85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16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2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内部开发支出</w:t>
            </w:r>
          </w:p>
        </w:tc>
        <w:tc>
          <w:tcPr>
            <w:tcW w:w="116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14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确认为无形资产</w:t>
            </w:r>
          </w:p>
        </w:tc>
        <w:tc>
          <w:tcPr>
            <w:tcW w:w="130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转入当期损益</w:t>
            </w:r>
          </w:p>
        </w:tc>
        <w:tc>
          <w:tcPr>
            <w:tcW w:w="116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123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水电工业大数据平台功能深化研究</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7,746,733.85</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7,746,733.85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中小水电远程集控运行方式下管理提升技术研究</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3,939,784.80</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3,939,784.80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基于可调谐半导体吸收光谱法的变压器油中溶解气体诊断关键技术研究与示范应用</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3,396,226.43</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3,396,226.43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中小型水电站溢流面修复技术研究与应用</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2,698,816.33</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638,476.73</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3,337,293.06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智慧燃料一体化管控系统研究与开发</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2,654,867.26</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2,654,867.26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智能水电站下水轮机发电机组智能化研究</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2,490,480.00</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2,490,480.00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基于可调谐半导体吸收光谱法的变压器油中溶解气体诊断关键技术研究与示范应用</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1,816,663.88</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1,816,663.88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智能水电站下辅助系统智能化研究</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1,910,348.42</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1,910,348.42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防止东锅660MW锅炉燃尽风区域缺氧燃烧的技术研究</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1,294,973.45</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1,294,973.45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小型水电站智慧化发展研究与实施</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1,294,111.50</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1,294,111.50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其他小额汇总</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38,715,432.20</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1,100,379.40</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37,697,111.92</w:t>
            </w: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1,510,868.06</w:t>
            </w: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607,831.62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56,496,993.61</w:t>
            </w: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13,200,300.64</w:t>
            </w: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37,697,111.92</w:t>
            </w: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1,510,868.06</w:t>
            </w: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30,489,314.27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85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其中：数据资源</w:t>
            </w: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1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bl>
    <w:p>
      <w:pPr>
        <w:pStyle w:val="38"/>
        <w:rPr>
          <w:rFonts w:eastAsiaTheme="minorEastAsia"/>
          <w:color w:val="auto"/>
          <w:highlight w:val="none"/>
        </w:rPr>
      </w:pPr>
      <w:r>
        <w:rPr>
          <w:rFonts w:eastAsiaTheme="minorEastAsia"/>
          <w:color w:val="auto"/>
          <w:highlight w:val="none"/>
        </w:rPr>
        <w:fldChar w:fldCharType="end"/>
      </w:r>
    </w:p>
    <w:p>
      <w:pPr>
        <w:rPr>
          <w:rFonts w:ascii="Times New Roman" w:hAnsi="Times New Roman" w:cs="Times New Roman"/>
          <w:color w:val="auto"/>
          <w:highlight w:val="none"/>
        </w:rPr>
      </w:pPr>
      <w:r>
        <w:rPr>
          <w:color w:val="auto"/>
          <w:highlight w:val="none"/>
        </w:rPr>
        <w:br w:type="page"/>
      </w:r>
    </w:p>
    <w:p>
      <w:pPr>
        <w:pStyle w:val="37"/>
        <w:rPr>
          <w:color w:val="auto"/>
          <w:highlight w:val="none"/>
        </w:rPr>
      </w:pPr>
      <w:r>
        <w:rPr>
          <w:color w:val="auto"/>
          <w:highlight w:val="none"/>
        </w:rPr>
        <w:t>商誉</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"D:\\vsWorkspace\\branches\\20190430\\StandardTemplateTool\\template\\SASAC\\Frame\\202212\\SASACFinancialReports.xlsx" "商誉!商誉1"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541"/>
        <w:gridCol w:w="1517"/>
        <w:gridCol w:w="1293"/>
        <w:gridCol w:w="1293"/>
        <w:gridCol w:w="1516"/>
        <w:gridCol w:w="1516"/>
        <w:gridCol w:w="1208"/>
        <w:gridCol w:w="1208"/>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54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被投资单位名称或形成商誉的事项</w:t>
            </w:r>
          </w:p>
        </w:tc>
        <w:tc>
          <w:tcPr>
            <w:tcW w:w="5619" w:type="dxa"/>
            <w:gridSpan w:val="4"/>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商誉账面原值</w:t>
            </w:r>
          </w:p>
        </w:tc>
        <w:tc>
          <w:tcPr>
            <w:tcW w:w="5448" w:type="dxa"/>
            <w:gridSpan w:val="4"/>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商誉减值准备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54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1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29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29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2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2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国家电投集团贵州金元绥阳产业有限公司</w:t>
            </w:r>
          </w:p>
        </w:tc>
        <w:tc>
          <w:tcPr>
            <w:tcW w:w="151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2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2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54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1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2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c>
          <w:tcPr>
            <w:tcW w:w="12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3,501,241,469.15</w:t>
            </w:r>
          </w:p>
        </w:tc>
      </w:tr>
    </w:tbl>
    <w:p>
      <w:pPr>
        <w:pStyle w:val="35"/>
        <w:rPr>
          <w:color w:val="auto"/>
          <w:highlight w:val="none"/>
        </w:rPr>
        <w:sectPr>
          <w:pgSz w:w="16839" w:h="11907" w:orient="landscape"/>
          <w:pgMar w:top="1797" w:right="1440" w:bottom="1797" w:left="1440" w:header="680" w:footer="992" w:gutter="0"/>
          <w:cols w:space="425" w:num="1"/>
          <w:docGrid w:linePitch="312" w:charSpace="0"/>
        </w:sect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长期待摊费用</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!长期待摊费用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068"/>
        <w:gridCol w:w="2714"/>
        <w:gridCol w:w="1209"/>
        <w:gridCol w:w="1439"/>
        <w:gridCol w:w="1294"/>
        <w:gridCol w:w="1356"/>
        <w:gridCol w:w="15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06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71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120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本期增加额</w:t>
            </w:r>
          </w:p>
        </w:tc>
        <w:tc>
          <w:tcPr>
            <w:tcW w:w="143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本期摊销额</w:t>
            </w:r>
          </w:p>
        </w:tc>
        <w:tc>
          <w:tcPr>
            <w:tcW w:w="129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其他减少额</w:t>
            </w:r>
          </w:p>
        </w:tc>
        <w:tc>
          <w:tcPr>
            <w:tcW w:w="135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c>
          <w:tcPr>
            <w:tcW w:w="152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其他减少的原因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遵义水电站耕地占用税摊销</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41,084,777.71</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1,467,313.44</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39,617,464.27</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高生耕地指标开垦费</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11,602,394.00</w:t>
            </w: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193,373.18</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11,409,020.82</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石垭子水电站耕地占用税摊销</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9,218,888.32</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288,090.24</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8,930,798.08</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黔西中水甘棠-中坪公路摊销</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7,016,666.11</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200,000.04</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6,816,666.07</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高生电站马颈河保护区生态补偿金</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3,373,592.39</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66,803.76</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3,306,788.63</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能源供应合作开发项目</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3,328,920.83</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167,142.48</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3,161,778.35</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金元国际新城道路及景观改造项目</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2,538,531.50</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144,371.46</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2,394,160.04</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3-8楼翻新改造</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1,963,769.79</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306,042.02</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1,657,727.77</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二期土地征用及迁移补偿费</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1,587,838.40</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96,232.68</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1,491,605.72</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集中供热（冷）PPP项目</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1,250,888.53</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73,581.72</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1,177,306.81</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黔北电厂1号锅炉空预器及暖风器改造节能收益</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12,851,930.69</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12,851,930.69</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林华煤矿开采面摊销</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630,975,723.78</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630,975,723.78</w:t>
            </w: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子公司出表转出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金益煤矿开采面摊销</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162,214,894.31</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162,214,894.31</w:t>
            </w: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子公司出表转出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地灾拆迁安置费</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23,915,567.50</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23,915,567.50</w:t>
            </w: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子公司出表转出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其他小额汇总</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16,914,220.73</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968,081.72</w:t>
            </w: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2,351,024.27</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10,819,736.25</w:t>
            </w: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4,711,541.93</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子公司出表转出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06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71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918,236,210.59</w:t>
            </w:r>
          </w:p>
        </w:tc>
        <w:tc>
          <w:tcPr>
            <w:tcW w:w="120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12,570,475.72</w:t>
            </w:r>
          </w:p>
        </w:tc>
        <w:tc>
          <w:tcPr>
            <w:tcW w:w="143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18,205,905.98</w:t>
            </w:r>
          </w:p>
        </w:tc>
        <w:tc>
          <w:tcPr>
            <w:tcW w:w="129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827,925,921.84</w:t>
            </w:r>
          </w:p>
        </w:tc>
        <w:tc>
          <w:tcPr>
            <w:tcW w:w="13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84,674,858.49</w:t>
            </w:r>
          </w:p>
        </w:tc>
        <w:tc>
          <w:tcPr>
            <w:tcW w:w="152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bl>
    <w:p>
      <w:pPr>
        <w:pStyle w:val="38"/>
        <w:rPr>
          <w:rFonts w:eastAsiaTheme="minorEastAsia"/>
          <w:color w:val="auto"/>
          <w:highlight w:val="none"/>
        </w:rPr>
        <w:sectPr>
          <w:pgSz w:w="16839" w:h="11907" w:orient="landscape"/>
          <w:pgMar w:top="1797" w:right="1440" w:bottom="1797" w:left="1440" w:header="680" w:footer="992" w:gutter="0"/>
          <w:cols w:space="425" w:num="1"/>
          <w:docGrid w:linePitch="312" w:charSpace="0"/>
        </w:sect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递延所得税资产和递延所得税负债</w:t>
      </w:r>
    </w:p>
    <w:p>
      <w:pPr>
        <w:pStyle w:val="44"/>
        <w:rPr>
          <w:rFonts w:eastAsiaTheme="minorEastAsia"/>
          <w:color w:val="auto"/>
          <w:highlight w:val="none"/>
        </w:rPr>
      </w:pPr>
      <w:r>
        <w:rPr>
          <w:color w:val="auto"/>
          <w:kern w:val="0"/>
          <w:highlight w:val="none"/>
        </w:rPr>
        <w:t>未经抵销的递延所得税资产和递延所得税负债</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!递延所得税资产和递延所得税负债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041"/>
        <w:gridCol w:w="1611"/>
        <w:gridCol w:w="1464"/>
        <w:gridCol w:w="1609"/>
        <w:gridCol w:w="14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4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307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307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4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可抵扣/应纳税暂时性差异</w:t>
            </w:r>
          </w:p>
        </w:tc>
        <w:tc>
          <w:tcPr>
            <w:tcW w:w="146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递延所得税资产/负债</w:t>
            </w:r>
          </w:p>
        </w:tc>
        <w:tc>
          <w:tcPr>
            <w:tcW w:w="160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可抵扣/应纳税暂时性差异</w:t>
            </w:r>
          </w:p>
        </w:tc>
        <w:tc>
          <w:tcPr>
            <w:tcW w:w="146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递延所得税资产/负债</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一、递延所得税资产</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1,398,386,415.80</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201,200,032.32</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709,140,068.63</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199,576,433.28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资产减值准备</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152,291,591.28</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31,509,542.59</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144,549,381.83</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23,472,133.86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按公允价值计量的投资性房地产</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2,699,130.00</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404,869.50</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2,673,604.00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401,040.60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非同一控制企业合并</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69,314,582.80</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17,328,645.70</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84,859,792.93</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8,248,378.96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租赁负债</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1,172,081,111.72</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151,456,974.53</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477,057,289.87</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167,454,879.86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递延收益</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2,000,000.00</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500,000.00</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二、递延所得税负债</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1,511,205,149.56</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223,420,147.46</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646,668,400.02</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180,570,685.14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按公允价值计量的投资性房地产</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150,530,224.32</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35,464,874.78</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144,261,835.32</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34,529,425.99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非同一控制企业合并</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52,726,251.12</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13,181,562.78</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97,832,091.54</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9,766,212.09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使用权资产</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1,307,863,208.84</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174,752,343.58</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404,421,021.24</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136,236,684.08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161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85,465.28</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21,366.32</w:t>
            </w:r>
          </w:p>
        </w:tc>
        <w:tc>
          <w:tcPr>
            <w:tcW w:w="160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153,451.92</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38,362.98</w:t>
            </w: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color w:val="auto"/>
          <w:kern w:val="0"/>
          <w:highlight w:val="none"/>
        </w:rPr>
        <w:t>以抵销后净额列示的递延所得税资产或负债</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"D:\\work\\20190430\\StandardTemplateTool\\template\\SASAC\\Frame\\201912\\SASACFinancialReports.xlsx" "合并附注!递延所得税资产和递延所得税负债_国资"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75"/>
        <w:gridCol w:w="1553"/>
        <w:gridCol w:w="1553"/>
        <w:gridCol w:w="1553"/>
        <w:gridCol w:w="155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7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310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w:t>
            </w:r>
          </w:p>
        </w:tc>
        <w:tc>
          <w:tcPr>
            <w:tcW w:w="3107"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7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5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递延所得税资产和负债互抵金额</w:t>
            </w:r>
          </w:p>
        </w:tc>
        <w:tc>
          <w:tcPr>
            <w:tcW w:w="155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抵销后递延所得税资产或负债余额</w:t>
            </w:r>
          </w:p>
        </w:tc>
        <w:tc>
          <w:tcPr>
            <w:tcW w:w="155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递延所得税资产和负债互抵金额</w:t>
            </w:r>
          </w:p>
        </w:tc>
        <w:tc>
          <w:tcPr>
            <w:tcW w:w="155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抵销后递延所得税资产或负债余额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一、递延所得税资产</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192,073,521.77</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9,126,510.55</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151,669,225.20</w:t>
            </w:r>
          </w:p>
        </w:tc>
        <w:tc>
          <w:tcPr>
            <w:tcW w:w="155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47,907,208.08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二、递延所得税负债</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192,073,521.77</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31,346,625.69</w:t>
            </w:r>
          </w:p>
        </w:tc>
        <w:tc>
          <w:tcPr>
            <w:tcW w:w="155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151,669,225.20</w:t>
            </w:r>
          </w:p>
        </w:tc>
        <w:tc>
          <w:tcPr>
            <w:tcW w:w="155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28,901,459.94</w:t>
            </w:r>
          </w:p>
        </w:tc>
      </w:tr>
    </w:tbl>
    <w:p>
      <w:pPr>
        <w:pStyle w:val="35"/>
        <w:rPr>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其他非流动资产</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!其他非流动资产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69"/>
        <w:gridCol w:w="2230"/>
        <w:gridCol w:w="22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2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预付长期资产购置款</w:t>
            </w:r>
          </w:p>
        </w:tc>
        <w:tc>
          <w:tcPr>
            <w:tcW w:w="22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530,714,762.62</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956,732,919.96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预付信用证融资利息</w:t>
            </w:r>
          </w:p>
        </w:tc>
        <w:tc>
          <w:tcPr>
            <w:tcW w:w="22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163,801,494.54</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待抵扣进项税</w:t>
            </w:r>
          </w:p>
        </w:tc>
        <w:tc>
          <w:tcPr>
            <w:tcW w:w="22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153,872,632.29</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2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848,388,889.45</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956,732,919.96</w:t>
            </w:r>
          </w:p>
        </w:tc>
      </w:tr>
    </w:tbl>
    <w:p>
      <w:pPr>
        <w:pStyle w:val="38"/>
        <w:rPr>
          <w:rFonts w:eastAsiaTheme="minorEastAsia"/>
          <w:color w:val="auto"/>
          <w:highlight w:val="none"/>
        </w:rPr>
      </w:pPr>
      <w:r>
        <w:rPr>
          <w:rFonts w:eastAsiaTheme="minorEastAsia"/>
          <w:color w:val="auto"/>
          <w:highlight w:val="none"/>
        </w:rPr>
        <w:fldChar w:fldCharType="end"/>
      </w:r>
    </w:p>
    <w:p>
      <w:pPr>
        <w:rPr>
          <w:rFonts w:ascii="Times New Roman" w:hAnsi="Times New Roman" w:cs="Times New Roman"/>
          <w:color w:val="auto"/>
          <w:highlight w:val="none"/>
        </w:rPr>
      </w:pPr>
      <w:r>
        <w:rPr>
          <w:color w:val="auto"/>
          <w:highlight w:val="none"/>
        </w:rPr>
        <w:br w:type="page"/>
      </w:r>
    </w:p>
    <w:p>
      <w:pPr>
        <w:pStyle w:val="37"/>
        <w:rPr>
          <w:rFonts w:eastAsiaTheme="minorEastAsia"/>
          <w:color w:val="auto"/>
          <w:highlight w:val="none"/>
        </w:rPr>
      </w:pPr>
      <w:r>
        <w:rPr>
          <w:rFonts w:eastAsiaTheme="minorEastAsia"/>
          <w:color w:val="auto"/>
          <w:highlight w:val="none"/>
        </w:rPr>
        <w:t>短期借款</w:t>
      </w:r>
    </w:p>
    <w:p>
      <w:pPr>
        <w:pStyle w:val="44"/>
        <w:numPr>
          <w:ilvl w:val="0"/>
          <w:numId w:val="0"/>
        </w:numPr>
        <w:ind w:left="1276"/>
        <w:rPr>
          <w:rFonts w:eastAsiaTheme="minorEastAsia"/>
          <w:color w:val="auto"/>
          <w:highlight w:val="none"/>
        </w:rPr>
      </w:pPr>
      <w:r>
        <w:rPr>
          <w:rFonts w:eastAsiaTheme="minorEastAsia"/>
          <w:color w:val="auto"/>
          <w:highlight w:val="none"/>
        </w:rPr>
        <w:t>短期借款分类</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!短期借款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60"/>
        <w:gridCol w:w="2264"/>
        <w:gridCol w:w="226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6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26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6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质押借款</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1,572,939,774.58</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1,665,312,187.88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保证借款</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9,431,400,862.95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信用借款</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6,728,461,061.42</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9,925,691.04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6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8,301,400,836.00</w:t>
            </w:r>
          </w:p>
        </w:tc>
        <w:tc>
          <w:tcPr>
            <w:tcW w:w="226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11,106,638,741.87</w:t>
            </w: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应付票据</w:t>
      </w:r>
    </w:p>
    <w:p>
      <w:pPr>
        <w:pStyle w:val="38"/>
        <w:rPr>
          <w:color w:val="auto"/>
          <w:szCs w:val="22"/>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!应付票据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3"/>
        <w:gridCol w:w="2526"/>
        <w:gridCol w:w="22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种类</w:t>
            </w:r>
          </w:p>
        </w:tc>
        <w:tc>
          <w:tcPr>
            <w:tcW w:w="252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商业承兑汇票</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1,022,671,885.78</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6,431,916.50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银行承兑汇票</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375,166,210.32</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265,136,923.96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1,397,838,096.10</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271,568,840.46</w:t>
            </w:r>
          </w:p>
        </w:tc>
      </w:tr>
    </w:tbl>
    <w:p>
      <w:pPr>
        <w:pStyle w:val="38"/>
        <w:rPr>
          <w:rFonts w:eastAsiaTheme="minorEastAsia"/>
          <w:color w:val="auto"/>
          <w:highlight w:val="none"/>
        </w:rPr>
      </w:pPr>
      <w:r>
        <w:rPr>
          <w:rFonts w:eastAsiaTheme="minorEastAsia"/>
          <w:color w:val="auto"/>
          <w:highlight w:val="none"/>
        </w:rPr>
        <w:fldChar w:fldCharType="end"/>
      </w:r>
    </w:p>
    <w:p>
      <w:pPr>
        <w:pStyle w:val="37"/>
        <w:rPr>
          <w:color w:val="auto"/>
          <w:highlight w:val="none"/>
        </w:rPr>
      </w:pPr>
      <w:r>
        <w:rPr>
          <w:color w:val="auto"/>
          <w:highlight w:val="none"/>
        </w:rPr>
        <w:t>应付账款</w:t>
      </w:r>
    </w:p>
    <w:p>
      <w:pPr>
        <w:pStyle w:val="38"/>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!应付账款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7"/>
        <w:gridCol w:w="2405"/>
        <w:gridCol w:w="24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24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4,293,169,881.07</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3,674,625,062.49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1—2年（含2年）</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697,591,308.54</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1,437,844,913.87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2—3年（含3年）</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319,588,369.86</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425,651,090.21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323,438,878.36</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190,575,853.13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5,633,788,437.83</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5,728,696,919.70</w:t>
            </w:r>
          </w:p>
        </w:tc>
      </w:tr>
    </w:tbl>
    <w:p>
      <w:pPr>
        <w:pStyle w:val="38"/>
        <w:rPr>
          <w:color w:val="auto"/>
          <w:highlight w:val="none"/>
        </w:rPr>
      </w:pPr>
      <w:r>
        <w:rPr>
          <w:color w:val="auto"/>
          <w:highlight w:val="none"/>
        </w:rPr>
        <w:fldChar w:fldCharType="end"/>
      </w:r>
    </w:p>
    <w:p>
      <w:pPr>
        <w:pStyle w:val="38"/>
        <w:rPr>
          <w:color w:val="auto"/>
          <w:highlight w:val="none"/>
        </w:rPr>
      </w:pPr>
      <w:r>
        <w:rPr>
          <w:color w:val="auto"/>
          <w:highlight w:val="none"/>
        </w:rPr>
        <w:t>账龄超过</w:t>
      </w:r>
      <w:r>
        <w:rPr>
          <w:rFonts w:hint="eastAsia"/>
          <w:color w:val="auto"/>
          <w:highlight w:val="none"/>
        </w:rPr>
        <w:t>1</w:t>
      </w:r>
      <w:r>
        <w:rPr>
          <w:color w:val="auto"/>
          <w:highlight w:val="none"/>
        </w:rPr>
        <w:t>年的重要应付账款：</w:t>
      </w:r>
    </w:p>
    <w:p>
      <w:pPr>
        <w:pStyle w:val="38"/>
        <w:rPr>
          <w:color w:val="auto"/>
          <w:highlight w:val="none"/>
        </w:rPr>
      </w:pPr>
      <w:r>
        <w:rPr>
          <w:b/>
          <w:bCs/>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!应付账款1 \f 4 \h \* MERGEFORMAT </w:instrText>
      </w:r>
      <w:r>
        <w:rPr>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378"/>
        <w:gridCol w:w="24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债权单位名称</w:t>
            </w:r>
          </w:p>
        </w:tc>
        <w:tc>
          <w:tcPr>
            <w:tcW w:w="2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阳光电源股份有限公司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76,169,686.71</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工程未结算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上海能辉科技股份有限公司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71,559,375.96</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工程未结算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147,729,062.67</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8"/>
        <w:rPr>
          <w:rFonts w:eastAsiaTheme="minorEastAsia"/>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预收款项</w:t>
      </w:r>
    </w:p>
    <w:p>
      <w:pPr>
        <w:pStyle w:val="38"/>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!预收账款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7"/>
        <w:gridCol w:w="2405"/>
        <w:gridCol w:w="24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24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3,412,773.78</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165,142,574.64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1年以上</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268,875.00</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3,681,648.78</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165,142,574.64</w:t>
            </w:r>
          </w:p>
        </w:tc>
      </w:tr>
    </w:tbl>
    <w:p>
      <w:pPr>
        <w:pStyle w:val="38"/>
        <w:rPr>
          <w:color w:val="auto"/>
          <w:highlight w:val="none"/>
        </w:rPr>
      </w:pPr>
      <w:r>
        <w:rPr>
          <w:color w:val="auto"/>
          <w:highlight w:val="none"/>
        </w:rPr>
        <w:fldChar w:fldCharType="end"/>
      </w:r>
    </w:p>
    <w:p>
      <w:pPr>
        <w:pStyle w:val="38"/>
        <w:rPr>
          <w:color w:val="auto"/>
          <w:highlight w:val="none"/>
        </w:rPr>
      </w:pPr>
      <w:r>
        <w:rPr>
          <w:color w:val="auto"/>
          <w:highlight w:val="none"/>
        </w:rPr>
        <w:t>账龄超过</w:t>
      </w:r>
      <w:r>
        <w:rPr>
          <w:rFonts w:hint="eastAsia"/>
          <w:color w:val="auto"/>
          <w:highlight w:val="none"/>
        </w:rPr>
        <w:t>1</w:t>
      </w:r>
      <w:r>
        <w:rPr>
          <w:color w:val="auto"/>
          <w:highlight w:val="none"/>
        </w:rPr>
        <w:t>年的重要预收款项</w:t>
      </w:r>
    </w:p>
    <w:p>
      <w:pPr>
        <w:pStyle w:val="38"/>
        <w:rPr>
          <w:bCs/>
          <w:color w:val="auto"/>
          <w:szCs w:val="22"/>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!预收账款1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4"/>
        <w:gridCol w:w="2401"/>
        <w:gridCol w:w="241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债权单位名称</w:t>
            </w:r>
          </w:p>
        </w:tc>
        <w:tc>
          <w:tcPr>
            <w:tcW w:w="24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1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未结转原因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中铁五局集团实业发展有限公司</w:t>
            </w:r>
          </w:p>
        </w:tc>
        <w:tc>
          <w:tcPr>
            <w:tcW w:w="24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200,000.00</w:t>
            </w:r>
          </w:p>
        </w:tc>
        <w:tc>
          <w:tcPr>
            <w:tcW w:w="241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未达到结算时点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0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200,000.00</w:t>
            </w:r>
          </w:p>
        </w:tc>
        <w:tc>
          <w:tcPr>
            <w:tcW w:w="241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8"/>
        <w:rPr>
          <w:rFonts w:eastAsiaTheme="minorEastAsia"/>
          <w:color w:val="auto"/>
          <w:highlight w:val="none"/>
        </w:rPr>
      </w:pPr>
      <w:r>
        <w:rPr>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合同</w:t>
      </w:r>
      <w:r>
        <w:rPr>
          <w:rFonts w:eastAsiaTheme="minorEastAsia"/>
          <w:color w:val="auto"/>
          <w:highlight w:val="none"/>
        </w:rPr>
        <w:t>负债情况</w:t>
      </w:r>
    </w:p>
    <w:p>
      <w:pPr>
        <w:pStyle w:val="38"/>
        <w:rPr>
          <w:color w:val="auto"/>
          <w:szCs w:val="22"/>
          <w:highlight w:val="none"/>
        </w:rPr>
      </w:pPr>
      <w:r>
        <w:rPr>
          <w:b/>
          <w:color w:val="auto"/>
          <w:highlight w:val="none"/>
        </w:rPr>
        <w:fldChar w:fldCharType="begin"/>
      </w:r>
      <w:r>
        <w:rPr>
          <w:color w:val="auto"/>
          <w:highlight w:val="none"/>
        </w:rPr>
        <w:instrText xml:space="preserve"> LINK Excel.Sheet.12 E:\\雍\\附注排版\\2014年年报格式\\附注过渡表20150130V0910.xlsx </w:instrText>
      </w:r>
      <w:r>
        <w:rPr>
          <w:rFonts w:hint="eastAsia"/>
          <w:color w:val="auto"/>
          <w:highlight w:val="none"/>
        </w:rPr>
        <w:instrText xml:space="preserve">合并附注</w:instrText>
      </w:r>
      <w:r>
        <w:rPr>
          <w:color w:val="auto"/>
          <w:highlight w:val="none"/>
        </w:rPr>
        <w:instrText xml:space="preserve">!</w:instrText>
      </w:r>
      <w:r>
        <w:rPr>
          <w:rFonts w:hint="eastAsia"/>
          <w:color w:val="auto"/>
          <w:highlight w:val="none"/>
        </w:rPr>
        <w:instrText xml:space="preserve">合同</w:instrText>
      </w:r>
      <w:r>
        <w:rPr>
          <w:color w:val="auto"/>
          <w:highlight w:val="none"/>
        </w:rPr>
        <w:instrText xml:space="preserve">负债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3"/>
        <w:gridCol w:w="2526"/>
        <w:gridCol w:w="22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52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商品销售款</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142,283,079.61</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2,810,410.23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工程款</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32,906,678.13</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42,680,728.45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升压站租赁款</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5,143,045.50</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52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180,332,803.24</w:t>
            </w:r>
          </w:p>
        </w:tc>
        <w:tc>
          <w:tcPr>
            <w:tcW w:w="22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45,491,138.68</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应付职工薪酬</w:t>
      </w:r>
    </w:p>
    <w:p>
      <w:pPr>
        <w:pStyle w:val="44"/>
        <w:rPr>
          <w:rFonts w:eastAsiaTheme="minorEastAsia"/>
          <w:color w:val="auto"/>
          <w:highlight w:val="none"/>
        </w:rPr>
      </w:pPr>
      <w:r>
        <w:rPr>
          <w:rFonts w:eastAsiaTheme="minorEastAsia"/>
          <w:color w:val="auto"/>
          <w:highlight w:val="none"/>
        </w:rPr>
        <w:t>应付职工薪酬列示</w:t>
      </w:r>
    </w:p>
    <w:p>
      <w:pPr>
        <w:pStyle w:val="35"/>
        <w:rPr>
          <w:rFonts w:eastAsiaTheme="minorEastAsia"/>
          <w:color w:val="auto"/>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!应付职工薪酬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38"/>
        <w:gridCol w:w="1538"/>
        <w:gridCol w:w="1587"/>
        <w:gridCol w:w="1587"/>
        <w:gridCol w:w="15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9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一、短期薪酬</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265,700,976.65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2,301,351,319.70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2,232,243,046.04</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334,809,250.31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二、离职后福利-设定提存计划</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436,858.41</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317,453,043.30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317,155,434.89</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734,466.82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三、辞退福利</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23,181.80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23,181.80</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四、一年内到期的其他福利</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五、其他</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266,137,835.06</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2,618,827,544.80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2,549,421,662.73</w:t>
            </w:r>
          </w:p>
        </w:tc>
        <w:tc>
          <w:tcPr>
            <w:tcW w:w="153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335,543,717.13</w:t>
            </w: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rFonts w:eastAsiaTheme="minorEastAsia"/>
          <w:color w:val="auto"/>
          <w:highlight w:val="none"/>
        </w:rPr>
        <w:t>短期薪酬列示</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!应付职工薪酬1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954"/>
        <w:gridCol w:w="1530"/>
        <w:gridCol w:w="1587"/>
        <w:gridCol w:w="1587"/>
        <w:gridCol w:w="15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195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一、工资、奖金、津贴和补贴</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151,570,933.33</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1,744,183,100.00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1,651,406,127.60</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244,347,905.73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二、职工福利费</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119,905.64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140,420,510.68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140,420,510.68</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119,905.64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三、社会保险费</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32,652,678.56</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183,952,060.70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185,805,609.68</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30,799,129.58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其中：医疗保险费及生育保险费</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32,646,935.52</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165,313,025.02</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167,171,089.34</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30,788,871.20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工伤保险费</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5,743.04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18,639,035.68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18,634,520.34</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10,258.38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其他</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四、住房公积金</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-131,623.37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164,517,452.74</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164,446,698.22</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-60,868.85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五、工会经费和职工教育经费</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81,489,082.49</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68,278,195.58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90,164,099.86</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59,603,178.21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六、短期带薪缺勤</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七、短期利润分享计划</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八、其他短期薪酬</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95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265,700,976.65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2,301,351,319.70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2,232,243,046.04</w:t>
            </w:r>
          </w:p>
        </w:tc>
        <w:tc>
          <w:tcPr>
            <w:tcW w:w="15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334,809,250.31</w:t>
            </w:r>
          </w:p>
        </w:tc>
      </w:tr>
    </w:tbl>
    <w:p>
      <w:pPr>
        <w:pStyle w:val="35"/>
        <w:rPr>
          <w:rFonts w:eastAsiaTheme="minorEastAsia"/>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rFonts w:eastAsiaTheme="minorEastAsia"/>
          <w:color w:val="auto"/>
          <w:highlight w:val="none"/>
        </w:rPr>
        <w:t>设定提存计划列示</w:t>
      </w:r>
    </w:p>
    <w:p>
      <w:pPr>
        <w:pStyle w:val="35"/>
        <w:rPr>
          <w:rFonts w:eastAsiaTheme="minorEastAsia"/>
          <w:color w:val="auto"/>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!应付职工薪酬2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041"/>
        <w:gridCol w:w="1536"/>
        <w:gridCol w:w="1537"/>
        <w:gridCol w:w="1537"/>
        <w:gridCol w:w="153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4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一、基本养老保险</w:t>
            </w:r>
          </w:p>
        </w:tc>
        <w:tc>
          <w:tcPr>
            <w:tcW w:w="15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-332,641.89</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224,910,359.24</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224,786,466.51</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-208,749.16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二、失业保险费</w:t>
            </w:r>
          </w:p>
        </w:tc>
        <w:tc>
          <w:tcPr>
            <w:tcW w:w="15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275,766.04</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9,841,534.38</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9,833,665.57</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283,634.85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三、企业年金缴费</w:t>
            </w:r>
          </w:p>
        </w:tc>
        <w:tc>
          <w:tcPr>
            <w:tcW w:w="15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493,734.26</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82,701,149.68</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82,535,302.81</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659,581.13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4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436,858.41</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317,453,043.30</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317,155,434.89</w:t>
            </w:r>
          </w:p>
        </w:tc>
        <w:tc>
          <w:tcPr>
            <w:tcW w:w="15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734,466.82</w:t>
            </w: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应交税费</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!应交税费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266"/>
        <w:gridCol w:w="2461"/>
        <w:gridCol w:w="24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26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46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6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增值税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251,436,990.14</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263,034,880.81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资源税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13,713,583.80</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28,021,510.65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企业所得税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208,125,563.98</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349,208,659.44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城市维护建设税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3,110,893.92</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7,613,519.76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房产税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554,323.39</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198,367.14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土地使用税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1,560,422.75</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1,609,267.60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个人所得税</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42,880,058.75</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49,873,173.92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教育费附加</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4,743,364.61</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4,426,593.31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库区基金及水资源费</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47,518,888.85</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84,288,821.71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其他税费</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153,815,647.39</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25,504,263.70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6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727,459,737.58</w:t>
            </w:r>
          </w:p>
        </w:tc>
        <w:tc>
          <w:tcPr>
            <w:tcW w:w="246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813,779,058.04</w:t>
            </w:r>
          </w:p>
        </w:tc>
      </w:tr>
    </w:tbl>
    <w:p>
      <w:pPr>
        <w:pStyle w:val="38"/>
        <w:rPr>
          <w:rFonts w:hint="eastAsia" w:eastAsiaTheme="minorEastAsia"/>
          <w:color w:val="auto"/>
          <w:highlight w:val="none"/>
        </w:rPr>
      </w:pPr>
      <w:r>
        <w:rPr>
          <w:rFonts w:eastAsiaTheme="minorEastAsia"/>
          <w:color w:val="auto"/>
          <w:highlight w:val="none"/>
        </w:rPr>
        <w:fldChar w:fldCharType="end"/>
      </w:r>
    </w:p>
    <w:p>
      <w:pPr>
        <w:pStyle w:val="38"/>
        <w:rPr>
          <w:rFonts w:hint="eastAsia" w:eastAsiaTheme="minorEastAsia"/>
          <w:color w:val="auto"/>
          <w:highlight w:val="none"/>
        </w:rPr>
      </w:pPr>
    </w:p>
    <w:p>
      <w:pPr>
        <w:pStyle w:val="38"/>
        <w:rPr>
          <w:rFonts w:eastAsiaTheme="minorEastAsia"/>
          <w:color w:val="auto"/>
          <w:highlight w:val="none"/>
        </w:rPr>
      </w:pPr>
    </w:p>
    <w:p>
      <w:pPr>
        <w:pStyle w:val="37"/>
        <w:rPr>
          <w:color w:val="auto"/>
          <w:highlight w:val="none"/>
        </w:rPr>
      </w:pPr>
      <w:r>
        <w:rPr>
          <w:color w:val="auto"/>
          <w:highlight w:val="none"/>
        </w:rPr>
        <w:t>其他应付款</w:t>
      </w:r>
    </w:p>
    <w:p>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"合并附注!其他应付款总表"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应付利息</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应付股利</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12,413,462.89</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7,408,138.55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其他应付款项</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2,730,439,757.05</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2,290,027,818.28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2,742,853,219.94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2,297,435,956.83</w:t>
            </w:r>
          </w:p>
        </w:tc>
      </w:tr>
    </w:tbl>
    <w:p>
      <w:pPr>
        <w:pStyle w:val="38"/>
        <w:rPr>
          <w:color w:val="auto"/>
          <w:highlight w:val="none"/>
        </w:rPr>
      </w:pPr>
      <w:r>
        <w:rPr>
          <w:color w:val="auto"/>
          <w:highlight w:val="none"/>
        </w:rPr>
        <w:fldChar w:fldCharType="end"/>
      </w:r>
    </w:p>
    <w:p>
      <w:pPr>
        <w:pStyle w:val="44"/>
        <w:rPr>
          <w:color w:val="auto"/>
          <w:highlight w:val="none"/>
        </w:rPr>
      </w:pPr>
      <w:r>
        <w:rPr>
          <w:color w:val="auto"/>
          <w:highlight w:val="none"/>
        </w:rPr>
        <w:t>应付股利</w:t>
      </w:r>
    </w:p>
    <w:p>
      <w:pPr>
        <w:pStyle w:val="35"/>
        <w:rPr>
          <w:color w:val="auto"/>
          <w:szCs w:val="22"/>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!应付股利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8"/>
        <w:gridCol w:w="2376"/>
        <w:gridCol w:w="24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3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普通股股利</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12,413,462.89</w:t>
            </w:r>
          </w:p>
        </w:tc>
        <w:tc>
          <w:tcPr>
            <w:tcW w:w="24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7,408,138.55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12,413,462.89</w:t>
            </w:r>
          </w:p>
        </w:tc>
        <w:tc>
          <w:tcPr>
            <w:tcW w:w="24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7,408,138.55</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其他应付款</w:t>
      </w:r>
      <w:r>
        <w:rPr>
          <w:rFonts w:hint="eastAsia"/>
          <w:color w:val="auto"/>
          <w:highlight w:val="none"/>
        </w:rPr>
        <w:t>项</w:t>
      </w:r>
    </w:p>
    <w:p>
      <w:pPr>
        <w:pStyle w:val="35"/>
        <w:rPr>
          <w:color w:val="auto"/>
          <w:highlight w:val="none"/>
        </w:rPr>
      </w:pPr>
      <w:r>
        <w:rPr>
          <w:rFonts w:hint="eastAsia"/>
          <w:color w:val="auto"/>
          <w:highlight w:val="none"/>
        </w:rPr>
        <w:t>（1）</w:t>
      </w:r>
      <w:r>
        <w:rPr>
          <w:color w:val="auto"/>
          <w:highlight w:val="none"/>
        </w:rPr>
        <w:t>按款项性质列示其他应付款</w:t>
      </w:r>
      <w:r>
        <w:rPr>
          <w:rFonts w:hint="eastAsia"/>
          <w:color w:val="auto"/>
          <w:highlight w:val="none"/>
        </w:rPr>
        <w:t>项</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!其他应付款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378"/>
        <w:gridCol w:w="24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信用证融资</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1,616,447,212.13</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922,007,229.03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质保金、保证金、押金</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667,952,935.45</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648,033,254.74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工程及设备款</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209,205,791.51</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296,334,123.22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往来款</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218,333,834.94</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391,307,221.16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职工社保费用</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12,914,762.53</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12,121,172.73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碳排放权交易</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13,473,131.13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5,585,220.49</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6,751,686.27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2,730,439,757.05</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2,290,027,818.28</w:t>
            </w:r>
          </w:p>
        </w:tc>
      </w:tr>
    </w:tbl>
    <w:p>
      <w:pPr>
        <w:pStyle w:val="35"/>
        <w:rPr>
          <w:rFonts w:eastAsiaTheme="minorEastAsia"/>
          <w:color w:val="auto"/>
          <w:highlight w:val="none"/>
        </w:rPr>
      </w:pPr>
      <w:r>
        <w:rPr>
          <w:rFonts w:eastAsiaTheme="minorEastAsia"/>
          <w:color w:val="auto"/>
          <w:highlight w:val="none"/>
        </w:rPr>
        <w:fldChar w:fldCharType="end"/>
      </w:r>
    </w:p>
    <w:p>
      <w:pPr>
        <w:pStyle w:val="35"/>
        <w:rPr>
          <w:color w:val="auto"/>
          <w:highlight w:val="none"/>
        </w:rPr>
      </w:pPr>
      <w:r>
        <w:rPr>
          <w:rFonts w:hint="eastAsia"/>
          <w:color w:val="auto"/>
          <w:highlight w:val="none"/>
        </w:rPr>
        <w:t>（2）</w:t>
      </w:r>
      <w:r>
        <w:rPr>
          <w:color w:val="auto"/>
          <w:highlight w:val="none"/>
        </w:rPr>
        <w:t>账龄超过一年的重要其他应付款</w:t>
      </w:r>
      <w:r>
        <w:rPr>
          <w:rFonts w:hint="eastAsia"/>
          <w:color w:val="auto"/>
          <w:highlight w:val="none"/>
        </w:rPr>
        <w:t>项</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!其他应付款1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378"/>
        <w:gridCol w:w="24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债权单位名称</w:t>
            </w:r>
          </w:p>
        </w:tc>
        <w:tc>
          <w:tcPr>
            <w:tcW w:w="2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新源智储能源发展（北京）有限公司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90,974,040.00</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质保金未到期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贵州钟山野马寨热电有限责任公司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68,044,562.99</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尚未结算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阳光电源股份有限公司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33,023,784.91</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往来款、质保金，未到偿付期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苏州协鑫新能源投资有限公司</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29,851,692.14</w:t>
            </w:r>
          </w:p>
        </w:tc>
        <w:tc>
          <w:tcPr>
            <w:tcW w:w="243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往来款，未到偿付期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221,894,080.04</w:t>
            </w:r>
          </w:p>
        </w:tc>
        <w:tc>
          <w:tcPr>
            <w:tcW w:w="2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一年内到期的非流动负债</w:t>
      </w:r>
    </w:p>
    <w:p>
      <w:pPr>
        <w:pStyle w:val="38"/>
        <w:rPr>
          <w:rFonts w:eastAsiaTheme="minorEastAsia"/>
          <w:color w:val="auto"/>
          <w:szCs w:val="22"/>
          <w:highlight w:val="none"/>
        </w:rPr>
      </w:pPr>
      <w:r>
        <w:rPr>
          <w:rFonts w:eastAsiaTheme="minorEastAsia"/>
          <w:color w:val="auto"/>
          <w:highlight w:val="none"/>
          <w:shd w:val="clear" w:color="auto" w:fill="CCFFFF"/>
        </w:rPr>
        <w:fldChar w:fldCharType="begin"/>
      </w:r>
      <w:r>
        <w:rPr>
          <w:rFonts w:eastAsiaTheme="minorEastAsia"/>
          <w:color w:val="auto"/>
          <w:highlight w:val="none"/>
          <w:shd w:val="clear" w:color="auto" w:fill="CCFFFF"/>
        </w:rPr>
        <w:instrText xml:space="preserve"> LINK Excel.Sheet.12 E:\\雍\\附注排版\\2014年年报格式\\附注过渡表20150130V0910.xlsx</w:instrText>
      </w:r>
      <w:r>
        <w:rPr>
          <w:rFonts w:hint="eastAsia" w:eastAsiaTheme="minorEastAsia"/>
          <w:color w:val="auto"/>
          <w:highlight w:val="none"/>
          <w:shd w:val="clear" w:color="auto" w:fill="CCFFFF"/>
        </w:rPr>
        <w:instrText xml:space="preserve"> </w:instrText>
      </w:r>
      <w:r>
        <w:rPr>
          <w:rFonts w:hint="eastAsia" w:eastAsiaTheme="minorEastAsia"/>
          <w:color w:val="auto"/>
          <w:highlight w:val="none"/>
        </w:rPr>
        <w:instrText xml:space="preserve">合并附注</w:instrText>
      </w:r>
      <w:r>
        <w:rPr>
          <w:rFonts w:eastAsiaTheme="minorEastAsia"/>
          <w:color w:val="auto"/>
          <w:highlight w:val="none"/>
          <w:shd w:val="clear" w:color="auto" w:fill="CCFFFF"/>
        </w:rPr>
        <w:instrText xml:space="preserve">!一年内到期的非流动负债 \f 4 \h \* MERGEFORMAT </w:instrText>
      </w:r>
      <w:r>
        <w:rPr>
          <w:rFonts w:eastAsiaTheme="minorEastAsia"/>
          <w:color w:val="auto"/>
          <w:highlight w:val="none"/>
          <w:shd w:val="clear" w:color="auto" w:fill="CCFFFF"/>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378"/>
        <w:gridCol w:w="24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3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1年内到期的长期借款</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5,097,928,578.12</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5,336,251,692.32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1年内到期的长期应付款</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1,597,226,194.34</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930,779,471.33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1年内到期的租赁负债</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213,264,037.14</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456,001,279.47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6,908,418,809.60</w:t>
            </w:r>
          </w:p>
        </w:tc>
        <w:tc>
          <w:tcPr>
            <w:tcW w:w="243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6,723,032,443.12</w:t>
            </w:r>
          </w:p>
        </w:tc>
      </w:tr>
    </w:tbl>
    <w:p>
      <w:pPr>
        <w:pStyle w:val="38"/>
        <w:rPr>
          <w:rFonts w:eastAsiaTheme="minorEastAsia"/>
          <w:color w:val="auto"/>
          <w:highlight w:val="none"/>
        </w:rPr>
      </w:pPr>
      <w:r>
        <w:rPr>
          <w:rFonts w:eastAsiaTheme="minorEastAsia"/>
          <w:color w:val="auto"/>
          <w:highlight w:val="none"/>
          <w:shd w:val="clear" w:color="auto" w:fill="CCFFFF"/>
        </w:rPr>
        <w:fldChar w:fldCharType="end"/>
      </w:r>
    </w:p>
    <w:p>
      <w:pPr>
        <w:pStyle w:val="37"/>
        <w:rPr>
          <w:rFonts w:eastAsiaTheme="minorEastAsia"/>
          <w:color w:val="auto"/>
          <w:highlight w:val="none"/>
        </w:rPr>
      </w:pPr>
      <w:r>
        <w:rPr>
          <w:rFonts w:eastAsiaTheme="minorEastAsia"/>
          <w:color w:val="auto"/>
          <w:highlight w:val="none"/>
        </w:rPr>
        <w:t>其他流动负债</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!其他流动负债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406"/>
        <w:gridCol w:w="24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0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非金融机构短期借款</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185,000,000.00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185,000,000.00</w:t>
            </w:r>
          </w:p>
        </w:tc>
      </w:tr>
    </w:tbl>
    <w:p>
      <w:pPr>
        <w:pStyle w:val="38"/>
        <w:rPr>
          <w:rFonts w:eastAsiaTheme="minorEastAsia"/>
          <w:color w:val="auto"/>
          <w:highlight w:val="none"/>
        </w:rPr>
      </w:pPr>
      <w:r>
        <w:rPr>
          <w:rFonts w:eastAsiaTheme="minorEastAsia"/>
          <w:color w:val="auto"/>
          <w:highlight w:val="none"/>
        </w:rPr>
        <w:fldChar w:fldCharType="end"/>
      </w:r>
    </w:p>
    <w:p>
      <w:pPr>
        <w:pStyle w:val="37"/>
        <w:rPr>
          <w:color w:val="auto"/>
          <w:highlight w:val="none"/>
        </w:rPr>
      </w:pPr>
      <w:r>
        <w:rPr>
          <w:color w:val="auto"/>
          <w:highlight w:val="none"/>
        </w:rPr>
        <w:t>长期借款</w:t>
      </w:r>
    </w:p>
    <w:p>
      <w:pPr>
        <w:pStyle w:val="38"/>
        <w:rPr>
          <w:color w:val="auto"/>
          <w:highlight w:val="none"/>
        </w:rPr>
      </w:pPr>
      <w:r>
        <w:rPr>
          <w:b/>
          <w:bCs/>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!长期借款 \f 4 \h \* MERGEFORMAT </w:instrText>
      </w:r>
      <w:r>
        <w:rPr>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45"/>
        <w:gridCol w:w="1684"/>
        <w:gridCol w:w="1684"/>
        <w:gridCol w:w="317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6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31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期末利率区间（%）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信用借款</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14,840,036,661.04</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12,459,415,850.50</w:t>
            </w:r>
          </w:p>
        </w:tc>
        <w:tc>
          <w:tcPr>
            <w:tcW w:w="31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2.15-5.00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质押借款</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13,523,467,501.11</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13,223,765,433.00</w:t>
            </w:r>
          </w:p>
        </w:tc>
        <w:tc>
          <w:tcPr>
            <w:tcW w:w="31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2.05-3.50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保证借款</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125,209,611.11</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308,314,611.11</w:t>
            </w:r>
          </w:p>
        </w:tc>
        <w:tc>
          <w:tcPr>
            <w:tcW w:w="31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2.76-3.5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抵押借款</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579,717,302.67</w:t>
            </w:r>
          </w:p>
        </w:tc>
        <w:tc>
          <w:tcPr>
            <w:tcW w:w="31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2.77-3.5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28,488,713,773.26</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26,571,213,197.28</w:t>
            </w:r>
          </w:p>
        </w:tc>
        <w:tc>
          <w:tcPr>
            <w:tcW w:w="31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8"/>
        <w:rPr>
          <w:rFonts w:eastAsiaTheme="minorEastAsia"/>
          <w:color w:val="auto"/>
          <w:highlight w:val="none"/>
        </w:rPr>
      </w:pPr>
      <w:r>
        <w:rPr>
          <w:color w:val="auto"/>
          <w:highlight w:val="none"/>
        </w:rPr>
        <w:fldChar w:fldCharType="end"/>
      </w:r>
    </w:p>
    <w:p>
      <w:pPr>
        <w:pStyle w:val="37"/>
        <w:rPr>
          <w:color w:val="auto"/>
          <w:highlight w:val="none"/>
        </w:rPr>
      </w:pPr>
      <w:r>
        <w:rPr>
          <w:rFonts w:hint="eastAsia"/>
          <w:color w:val="auto"/>
          <w:highlight w:val="none"/>
        </w:rPr>
        <w:t>租赁负债</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"D:\\work\\20190430\\StandardTemplateTool\\template\\SASAC\\Frame\\201912\\SASACFinancialReports.xlsx" "合并附注!租赁负债"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租赁付款额</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1,900,494,375.84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2,292,156,750.74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减：未确认的融资费用</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346,247,318.56</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438,316,346.95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重分类至一年内到期的非流动负债</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213,264,037.14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456,001,279.47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租赁负债净额</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1,340,983,020.14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1,397,839,124.32</w:t>
            </w:r>
          </w:p>
        </w:tc>
      </w:tr>
    </w:tbl>
    <w:p>
      <w:pPr>
        <w:pStyle w:val="35"/>
        <w:rPr>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长期应付款</w:t>
      </w:r>
    </w:p>
    <w:p>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"合并附注!长期应付款总表"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长期应付款</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2,593,204,242.10</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2,164,613,904.75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专项应付款</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2,593,204,242.10</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2,164,613,904.75</w:t>
            </w:r>
          </w:p>
        </w:tc>
      </w:tr>
    </w:tbl>
    <w:p>
      <w:pPr>
        <w:pStyle w:val="38"/>
        <w:rPr>
          <w:color w:val="auto"/>
          <w:highlight w:val="none"/>
        </w:rPr>
      </w:pPr>
      <w:r>
        <w:rPr>
          <w:color w:val="auto"/>
          <w:highlight w:val="none"/>
        </w:rPr>
        <w:fldChar w:fldCharType="end"/>
      </w:r>
    </w:p>
    <w:p>
      <w:pPr>
        <w:pStyle w:val="44"/>
        <w:numPr>
          <w:ilvl w:val="0"/>
          <w:numId w:val="0"/>
        </w:numPr>
        <w:ind w:left="1276"/>
        <w:rPr>
          <w:color w:val="auto"/>
          <w:highlight w:val="none"/>
        </w:rPr>
      </w:pPr>
      <w:r>
        <w:rPr>
          <w:color w:val="auto"/>
          <w:highlight w:val="none"/>
        </w:rPr>
        <w:t>长期应付款</w:t>
      </w:r>
    </w:p>
    <w:p>
      <w:pPr>
        <w:pStyle w:val="35"/>
        <w:rPr>
          <w:b/>
          <w:color w:val="auto"/>
          <w:highlight w:val="none"/>
        </w:rPr>
      </w:pPr>
      <w:r>
        <w:rPr>
          <w:rFonts w:hint="eastAsia"/>
          <w:color w:val="auto"/>
          <w:highlight w:val="none"/>
        </w:rPr>
        <w:t>期末</w:t>
      </w:r>
      <w:r>
        <w:rPr>
          <w:color w:val="auto"/>
          <w:highlight w:val="none"/>
        </w:rPr>
        <w:t>余额最大的前5项：</w:t>
      </w:r>
    </w:p>
    <w:p>
      <w:pPr>
        <w:pStyle w:val="35"/>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!长期应付款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230"/>
        <w:gridCol w:w="2478"/>
        <w:gridCol w:w="248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2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4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8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3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融资租赁款</w:t>
            </w:r>
          </w:p>
        </w:tc>
        <w:tc>
          <w:tcPr>
            <w:tcW w:w="24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2,455,027,107.38</w:t>
            </w:r>
          </w:p>
        </w:tc>
        <w:tc>
          <w:tcPr>
            <w:tcW w:w="248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2,029,425,905.99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3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扶贫电站</w:t>
            </w:r>
          </w:p>
        </w:tc>
        <w:tc>
          <w:tcPr>
            <w:tcW w:w="24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133,797,941.72</w:t>
            </w:r>
          </w:p>
        </w:tc>
        <w:tc>
          <w:tcPr>
            <w:tcW w:w="248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135,088,972.22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3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24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4,379,193.00</w:t>
            </w:r>
          </w:p>
        </w:tc>
        <w:tc>
          <w:tcPr>
            <w:tcW w:w="248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99,026.54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2,593,204,242.10</w:t>
            </w:r>
          </w:p>
        </w:tc>
        <w:tc>
          <w:tcPr>
            <w:tcW w:w="248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2,164,613,904.75</w:t>
            </w:r>
          </w:p>
        </w:tc>
      </w:tr>
    </w:tbl>
    <w:p>
      <w:pPr>
        <w:pStyle w:val="35"/>
        <w:rPr>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长期应付职工薪酬</w:t>
      </w:r>
    </w:p>
    <w:p>
      <w:pPr>
        <w:pStyle w:val="38"/>
        <w:rPr>
          <w:color w:val="auto"/>
          <w:highlight w:val="none"/>
        </w:rPr>
      </w:pPr>
      <w:r>
        <w:rPr>
          <w:b/>
          <w:bCs/>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!长期应付职工薪酬 \f 4 \h \* MERGEFORMAT </w:instrText>
      </w:r>
      <w:r>
        <w:rPr>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911"/>
        <w:gridCol w:w="1345"/>
        <w:gridCol w:w="1339"/>
        <w:gridCol w:w="1248"/>
        <w:gridCol w:w="13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9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3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24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3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1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一、离职后福利-设定受益计划净负债</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1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二、辞退福利</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15,385,092.24</w:t>
            </w:r>
          </w:p>
        </w:tc>
        <w:tc>
          <w:tcPr>
            <w:tcW w:w="13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29,411,657.12</w:t>
            </w: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2,917,944.58</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41,878,804.78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1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三、其他长期福利</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1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15,385,092.24</w:t>
            </w:r>
          </w:p>
        </w:tc>
        <w:tc>
          <w:tcPr>
            <w:tcW w:w="133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29,411,657.12</w:t>
            </w: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2,917,944.58</w:t>
            </w:r>
          </w:p>
        </w:tc>
        <w:tc>
          <w:tcPr>
            <w:tcW w:w="13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41,878,804.78</w:t>
            </w:r>
          </w:p>
        </w:tc>
      </w:tr>
    </w:tbl>
    <w:p>
      <w:pPr>
        <w:pStyle w:val="38"/>
        <w:rPr>
          <w:rFonts w:eastAsiaTheme="minorEastAsia"/>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预计负债</w:t>
      </w:r>
    </w:p>
    <w:p>
      <w:pPr>
        <w:pStyle w:val="38"/>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!预计负债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225"/>
        <w:gridCol w:w="2481"/>
        <w:gridCol w:w="24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22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48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48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2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对外提供担保</w:t>
            </w:r>
          </w:p>
        </w:tc>
        <w:tc>
          <w:tcPr>
            <w:tcW w:w="24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59,704,138.99</w:t>
            </w:r>
          </w:p>
        </w:tc>
        <w:tc>
          <w:tcPr>
            <w:tcW w:w="248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59,926,138.99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22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48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59,704,138.99</w:t>
            </w:r>
          </w:p>
        </w:tc>
        <w:tc>
          <w:tcPr>
            <w:tcW w:w="248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59,926,138.99</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递延收益</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!递延收益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30"/>
        <w:gridCol w:w="1588"/>
        <w:gridCol w:w="1590"/>
        <w:gridCol w:w="1590"/>
        <w:gridCol w:w="15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58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9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9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59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政府补助</w:t>
            </w:r>
          </w:p>
        </w:tc>
        <w:tc>
          <w:tcPr>
            <w:tcW w:w="15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68,838,121.30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7,550,300.00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8,756,809.10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67,631,612.20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68,838,121.30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7,550,300.00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8,756,809.10</w:t>
            </w:r>
          </w:p>
        </w:tc>
        <w:tc>
          <w:tcPr>
            <w:tcW w:w="159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67,631,612.20</w:t>
            </w:r>
          </w:p>
        </w:tc>
      </w:tr>
    </w:tbl>
    <w:p>
      <w:pPr>
        <w:pStyle w:val="38"/>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szCs w:val="24"/>
          <w:highlight w:val="none"/>
        </w:rPr>
        <w:sectPr>
          <w:pgSz w:w="11907" w:h="16839"/>
          <w:pgMar w:top="1440" w:right="1797" w:bottom="1440" w:left="1797" w:header="680" w:footer="992" w:gutter="0"/>
          <w:cols w:space="425" w:num="1"/>
          <w:docGrid w:linePitch="312" w:charSpace="0"/>
        </w:sectPr>
      </w:pPr>
    </w:p>
    <w:p>
      <w:pPr>
        <w:pStyle w:val="38"/>
        <w:rPr>
          <w:rFonts w:eastAsiaTheme="minorEastAsia"/>
          <w:color w:val="auto"/>
          <w:highlight w:val="none"/>
        </w:rPr>
      </w:pPr>
      <w:r>
        <w:rPr>
          <w:rFonts w:eastAsiaTheme="minorEastAsia"/>
          <w:color w:val="auto"/>
          <w:highlight w:val="none"/>
        </w:rPr>
        <w:t>涉及政府补助的项目：</w:t>
      </w:r>
    </w:p>
    <w:p>
      <w:pPr>
        <w:pStyle w:val="38"/>
        <w:rPr>
          <w:rFonts w:eastAsiaTheme="minorEastAsia"/>
          <w:color w:val="auto"/>
          <w:highlight w:val="none"/>
        </w:rPr>
      </w:pPr>
      <w:r>
        <w:rPr>
          <w:rFonts w:eastAsiaTheme="minorEastAsia"/>
          <w:color w:val="auto"/>
          <w:szCs w:val="24"/>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!递延收益1 \f 4 \h \* MERGEFORMAT </w:instrText>
      </w:r>
      <w:r>
        <w:rPr>
          <w:rFonts w:eastAsiaTheme="minorEastAsia"/>
          <w:color w:val="auto"/>
          <w:szCs w:val="24"/>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671"/>
        <w:gridCol w:w="1660"/>
        <w:gridCol w:w="1195"/>
        <w:gridCol w:w="1069"/>
        <w:gridCol w:w="1044"/>
        <w:gridCol w:w="1069"/>
        <w:gridCol w:w="1207"/>
        <w:gridCol w:w="603"/>
        <w:gridCol w:w="1090"/>
      </w:tblGrid>
      <w:tr>
        <w:tblPrEx>
          <w:tblCellMar>
            <w:top w:w="28" w:type="dxa"/>
            <w:left w:w="108" w:type="dxa"/>
            <w:bottom w:w="28" w:type="dxa"/>
            <w:right w:w="108" w:type="dxa"/>
          </w:tblCellMar>
        </w:tblPrEx>
        <w:trPr>
          <w:trHeight w:val="283" w:hRule="atLeast"/>
          <w:tblHeader/>
        </w:trPr>
        <w:tc>
          <w:tcPr>
            <w:tcW w:w="467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w:t>
            </w:r>
          </w:p>
        </w:tc>
        <w:tc>
          <w:tcPr>
            <w:tcW w:w="1660"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期初余额</w:t>
            </w:r>
          </w:p>
        </w:tc>
        <w:tc>
          <w:tcPr>
            <w:tcW w:w="1195"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本期新增补助金额</w:t>
            </w:r>
          </w:p>
        </w:tc>
        <w:tc>
          <w:tcPr>
            <w:tcW w:w="1069"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本期计入当期损益金额</w:t>
            </w:r>
          </w:p>
        </w:tc>
        <w:tc>
          <w:tcPr>
            <w:tcW w:w="1044"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本期返还金额</w:t>
            </w:r>
          </w:p>
        </w:tc>
        <w:tc>
          <w:tcPr>
            <w:tcW w:w="1069"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其他变动</w:t>
            </w:r>
          </w:p>
        </w:tc>
        <w:tc>
          <w:tcPr>
            <w:tcW w:w="120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期末余额</w:t>
            </w:r>
          </w:p>
        </w:tc>
        <w:tc>
          <w:tcPr>
            <w:tcW w:w="60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返还原因</w:t>
            </w:r>
          </w:p>
        </w:tc>
        <w:tc>
          <w:tcPr>
            <w:tcW w:w="1090"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与资产相关/与收益相关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2009年纳雍环保项目补助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1,481,481.53</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444,444.44</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1,037,037.09</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平箐项目光伏补助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5,376,750.85</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453,703.68</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4,923,047.17</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维检中心基础设施补偿费</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8,040,164.67</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539,376.36</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7,500,788.31</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脱硫工程环保项目补助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1,037,043.00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444,444.00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592,599.00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2023年煤电机组改造项目补助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2,212,200.00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1,672,111.48</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540,088.52</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2013年第一批环境污染治理项目（脱硫脱硝减排项目）补助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92,307.12</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92,307.12</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第二批节能技术改造项目补助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242,857.10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242,857.10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贵州省财政厅第二批能源节约项目补助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300,000.00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150,000.00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150,000.00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贵州省能源局清洁高效电力产业振兴项目补助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2,263,201.24</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120,209.99</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2,142,991.25</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贵州省能源局2号机能源结构调整项目补助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228,100.00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88,800.00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139,300.00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贵州省能源局3、4号机组空预器蓄热元件升级改造项目补助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675,000.00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270,000.00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405,000.00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贵州省能源局2023年新型电力系统建设4号机锅炉A、B、C、D磨煤机衬板改造项目补助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308,965.52</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132,413.78</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176,551.74</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贵州省能源局5号机能源结构调整项目补助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4,543,019.35</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322,580.65</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4,220,438.70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漾头电站增效扩容项目补助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16,101,243.29</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1,334,871.32</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14,766,371.97</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方竹增效扩容项目补助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9,683,560.45</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880,323.68</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8,803,236.77</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石门坎一厂增效扩容项目补助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12,148,500.00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500,500.00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11,648,000.00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雷公滩生态流量监测系统项目补助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224,416.70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35,265.45</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189,151.25</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织金智慧能源产业园区项目前期补助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2,000,000.00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2,000,000.00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2021年贵州省工业和信息化发展项目补助(第三批)</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879,310.48</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879,310.48</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织金县小寨风电场建设项目专项资金</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2,000,000.00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2,000,000.00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罗甸县朗顶二期水光互补光伏电站建设项目补助</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62,500.00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937,500.00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罗甸县蒙江水光互补农业光伏电站建设项目政府专项资金</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750,000.00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750,000.00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建设补助资金</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2,930,900.00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2,930,900.00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2024年新型电力系统建设补助资金</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749,400.00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16,122.90</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733,277.10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2023年煤电机组改造奖补资金</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1,120,000.00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74,666.67</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1,045,333.33</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与资产相关</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7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68,838,121.30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7,550,300.00</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7,877,498.62</w:t>
            </w:r>
          </w:p>
        </w:tc>
        <w:tc>
          <w:tcPr>
            <w:tcW w:w="104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879,310.48</w:t>
            </w:r>
          </w:p>
        </w:tc>
        <w:tc>
          <w:tcPr>
            <w:tcW w:w="106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67,631,612.20</w:t>
            </w:r>
          </w:p>
        </w:tc>
        <w:tc>
          <w:tcPr>
            <w:tcW w:w="603"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c>
          <w:tcPr>
            <w:tcW w:w="109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p>
        </w:tc>
      </w:tr>
    </w:tbl>
    <w:p>
      <w:pPr>
        <w:pStyle w:val="38"/>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pPr>
    </w:p>
    <w:p>
      <w:pPr>
        <w:pStyle w:val="38"/>
        <w:rPr>
          <w:rFonts w:eastAsiaTheme="minorEastAsia"/>
          <w:color w:val="auto"/>
          <w:highlight w:val="none"/>
        </w:rPr>
        <w:sectPr>
          <w:pgSz w:w="16839" w:h="11907" w:orient="landscape"/>
          <w:pgMar w:top="1797" w:right="1440" w:bottom="1797" w:left="1440" w:header="680" w:footer="992" w:gutter="0"/>
          <w:cols w:space="425" w:num="1"/>
          <w:docGrid w:linePitch="312" w:charSpace="0"/>
        </w:sectPr>
      </w:pPr>
    </w:p>
    <w:p>
      <w:pPr>
        <w:pStyle w:val="37"/>
        <w:rPr>
          <w:rFonts w:eastAsiaTheme="minorEastAsia"/>
          <w:color w:val="auto"/>
          <w:highlight w:val="none"/>
        </w:rPr>
      </w:pPr>
      <w:r>
        <w:rPr>
          <w:rFonts w:hint="eastAsia" w:eastAsiaTheme="minorEastAsia"/>
          <w:color w:val="auto"/>
          <w:highlight w:val="none"/>
        </w:rPr>
        <w:t>股本</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w:instrText>
      </w:r>
      <w:r>
        <w:rPr>
          <w:rFonts w:hint="eastAsia" w:eastAsiaTheme="minorEastAsia"/>
          <w:color w:val="auto"/>
          <w:highlight w:val="none"/>
        </w:rPr>
        <w:instrText xml:space="preserve">实收资本</w:instrText>
      </w:r>
      <w:r>
        <w:rPr>
          <w:rFonts w:eastAsiaTheme="minorEastAsia"/>
          <w:color w:val="auto"/>
          <w:highlight w:val="none"/>
        </w:rPr>
        <w:instrText xml:space="preserve">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474"/>
        <w:gridCol w:w="1437"/>
        <w:gridCol w:w="908"/>
        <w:gridCol w:w="575"/>
        <w:gridCol w:w="1437"/>
        <w:gridCol w:w="1437"/>
        <w:gridCol w:w="9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47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投资者名称</w:t>
            </w:r>
          </w:p>
        </w:tc>
        <w:tc>
          <w:tcPr>
            <w:tcW w:w="234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57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w:t>
            </w:r>
          </w:p>
        </w:tc>
        <w:tc>
          <w:tcPr>
            <w:tcW w:w="143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w:t>
            </w:r>
          </w:p>
        </w:tc>
        <w:tc>
          <w:tcPr>
            <w:tcW w:w="2357"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47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3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投资金额</w:t>
            </w:r>
          </w:p>
        </w:tc>
        <w:tc>
          <w:tcPr>
            <w:tcW w:w="90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所占比例（%）</w:t>
            </w:r>
          </w:p>
        </w:tc>
        <w:tc>
          <w:tcPr>
            <w:tcW w:w="57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3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3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投资金额</w:t>
            </w:r>
          </w:p>
        </w:tc>
        <w:tc>
          <w:tcPr>
            <w:tcW w:w="92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所占比例（%）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7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5,892,315,400.00</w:t>
            </w:r>
          </w:p>
        </w:tc>
        <w:tc>
          <w:tcPr>
            <w:tcW w:w="9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c>
          <w:tcPr>
            <w:tcW w:w="5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4,692,315,400.00</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7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国家电力投资集团有限公司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4,393,120,000.00</w:t>
            </w:r>
          </w:p>
        </w:tc>
        <w:tc>
          <w:tcPr>
            <w:tcW w:w="9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74.56</w:t>
            </w:r>
          </w:p>
        </w:tc>
        <w:tc>
          <w:tcPr>
            <w:tcW w:w="5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3,193,120,000.00</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68.05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7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贵州盘江煤电集团有限责任公司</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1,183,107,400.00</w:t>
            </w:r>
          </w:p>
        </w:tc>
        <w:tc>
          <w:tcPr>
            <w:tcW w:w="9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20.08</w:t>
            </w:r>
          </w:p>
        </w:tc>
        <w:tc>
          <w:tcPr>
            <w:tcW w:w="5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1,183,107,400.00</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7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自然人股东</w:t>
            </w: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316,088,000.00</w:t>
            </w:r>
          </w:p>
        </w:tc>
        <w:tc>
          <w:tcPr>
            <w:tcW w:w="9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5.36</w:t>
            </w:r>
          </w:p>
        </w:tc>
        <w:tc>
          <w:tcPr>
            <w:tcW w:w="5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3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316,088,000.00</w:t>
            </w:r>
          </w:p>
        </w:tc>
        <w:tc>
          <w:tcPr>
            <w:tcW w:w="9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6.74</w:t>
            </w:r>
          </w:p>
        </w:tc>
      </w:tr>
    </w:tbl>
    <w:p>
      <w:pPr>
        <w:pStyle w:val="38"/>
        <w:rPr>
          <w:rFonts w:eastAsiaTheme="minorEastAsia"/>
          <w:color w:val="auto"/>
          <w:highlight w:val="none"/>
        </w:rPr>
      </w:pPr>
      <w:r>
        <w:rPr>
          <w:rFonts w:eastAsiaTheme="minorEastAsia"/>
          <w:color w:val="auto"/>
          <w:highlight w:val="none"/>
        </w:rPr>
        <w:fldChar w:fldCharType="end"/>
      </w:r>
      <w:bookmarkStart w:id="62" w:name="OLE_LINK4"/>
      <w:r>
        <w:rPr>
          <w:rFonts w:hint="eastAsia" w:eastAsiaTheme="minorEastAsia"/>
          <w:color w:val="auto"/>
          <w:highlight w:val="none"/>
        </w:rPr>
        <w:t>注：股本本期减少1,200,000,000.00元，系将母公司增资款调整至资本公积。</w:t>
      </w:r>
      <w:bookmarkEnd w:id="62"/>
    </w:p>
    <w:p>
      <w:pPr>
        <w:pStyle w:val="38"/>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其他权益工具</w:t>
      </w:r>
    </w:p>
    <w:p>
      <w:pPr>
        <w:pStyle w:val="38"/>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!其他权益工具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842"/>
        <w:gridCol w:w="394"/>
        <w:gridCol w:w="1514"/>
        <w:gridCol w:w="449"/>
        <w:gridCol w:w="1371"/>
        <w:gridCol w:w="411"/>
        <w:gridCol w:w="1371"/>
        <w:gridCol w:w="394"/>
        <w:gridCol w:w="14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84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发行在外的金融工具</w:t>
            </w:r>
          </w:p>
        </w:tc>
        <w:tc>
          <w:tcPr>
            <w:tcW w:w="1908"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期初数</w:t>
            </w:r>
          </w:p>
        </w:tc>
        <w:tc>
          <w:tcPr>
            <w:tcW w:w="182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本期增加</w:t>
            </w:r>
          </w:p>
        </w:tc>
        <w:tc>
          <w:tcPr>
            <w:tcW w:w="178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本期减少</w:t>
            </w:r>
          </w:p>
        </w:tc>
        <w:tc>
          <w:tcPr>
            <w:tcW w:w="183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84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394"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数量</w:t>
            </w:r>
          </w:p>
        </w:tc>
        <w:tc>
          <w:tcPr>
            <w:tcW w:w="1514"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449"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数量</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41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数量</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c>
          <w:tcPr>
            <w:tcW w:w="394"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数量</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842"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永续债</w:t>
            </w:r>
          </w:p>
        </w:tc>
        <w:tc>
          <w:tcPr>
            <w:tcW w:w="39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1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18,318,660,000.00</w:t>
            </w:r>
          </w:p>
        </w:tc>
        <w:tc>
          <w:tcPr>
            <w:tcW w:w="44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4,000,000,000.00</w:t>
            </w:r>
          </w:p>
        </w:tc>
        <w:tc>
          <w:tcPr>
            <w:tcW w:w="41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3,000,000,000.00</w:t>
            </w:r>
          </w:p>
        </w:tc>
        <w:tc>
          <w:tcPr>
            <w:tcW w:w="39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19,318,660,000.00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84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合计</w:t>
            </w:r>
          </w:p>
        </w:tc>
        <w:tc>
          <w:tcPr>
            <w:tcW w:w="39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1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18,318,660,000.00</w:t>
            </w:r>
          </w:p>
        </w:tc>
        <w:tc>
          <w:tcPr>
            <w:tcW w:w="44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4,000,000,000.00</w:t>
            </w:r>
          </w:p>
        </w:tc>
        <w:tc>
          <w:tcPr>
            <w:tcW w:w="41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3,000,000,000.00</w:t>
            </w:r>
          </w:p>
        </w:tc>
        <w:tc>
          <w:tcPr>
            <w:tcW w:w="394"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19,318,660,000.00</w:t>
            </w:r>
          </w:p>
        </w:tc>
      </w:tr>
    </w:tbl>
    <w:p>
      <w:pPr>
        <w:pStyle w:val="38"/>
        <w:rPr>
          <w:rFonts w:eastAsiaTheme="minorEastAsia"/>
          <w:color w:val="auto"/>
          <w:highlight w:val="none"/>
        </w:rPr>
      </w:pPr>
      <w:r>
        <w:rPr>
          <w:color w:val="auto"/>
          <w:highlight w:val="none"/>
        </w:rPr>
        <w:fldChar w:fldCharType="end"/>
      </w:r>
    </w:p>
    <w:p>
      <w:pPr>
        <w:pStyle w:val="37"/>
        <w:rPr>
          <w:rFonts w:eastAsiaTheme="minorEastAsia"/>
          <w:color w:val="auto"/>
          <w:highlight w:val="none"/>
        </w:rPr>
      </w:pPr>
      <w:r>
        <w:rPr>
          <w:rFonts w:eastAsiaTheme="minorEastAsia"/>
          <w:color w:val="auto"/>
          <w:highlight w:val="none"/>
        </w:rPr>
        <w:t>资本公积</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!资本公积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335"/>
        <w:gridCol w:w="1464"/>
        <w:gridCol w:w="1463"/>
        <w:gridCol w:w="1463"/>
        <w:gridCol w:w="14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3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46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146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w:t>
            </w:r>
          </w:p>
        </w:tc>
        <w:tc>
          <w:tcPr>
            <w:tcW w:w="146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w:t>
            </w:r>
          </w:p>
        </w:tc>
        <w:tc>
          <w:tcPr>
            <w:tcW w:w="146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一、资本（或股本）溢价</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二、其他资本公积</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411,548,322.64</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13,761,902.00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80,108,798.10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345,201,426.54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411,548,322.64</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1,213,761,902.00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80,108,798.10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1,545,201,426.54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其中：国有独享资本公积</w:t>
            </w:r>
          </w:p>
        </w:tc>
        <w:tc>
          <w:tcPr>
            <w:tcW w:w="146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6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1,200,000,000.00</w:t>
            </w:r>
          </w:p>
        </w:tc>
      </w:tr>
    </w:tbl>
    <w:p>
      <w:pPr>
        <w:pStyle w:val="38"/>
        <w:rPr>
          <w:rFonts w:eastAsiaTheme="minorEastAsia"/>
          <w:color w:val="auto"/>
          <w:highlight w:val="none"/>
        </w:rPr>
      </w:pPr>
      <w:r>
        <w:rPr>
          <w:rFonts w:eastAsiaTheme="minorEastAsia"/>
          <w:color w:val="auto"/>
          <w:highlight w:val="none"/>
        </w:rPr>
        <w:fldChar w:fldCharType="end"/>
      </w:r>
      <w:r>
        <w:rPr>
          <w:rFonts w:hint="eastAsia" w:eastAsiaTheme="minorEastAsia"/>
          <w:color w:val="auto"/>
          <w:highlight w:val="none"/>
        </w:rPr>
        <w:t>注：1.资本溢价本期增加</w:t>
      </w:r>
      <w:r>
        <w:rPr>
          <w:rFonts w:eastAsiaTheme="minorEastAsia"/>
          <w:color w:val="auto"/>
          <w:highlight w:val="none"/>
        </w:rPr>
        <w:t>1,200,000,000.00</w:t>
      </w:r>
      <w:r>
        <w:rPr>
          <w:rFonts w:hint="eastAsia" w:eastAsiaTheme="minorEastAsia"/>
          <w:color w:val="auto"/>
          <w:highlight w:val="none"/>
        </w:rPr>
        <w:t>元，系将母公司增资款调整至资本公积；</w:t>
      </w:r>
    </w:p>
    <w:p>
      <w:pPr>
        <w:pStyle w:val="38"/>
        <w:rPr>
          <w:rFonts w:eastAsiaTheme="minorEastAsia"/>
          <w:color w:val="auto"/>
          <w:highlight w:val="none"/>
        </w:rPr>
      </w:pPr>
      <w:r>
        <w:rPr>
          <w:rFonts w:hint="eastAsia" w:eastAsiaTheme="minorEastAsia"/>
          <w:color w:val="auto"/>
          <w:highlight w:val="none"/>
        </w:rPr>
        <w:t>2.其他资本公积本期增加</w:t>
      </w:r>
      <w:r>
        <w:rPr>
          <w:rFonts w:eastAsiaTheme="minorEastAsia"/>
          <w:color w:val="auto"/>
          <w:highlight w:val="none"/>
        </w:rPr>
        <w:t>13,761,902.00</w:t>
      </w:r>
      <w:r>
        <w:rPr>
          <w:rFonts w:hint="eastAsia" w:eastAsiaTheme="minorEastAsia"/>
          <w:color w:val="auto"/>
          <w:highlight w:val="none"/>
        </w:rPr>
        <w:t>元，系对原子公司贵州能发电力燃料开发有限公司长期股权投资核算方式由成本法转换为权益法，将模拟追溯调整权益变动增加其他资本公积</w:t>
      </w:r>
      <w:r>
        <w:rPr>
          <w:rFonts w:eastAsiaTheme="minorEastAsia"/>
          <w:color w:val="auto"/>
          <w:highlight w:val="none"/>
        </w:rPr>
        <w:t>13,761,902.00</w:t>
      </w:r>
      <w:r>
        <w:rPr>
          <w:rFonts w:hint="eastAsia" w:eastAsiaTheme="minorEastAsia"/>
          <w:color w:val="auto"/>
          <w:highlight w:val="none"/>
        </w:rPr>
        <w:t>元；</w:t>
      </w:r>
    </w:p>
    <w:p>
      <w:pPr>
        <w:pStyle w:val="38"/>
        <w:rPr>
          <w:rFonts w:eastAsiaTheme="minorEastAsia"/>
          <w:color w:val="auto"/>
          <w:highlight w:val="none"/>
        </w:rPr>
      </w:pPr>
      <w:r>
        <w:rPr>
          <w:rFonts w:hint="eastAsia" w:eastAsiaTheme="minorEastAsia"/>
          <w:color w:val="auto"/>
          <w:highlight w:val="none"/>
        </w:rPr>
        <w:t>3.其他资本公积本期减少</w:t>
      </w:r>
      <w:r>
        <w:rPr>
          <w:rFonts w:eastAsiaTheme="minorEastAsia"/>
          <w:color w:val="auto"/>
          <w:highlight w:val="none"/>
        </w:rPr>
        <w:t>80,108,798.10</w:t>
      </w:r>
      <w:r>
        <w:rPr>
          <w:rFonts w:hint="eastAsia" w:eastAsiaTheme="minorEastAsia"/>
          <w:color w:val="auto"/>
          <w:highlight w:val="none"/>
        </w:rPr>
        <w:t>元，系</w:t>
      </w:r>
      <w:r>
        <w:rPr>
          <w:rFonts w:hint="eastAsia" w:ascii="Segoe UI Emoji" w:hAnsi="Segoe UI Emoji" w:eastAsiaTheme="minorEastAsia"/>
          <w:color w:val="auto"/>
          <w:highlight w:val="none"/>
        </w:rPr>
        <w:t>①</w:t>
      </w:r>
      <w:r>
        <w:rPr>
          <w:rFonts w:hint="eastAsia" w:eastAsiaTheme="minorEastAsia"/>
          <w:color w:val="auto"/>
          <w:highlight w:val="none"/>
        </w:rPr>
        <w:t>收购少数股东权益的价差，减少其他资本公积</w:t>
      </w:r>
      <w:r>
        <w:rPr>
          <w:rFonts w:eastAsiaTheme="minorEastAsia"/>
          <w:color w:val="auto"/>
          <w:highlight w:val="none"/>
        </w:rPr>
        <w:t>77,599,067.99</w:t>
      </w:r>
      <w:r>
        <w:rPr>
          <w:rFonts w:hint="eastAsia" w:eastAsiaTheme="minorEastAsia"/>
          <w:color w:val="auto"/>
          <w:highlight w:val="none"/>
        </w:rPr>
        <w:t>元；②参股单位其他权益变动减少其他资本公积</w:t>
      </w:r>
      <w:r>
        <w:rPr>
          <w:rFonts w:eastAsiaTheme="minorEastAsia"/>
          <w:color w:val="auto"/>
          <w:highlight w:val="none"/>
        </w:rPr>
        <w:t>2,509,730.11</w:t>
      </w:r>
      <w:r>
        <w:rPr>
          <w:rFonts w:hint="eastAsia" w:eastAsiaTheme="minorEastAsia"/>
          <w:color w:val="auto"/>
          <w:highlight w:val="none"/>
        </w:rPr>
        <w:t>元。</w:t>
      </w:r>
      <w:r>
        <w:rPr>
          <w:rFonts w:eastAsiaTheme="minorEastAsia"/>
          <w:color w:val="auto"/>
          <w:highlight w:val="none"/>
        </w:rPr>
        <w:br w:type="page"/>
      </w:r>
    </w:p>
    <w:p>
      <w:pPr>
        <w:pStyle w:val="37"/>
        <w:rPr>
          <w:rFonts w:eastAsiaTheme="minorEastAsia"/>
          <w:color w:val="auto"/>
          <w:highlight w:val="none"/>
        </w:rPr>
      </w:pPr>
      <w:r>
        <w:rPr>
          <w:rFonts w:eastAsiaTheme="minorEastAsia"/>
          <w:color w:val="auto"/>
          <w:highlight w:val="none"/>
        </w:rPr>
        <w:t>专项储备</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!专项储备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240"/>
        <w:gridCol w:w="1377"/>
        <w:gridCol w:w="1442"/>
        <w:gridCol w:w="1442"/>
        <w:gridCol w:w="1375"/>
        <w:gridCol w:w="13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24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37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w:t>
            </w:r>
          </w:p>
        </w:tc>
        <w:tc>
          <w:tcPr>
            <w:tcW w:w="1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c>
          <w:tcPr>
            <w:tcW w:w="131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24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安全生产费</w:t>
            </w:r>
          </w:p>
        </w:tc>
        <w:tc>
          <w:tcPr>
            <w:tcW w:w="13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26,288,187.65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209,158,954.65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222,059,030.33</w:t>
            </w:r>
          </w:p>
        </w:tc>
        <w:tc>
          <w:tcPr>
            <w:tcW w:w="13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13,388,111.97</w:t>
            </w:r>
          </w:p>
        </w:tc>
        <w:tc>
          <w:tcPr>
            <w:tcW w:w="13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24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37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26,288,187.65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209,158,954.65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222,059,030.33</w:t>
            </w:r>
          </w:p>
        </w:tc>
        <w:tc>
          <w:tcPr>
            <w:tcW w:w="137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13,388,111.97</w:t>
            </w:r>
          </w:p>
        </w:tc>
        <w:tc>
          <w:tcPr>
            <w:tcW w:w="13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盈余公积</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!盈余公积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772"/>
        <w:gridCol w:w="1604"/>
        <w:gridCol w:w="1604"/>
        <w:gridCol w:w="1604"/>
        <w:gridCol w:w="16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7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1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w:t>
            </w:r>
          </w:p>
        </w:tc>
        <w:tc>
          <w:tcPr>
            <w:tcW w:w="1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w:t>
            </w:r>
          </w:p>
        </w:tc>
        <w:tc>
          <w:tcPr>
            <w:tcW w:w="16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法定盈余公积金</w:t>
            </w: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466,989,510.71</w:t>
            </w: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466,989,510.71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466,989,510.71</w:t>
            </w: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6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466,989,510.71</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未分配利润</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!未分配利润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72"/>
        <w:gridCol w:w="2258"/>
        <w:gridCol w:w="22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25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本期金额</w:t>
            </w:r>
          </w:p>
        </w:tc>
        <w:tc>
          <w:tcPr>
            <w:tcW w:w="225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上年年末余额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-25,806,459,189.66</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-22,513,002,165.56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期初调整金额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15,979,882.66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本期期初余额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-25,806,459,189.66</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-22,497,022,282.90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本期增加额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-543,673,983.84</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-2,591,168,934.88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其中：本期净利润转入</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-543,673,983.84</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-2,591,168,934.88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其他调整因素</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本期减少额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749,117,316.46</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718,267,971.88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其中：本期提取盈余公积数</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本期提取一般风险准备</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本期分配现金股利数</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转增资本</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永续债（基金）利息</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749,117,316.46</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718,267,971.88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其他减少</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7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本期期末余额</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-27,099,250,489.96</w:t>
            </w:r>
          </w:p>
        </w:tc>
        <w:tc>
          <w:tcPr>
            <w:tcW w:w="22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-25,806,459,189.66</w:t>
            </w:r>
          </w:p>
        </w:tc>
      </w:tr>
    </w:tbl>
    <w:p>
      <w:pPr>
        <w:pStyle w:val="38"/>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pPr>
    </w:p>
    <w:p>
      <w:pPr>
        <w:pStyle w:val="38"/>
        <w:rPr>
          <w:rFonts w:eastAsiaTheme="minorEastAsia"/>
          <w:color w:val="auto"/>
          <w:highlight w:val="none"/>
        </w:rPr>
      </w:pPr>
      <w:r>
        <w:rPr>
          <w:rFonts w:eastAsiaTheme="minorEastAsia"/>
          <w:color w:val="auto"/>
          <w:highlight w:val="none"/>
        </w:rPr>
        <w:br w:type="page"/>
      </w:r>
    </w:p>
    <w:p>
      <w:pPr>
        <w:pStyle w:val="37"/>
        <w:rPr>
          <w:rFonts w:eastAsiaTheme="minorEastAsia"/>
          <w:color w:val="auto"/>
          <w:highlight w:val="none"/>
        </w:rPr>
      </w:pPr>
      <w:r>
        <w:rPr>
          <w:rFonts w:eastAsiaTheme="minorEastAsia"/>
          <w:color w:val="auto"/>
          <w:highlight w:val="none"/>
        </w:rPr>
        <w:t>营业收入</w:t>
      </w:r>
      <w:r>
        <w:rPr>
          <w:rFonts w:hint="eastAsia" w:eastAsiaTheme="minorEastAsia"/>
          <w:color w:val="auto"/>
          <w:highlight w:val="none"/>
        </w:rPr>
        <w:t>、</w:t>
      </w:r>
      <w:r>
        <w:rPr>
          <w:rFonts w:eastAsiaTheme="minorEastAsia"/>
          <w:color w:val="auto"/>
          <w:highlight w:val="none"/>
        </w:rPr>
        <w:t>营业成本</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!营业收入和营业成本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60"/>
        <w:gridCol w:w="1533"/>
        <w:gridCol w:w="1534"/>
        <w:gridCol w:w="1592"/>
        <w:gridCol w:w="16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6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3067"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3261"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6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3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收入</w:t>
            </w:r>
          </w:p>
        </w:tc>
        <w:tc>
          <w:tcPr>
            <w:tcW w:w="153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成本</w:t>
            </w:r>
          </w:p>
        </w:tc>
        <w:tc>
          <w:tcPr>
            <w:tcW w:w="159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收入</w:t>
            </w:r>
          </w:p>
        </w:tc>
        <w:tc>
          <w:tcPr>
            <w:tcW w:w="166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成本</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1．主营业务小计</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15,338,363,901.00</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13,922,336,128.69</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16,706,559,682.60</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14,223,650,276.85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售电收入</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13,430,158,763.71</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11,045,418,117.46</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13,758,658,373.67</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11,471,652,441.32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其他收入</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1,908,205,137.29</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2,876,918,011.23</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2,947,901,308.93</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2,751,997,835.53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2．其他业务小计</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982,641,978.66</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862,235,433.87</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514,681,244.14</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290,564,236.82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粉煤灰及蒸汽销售</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17,876,233.84</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9,460,753.05</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48,674,082.38</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26,356,269.62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固定资产出租</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58,746,720.29</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28,095,161.03</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22,621,899.50</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10,795,616.42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发电委托运行</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116,837,418.91</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57,724,568.68</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102,929,826.83</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48,902,333.39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其他收入</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789,181,605.62</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766,954,951.11</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340,455,435.43</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204,510,017.39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6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5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16,321,005,879.66</w:t>
            </w:r>
          </w:p>
        </w:tc>
        <w:tc>
          <w:tcPr>
            <w:tcW w:w="153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14,784,571,562.56</w:t>
            </w:r>
          </w:p>
        </w:tc>
        <w:tc>
          <w:tcPr>
            <w:tcW w:w="159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17,221,240,926.74</w:t>
            </w:r>
          </w:p>
        </w:tc>
        <w:tc>
          <w:tcPr>
            <w:tcW w:w="166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14,514,214,513.67</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销售费用</w:t>
      </w:r>
      <w:r>
        <w:rPr>
          <w:rFonts w:hint="eastAsia" w:eastAsiaTheme="minorEastAsia"/>
          <w:color w:val="auto"/>
          <w:highlight w:val="none"/>
        </w:rPr>
        <w:t>、管理费用、研发费用、财务费用</w:t>
      </w:r>
    </w:p>
    <w:p>
      <w:pPr>
        <w:pStyle w:val="44"/>
        <w:rPr>
          <w:color w:val="auto"/>
          <w:highlight w:val="none"/>
        </w:rPr>
      </w:pPr>
      <w:r>
        <w:rPr>
          <w:rFonts w:hint="eastAsia"/>
          <w:color w:val="auto"/>
          <w:highlight w:val="none"/>
        </w:rPr>
        <w:t>销售费用</w:t>
      </w:r>
    </w:p>
    <w:p>
      <w:pPr>
        <w:pStyle w:val="35"/>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!销售费用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406"/>
        <w:gridCol w:w="24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40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运输费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37,966,797.36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44,730,366.53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职工薪酬</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19,306,296.43</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20,064,223.49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包装费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19,237,332.21</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33,641,341.47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装卸费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7,349,222.96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11,182,500.61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6,505,387.44</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8,125,260.48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材料费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1,543,601.56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3,199,922.73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仓储保管费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769,062.29</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样品及产品损耗</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575,267.33</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1,283,037.63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差旅费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290,056.56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440,210.61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折旧费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199,688.30</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179,632.33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租赁费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177,924.89</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1,582,740.41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业务招待费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103,087.00</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236,723.16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试验检验费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88,282.40</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33,482.45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修理费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58,233.37</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82,102.38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办公费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19,595.75</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56,525.53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广告宣传费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14,142.57</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7,862.18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452,525.18</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3,608,581.80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94,656,503.60</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128,454,513.79</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管理费用</w:t>
      </w:r>
    </w:p>
    <w:p>
      <w:pPr>
        <w:pStyle w:val="35"/>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!管理费用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436"/>
        <w:gridCol w:w="2376"/>
        <w:gridCol w:w="237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43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37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37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职工薪酬</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449,324,769.42</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442,740,397.36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折旧费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33,996,567.36</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35,728,115.26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咨询费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17,438,154.76</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16,524,336.97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物业管理费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15,034,906.02</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14,423,170.25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审计费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12,157,355.96</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12,373,659.38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租赁费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10,506,939.83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10,720,216.91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差旅费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10,125,810.64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10,285,753.77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车辆使用费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8,819,589.10</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8,987,316.85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无形资产摊销</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8,784,144.17</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8,005,323.81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信息化费用</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7,161,489.70</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6,956,785.43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律师费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5,106,429.03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5,038,751.86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3,609,369.23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3,779,739.15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评估费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3,320,278.71</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3,253,413.59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残疾人就业保障金</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3,924,340.17</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3,988,923.23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佣金及手续费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2,826,055.09</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2,865,003.28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修理费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2,970,316.63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3,045,188.11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保险费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2,936,921.54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2,989,931.55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业务招待费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2,579,709.45</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6,974,418.72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办公费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2,497,120.84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2,539,758.16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广告宣传费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2,194,521.13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2,255,026.83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运输费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1,748,565.46</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1,769,636.92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诉讼费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1,197,814.24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1,134,927.63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长期待摊费用摊销</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945,345.04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930,040.06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水费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620,989.99</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569,045.25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协会会费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636,953.94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647,169.81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取暖费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527,327.43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507,700.42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党建工作经费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991,553.18</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1,019,789.19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劳动保护费</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940,592.55</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1,017,733.88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低值易耗品摊销</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210,261.94</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600,974.33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37,490,019.63</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92,207,828.50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43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650,624,212.18</w:t>
            </w:r>
          </w:p>
        </w:tc>
        <w:tc>
          <w:tcPr>
            <w:tcW w:w="23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703,880,076.46</w:t>
            </w:r>
          </w:p>
        </w:tc>
      </w:tr>
    </w:tbl>
    <w:p>
      <w:pPr>
        <w:pStyle w:val="35"/>
        <w:rPr>
          <w:color w:val="auto"/>
          <w:highlight w:val="none"/>
        </w:rPr>
      </w:pPr>
      <w:r>
        <w:rPr>
          <w:color w:val="auto"/>
          <w:highlight w:val="none"/>
        </w:rPr>
        <w:fldChar w:fldCharType="end"/>
      </w:r>
      <w:r>
        <w:rPr>
          <w:color w:val="auto"/>
          <w:highlight w:val="none"/>
        </w:rPr>
        <w:br w:type="page"/>
      </w:r>
    </w:p>
    <w:p>
      <w:pPr>
        <w:pStyle w:val="44"/>
        <w:rPr>
          <w:color w:val="auto"/>
          <w:highlight w:val="none"/>
        </w:rPr>
      </w:pPr>
      <w:r>
        <w:rPr>
          <w:color w:val="auto"/>
          <w:highlight w:val="none"/>
        </w:rPr>
        <w:t>研发费用</w:t>
      </w:r>
    </w:p>
    <w:p>
      <w:pPr>
        <w:pStyle w:val="3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"合并附注!研发费用"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职工薪酬</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98,231,189.33</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252,154,802.45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折旧费</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112,291.54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43,798.65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委托开发费</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咨询费</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65,653.66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31,235,962.47</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33,181,838.69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129,579,443.34</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285,646,093.45</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财务费用</w:t>
      </w:r>
    </w:p>
    <w:p>
      <w:pPr>
        <w:pStyle w:val="35"/>
        <w:rPr>
          <w:color w:val="auto"/>
          <w:highlight w:val="none"/>
        </w:rPr>
      </w:pPr>
      <w:r>
        <w:rPr>
          <w:b/>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hint="eastAsia" w:eastAsiaTheme="minorEastAsia"/>
          <w:color w:val="auto"/>
          <w:highlight w:val="none"/>
        </w:rPr>
        <w:instrText xml:space="preserve">合并附注</w:instrText>
      </w:r>
      <w:r>
        <w:rPr>
          <w:color w:val="auto"/>
          <w:highlight w:val="none"/>
        </w:rPr>
        <w:instrText xml:space="preserve">!财务费用 \f 4 \h \* MERGEFORMAT </w:instrText>
      </w:r>
      <w:r>
        <w:rPr>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53"/>
        <w:gridCol w:w="2130"/>
        <w:gridCol w:w="240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类别</w:t>
            </w:r>
          </w:p>
        </w:tc>
        <w:tc>
          <w:tcPr>
            <w:tcW w:w="213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40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利息费用</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1,555,891,589.30</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1,661,311,374.51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其中：租赁负债利息费用</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40,081,605.27</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20,726,768.18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减：利息收入</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66,264,900.15</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53,867,012.53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汇兑净损失（净收益以“-”号填列）</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其中：汇兑收益</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汇兑损失</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45,582,778.79</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87,925,166.29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13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1,535,209,467.94</w:t>
            </w:r>
          </w:p>
        </w:tc>
        <w:tc>
          <w:tcPr>
            <w:tcW w:w="24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1,695,369,528.27</w:t>
            </w:r>
          </w:p>
        </w:tc>
      </w:tr>
    </w:tbl>
    <w:p>
      <w:pPr>
        <w:pStyle w:val="35"/>
        <w:rPr>
          <w:rFonts w:eastAsiaTheme="minorEastAsia"/>
          <w:color w:val="auto"/>
          <w:highlight w:val="none"/>
        </w:rPr>
      </w:pPr>
      <w:r>
        <w:rPr>
          <w:color w:val="auto"/>
          <w:highlight w:val="none"/>
        </w:rPr>
        <w:fldChar w:fldCharType="end"/>
      </w:r>
    </w:p>
    <w:p>
      <w:pPr>
        <w:pStyle w:val="37"/>
        <w:rPr>
          <w:rFonts w:eastAsiaTheme="minorEastAsia"/>
          <w:color w:val="auto"/>
          <w:highlight w:val="none"/>
        </w:rPr>
      </w:pPr>
      <w:r>
        <w:rPr>
          <w:rFonts w:hint="eastAsia"/>
          <w:color w:val="auto"/>
          <w:highlight w:val="none"/>
        </w:rPr>
        <w:t>其他收益</w:t>
      </w:r>
    </w:p>
    <w:p>
      <w:pPr>
        <w:pStyle w:val="38"/>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"D:\\tonylee\\立信\\新附注排版工具\\2016央企年报格式\\中央企业财务报表和报表附注20170109V1.xlsm" "合并附注!其他收益"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53"/>
        <w:gridCol w:w="1676"/>
        <w:gridCol w:w="1372"/>
        <w:gridCol w:w="14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67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是否为政府补助</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政府补助-与日常经营活动相关</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83,611,508.37</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243,820,657.60</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是</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增值税返还</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1,630,330.04</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1,226,464.50</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个人手续费返还</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1,053,932.23</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560,345.61</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按照当期可抵扣进项税加计扣除的进项税额</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5,850.00</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117,535.29</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114,195.37</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356,710.17</w:t>
            </w:r>
          </w:p>
        </w:tc>
        <w:tc>
          <w:tcPr>
            <w:tcW w:w="14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86,415,816.01</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246,081,713.17</w:t>
            </w:r>
          </w:p>
        </w:tc>
        <w:tc>
          <w:tcPr>
            <w:tcW w:w="14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其中：政府补助</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83,611,508.37</w:t>
            </w:r>
          </w:p>
        </w:tc>
        <w:tc>
          <w:tcPr>
            <w:tcW w:w="137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243,820,657.60</w:t>
            </w:r>
          </w:p>
        </w:tc>
        <w:tc>
          <w:tcPr>
            <w:tcW w:w="1487"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bl>
    <w:p>
      <w:pPr>
        <w:pStyle w:val="38"/>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pPr>
      <w:r>
        <w:rPr>
          <w:rFonts w:eastAsiaTheme="minorEastAsia"/>
          <w:color w:val="auto"/>
          <w:highlight w:val="none"/>
        </w:rPr>
        <w:br w:type="page"/>
      </w:r>
    </w:p>
    <w:p>
      <w:pPr>
        <w:pStyle w:val="37"/>
        <w:rPr>
          <w:rFonts w:eastAsiaTheme="minorEastAsia"/>
          <w:color w:val="auto"/>
          <w:highlight w:val="none"/>
        </w:rPr>
      </w:pPr>
      <w:r>
        <w:rPr>
          <w:rFonts w:eastAsiaTheme="minorEastAsia"/>
          <w:color w:val="auto"/>
          <w:highlight w:val="none"/>
        </w:rPr>
        <w:t>投资收益</w:t>
      </w:r>
    </w:p>
    <w:p>
      <w:pPr>
        <w:pStyle w:val="38"/>
        <w:rPr>
          <w:rFonts w:eastAsiaTheme="minorEastAsia"/>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!投资收益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712"/>
        <w:gridCol w:w="1738"/>
        <w:gridCol w:w="17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71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7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7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权益法核算的长期股权投资收益</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44,407,853.19</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151,635,581.26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处置长期股权投资产生的投资收益</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1,650,139,459.22</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42,025,109.16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其他权益工具投资持有期间的投资收益</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36,232,800.00</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36,710,930.00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取得控制权时，股权按公允价值重新计量产生的利得</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347,190,654.27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委贷利息收益</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82,684,447.91</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80,242,508.74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139,673.30</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1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1,813,604,233.62</w:t>
            </w:r>
          </w:p>
        </w:tc>
        <w:tc>
          <w:tcPr>
            <w:tcW w:w="173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657,804,783.43</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公允价值变动收益</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!公允价值变动收益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778"/>
        <w:gridCol w:w="1706"/>
        <w:gridCol w:w="17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77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产生公允价值变动收益的来源</w:t>
            </w:r>
          </w:p>
        </w:tc>
        <w:tc>
          <w:tcPr>
            <w:tcW w:w="1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7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7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按公允价值计量的投资性房地产</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-24,724,161.36</w:t>
            </w:r>
          </w:p>
        </w:tc>
        <w:tc>
          <w:tcPr>
            <w:tcW w:w="17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-16,471,236.91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77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7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-24,724,161.36</w:t>
            </w:r>
          </w:p>
        </w:tc>
        <w:tc>
          <w:tcPr>
            <w:tcW w:w="17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-16,471,236.91</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信用</w:t>
      </w:r>
      <w:r>
        <w:rPr>
          <w:rFonts w:eastAsiaTheme="minorEastAsia"/>
          <w:color w:val="auto"/>
          <w:highlight w:val="none"/>
        </w:rPr>
        <w:t>减值损失</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w:instrText>
      </w:r>
      <w:r>
        <w:rPr>
          <w:rFonts w:hint="eastAsia" w:eastAsiaTheme="minorEastAsia"/>
          <w:color w:val="auto"/>
          <w:highlight w:val="none"/>
        </w:rPr>
        <w:instrText xml:space="preserve">信用</w:instrText>
      </w:r>
      <w:r>
        <w:rPr>
          <w:rFonts w:eastAsiaTheme="minorEastAsia"/>
          <w:color w:val="auto"/>
          <w:highlight w:val="none"/>
        </w:rPr>
        <w:instrText xml:space="preserve">减值损失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406"/>
        <w:gridCol w:w="24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40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12,183,109.32</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796,874,509.75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其他债权投资减值损失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-1,960,500,000.00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12,183,109.32</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-1,163,625,490.25</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资产减值损失</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!资产减值损失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406"/>
        <w:gridCol w:w="24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40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存货跌价损失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-524,325.46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固定资产减值损失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508,041,073.66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764,498.66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在建工程减值损失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1,011,766.47</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2,751,328.27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商誉减值损失</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3,501,241,469.15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坏账损失（预付款项）</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-5,626,191.31</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-6,735,334.29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502,902,323.36</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3,498,021,961.79</w:t>
            </w:r>
          </w:p>
        </w:tc>
      </w:tr>
    </w:tbl>
    <w:p>
      <w:pPr>
        <w:pStyle w:val="38"/>
        <w:rPr>
          <w:rFonts w:eastAsiaTheme="minorEastAsia"/>
          <w:color w:val="auto"/>
          <w:highlight w:val="none"/>
        </w:rPr>
      </w:pPr>
      <w:r>
        <w:rPr>
          <w:rFonts w:eastAsiaTheme="minorEastAsia"/>
          <w:color w:val="auto"/>
          <w:highlight w:val="none"/>
        </w:rPr>
        <w:fldChar w:fldCharType="end"/>
      </w:r>
    </w:p>
    <w:p>
      <w:pPr>
        <w:pStyle w:val="38"/>
        <w:rPr>
          <w:rFonts w:eastAsiaTheme="minorEastAsia"/>
          <w:color w:val="auto"/>
          <w:highlight w:val="none"/>
        </w:rPr>
      </w:pPr>
      <w:r>
        <w:rPr>
          <w:rFonts w:eastAsiaTheme="minorEastAsia"/>
          <w:color w:val="auto"/>
          <w:highlight w:val="none"/>
        </w:rPr>
        <w:br w:type="page"/>
      </w:r>
    </w:p>
    <w:p>
      <w:pPr>
        <w:pStyle w:val="37"/>
        <w:rPr>
          <w:rFonts w:eastAsiaTheme="minorEastAsia"/>
          <w:color w:val="auto"/>
          <w:highlight w:val="none"/>
        </w:rPr>
      </w:pPr>
      <w:r>
        <w:rPr>
          <w:rFonts w:hint="eastAsia" w:eastAsiaTheme="minorEastAsia"/>
          <w:color w:val="auto"/>
          <w:highlight w:val="none"/>
        </w:rPr>
        <w:t>资产处置收益</w:t>
      </w:r>
    </w:p>
    <w:p>
      <w:pPr>
        <w:pStyle w:val="38"/>
        <w:rPr>
          <w:rFonts w:asciiTheme="minorHAnsi" w:hAnsiTheme="minorHAnsi" w:eastAsiaTheme="minorEastAsia" w:cstheme="minorBidi"/>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"D:\\vsWorkspace\\branches\\20180822\\StandardTemplateTool\\template\\SASAC\\Frame\\201812\\SASACFinancialReports.xlsm" "合并附注!资产处置收益"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92"/>
        <w:gridCol w:w="2305"/>
        <w:gridCol w:w="219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30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19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固定资产处置利得或损失</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130,879,954.49</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393,982.36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在建工程处置利得或损失</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160,739,624.90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9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30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130,879,954.49</w:t>
            </w:r>
          </w:p>
        </w:tc>
        <w:tc>
          <w:tcPr>
            <w:tcW w:w="219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161,133,607.26</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营业外收入</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!营业外收入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043"/>
        <w:gridCol w:w="1525"/>
        <w:gridCol w:w="1371"/>
        <w:gridCol w:w="22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04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违约金收入</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24,515,701.22</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1,343,851.51</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24,515,701.22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经批准无需支付的应付款项</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18,373,985.87</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18,373,985.87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罚款净收入</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2,618,401.43</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1,803,276.95</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2,618,401.43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与企业日常活动无关的政府补助</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325,473.00</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200,900.00</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325,473.00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非流动资产毁损报废利得</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63,216.95</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811,067.47</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63,216.95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预计负债担保减少</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222,000.00</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800,000.00</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222,000.00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盘盈利得</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12,551.40</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3,251.77</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12,551.40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152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9,846,113.29</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19,091,719.43</w:t>
            </w:r>
          </w:p>
        </w:tc>
        <w:tc>
          <w:tcPr>
            <w:tcW w:w="224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9,846,113.29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04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52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55,977,443.16</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24,054,067.13</w:t>
            </w:r>
          </w:p>
        </w:tc>
        <w:tc>
          <w:tcPr>
            <w:tcW w:w="224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55,977,443.16</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营业外支出</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!营业外支出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990"/>
        <w:gridCol w:w="1523"/>
        <w:gridCol w:w="1442"/>
        <w:gridCol w:w="223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9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52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c>
          <w:tcPr>
            <w:tcW w:w="223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碳资产支出</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223,671,195.63</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97,947,182.88</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223,671,195.63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违约金及滞纳金</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17,321,328.96</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1,300,225.87</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17,321,328.96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罚款支出</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2,673,660.29</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13,713,909.05</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2,673,660.29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对外捐赠</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1,937,355.03</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2,659,000.00</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1,937,355.03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非流动资产毁损报废损失</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41,777.23</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1,723,155.98</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41,777.23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非常损失</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9,620.00</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其他支出</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5,997,272.26</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22,733,678.53</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5,997,272.26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9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52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251,642,589.40</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140,086,772.31</w:t>
            </w:r>
          </w:p>
        </w:tc>
        <w:tc>
          <w:tcPr>
            <w:tcW w:w="223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251,642,589.40</w:t>
            </w:r>
          </w:p>
        </w:tc>
      </w:tr>
    </w:tbl>
    <w:p>
      <w:pPr>
        <w:pStyle w:val="38"/>
        <w:rPr>
          <w:rFonts w:eastAsiaTheme="minorEastAsia"/>
          <w:color w:val="auto"/>
          <w:highlight w:val="none"/>
        </w:rPr>
      </w:pPr>
      <w:r>
        <w:rPr>
          <w:rFonts w:eastAsiaTheme="minorEastAsia"/>
          <w:color w:val="auto"/>
          <w:highlight w:val="none"/>
        </w:rPr>
        <w:fldChar w:fldCharType="end"/>
      </w:r>
      <w:r>
        <w:rPr>
          <w:rFonts w:eastAsiaTheme="minorEastAsia"/>
          <w:color w:val="auto"/>
          <w:highlight w:val="none"/>
        </w:rPr>
        <w:br w:type="page"/>
      </w:r>
    </w:p>
    <w:p>
      <w:pPr>
        <w:pStyle w:val="37"/>
        <w:rPr>
          <w:rFonts w:eastAsiaTheme="minorEastAsia"/>
          <w:color w:val="auto"/>
          <w:highlight w:val="none"/>
        </w:rPr>
      </w:pPr>
      <w:r>
        <w:rPr>
          <w:rFonts w:eastAsiaTheme="minorEastAsia"/>
          <w:color w:val="auto"/>
          <w:highlight w:val="none"/>
        </w:rPr>
        <w:t>所得税费用</w:t>
      </w:r>
    </w:p>
    <w:p>
      <w:pPr>
        <w:pStyle w:val="38"/>
        <w:rPr>
          <w:color w:val="auto"/>
          <w:highlight w:val="none"/>
        </w:rPr>
      </w:pPr>
      <w:r>
        <w:rPr>
          <w:b/>
          <w:bCs/>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合并附注</w:instrText>
      </w:r>
      <w:r>
        <w:rPr>
          <w:color w:val="auto"/>
          <w:highlight w:val="none"/>
        </w:rPr>
        <w:instrText xml:space="preserve">!所得税费用 \f 4 \h \* MERGEFORMAT </w:instrText>
      </w:r>
      <w:r>
        <w:rPr>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375"/>
        <w:gridCol w:w="2406"/>
        <w:gridCol w:w="24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4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40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当期所得税费用</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110,737,356.00</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155,207,935.36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递延所得税调整</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28,837,689.74</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21,049,306.48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37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240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139,575,045.74</w:t>
            </w:r>
          </w:p>
        </w:tc>
        <w:tc>
          <w:tcPr>
            <w:tcW w:w="240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176,257,241.84</w:t>
            </w:r>
          </w:p>
        </w:tc>
      </w:tr>
    </w:tbl>
    <w:p>
      <w:pPr>
        <w:pStyle w:val="38"/>
        <w:rPr>
          <w:color w:val="auto"/>
          <w:highlight w:val="none"/>
        </w:rPr>
      </w:pPr>
      <w:r>
        <w:rPr>
          <w:color w:val="auto"/>
          <w:highlight w:val="none"/>
        </w:rPr>
        <w:fldChar w:fldCharType="end"/>
      </w:r>
    </w:p>
    <w:p>
      <w:pPr>
        <w:pStyle w:val="38"/>
        <w:rPr>
          <w:rFonts w:eastAsiaTheme="minorEastAsia"/>
          <w:color w:val="auto"/>
          <w:highlight w:val="none"/>
        </w:rPr>
        <w:sectPr>
          <w:pgSz w:w="11907" w:h="16839"/>
          <w:pgMar w:top="1440" w:right="1797" w:bottom="1440" w:left="1797" w:header="680" w:footer="992" w:gutter="0"/>
          <w:cols w:space="425" w:num="1"/>
          <w:docGrid w:linePitch="312" w:charSpace="0"/>
        </w:sectPr>
      </w:pPr>
    </w:p>
    <w:p>
      <w:pPr>
        <w:pStyle w:val="37"/>
        <w:rPr>
          <w:rFonts w:eastAsiaTheme="minorEastAsia"/>
          <w:color w:val="auto"/>
          <w:highlight w:val="none"/>
        </w:rPr>
      </w:pPr>
      <w:r>
        <w:rPr>
          <w:rFonts w:hint="eastAsia"/>
          <w:color w:val="auto"/>
          <w:highlight w:val="none"/>
        </w:rPr>
        <w:t>归属于母公司所有者的</w:t>
      </w:r>
      <w:r>
        <w:rPr>
          <w:rFonts w:hint="eastAsia" w:eastAsiaTheme="minorEastAsia"/>
          <w:color w:val="auto"/>
          <w:highlight w:val="none"/>
        </w:rPr>
        <w:t>其他综合收益</w:t>
      </w:r>
    </w:p>
    <w:p>
      <w:pPr>
        <w:pStyle w:val="38"/>
        <w:rPr>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"D:\\tonylee\\立信\\新附注排版工具\\2015央企年报格式\\中央企业财务报表和报表附注20160818.xlsm" "合并附注!其他综合收益"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261"/>
        <w:gridCol w:w="1558"/>
        <w:gridCol w:w="1556"/>
        <w:gridCol w:w="1559"/>
        <w:gridCol w:w="1556"/>
        <w:gridCol w:w="1556"/>
        <w:gridCol w:w="15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26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4673"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467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26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5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税前金额</w:t>
            </w:r>
          </w:p>
        </w:tc>
        <w:tc>
          <w:tcPr>
            <w:tcW w:w="155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所得税</w:t>
            </w:r>
          </w:p>
        </w:tc>
        <w:tc>
          <w:tcPr>
            <w:tcW w:w="155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税后净额</w:t>
            </w:r>
          </w:p>
        </w:tc>
        <w:tc>
          <w:tcPr>
            <w:tcW w:w="155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税前金额</w:t>
            </w:r>
          </w:p>
        </w:tc>
        <w:tc>
          <w:tcPr>
            <w:tcW w:w="155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所得税</w:t>
            </w:r>
          </w:p>
        </w:tc>
        <w:tc>
          <w:tcPr>
            <w:tcW w:w="156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税后净额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一、不能重分类进损益的其他综合收益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1、重新计量设定受益计划变动额</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2、权益法下不能转损益的其他综合收益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3、其他权益工具投资公允价值变动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4、企业自身信用风险公允价值变动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5、不能转损益的保险合同金融变动（金融企业适用）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6、其他</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二、将重分类进损益的其他综合收益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1、权益法下可转损益的其他综合收益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2、其他债权投资公允价值变动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3、金融资产重分类计入其他综合收益的金额</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4、其他债权投资信用减值准备</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5、现金流量套期储备（现金流量套期损益的有效部分）</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减：转为被套期项目初始确认金额的调整额</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6、外币财务报表折算差额</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7、可转损益的保险合同金融变动（金融企业适用）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8、可转损益的分出再保险合同金融变动（金融企业适用）</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9、其他</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减：前期计入其他综合收益当期转入损益</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小计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三、其他综合收益合计</w:t>
            </w:r>
          </w:p>
        </w:tc>
        <w:tc>
          <w:tcPr>
            <w:tcW w:w="155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59"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24,204,325.40</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c>
          <w:tcPr>
            <w:tcW w:w="1556"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6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40,849,935.68</w:t>
            </w:r>
          </w:p>
        </w:tc>
      </w:tr>
    </w:tbl>
    <w:p>
      <w:pPr>
        <w:pStyle w:val="38"/>
        <w:rPr>
          <w:color w:val="auto"/>
          <w:highlight w:val="none"/>
        </w:rPr>
      </w:pPr>
      <w:r>
        <w:rPr>
          <w:color w:val="auto"/>
          <w:highlight w:val="none"/>
        </w:rPr>
        <w:fldChar w:fldCharType="end"/>
      </w:r>
    </w:p>
    <w:p>
      <w:pPr>
        <w:pStyle w:val="38"/>
        <w:rPr>
          <w:rFonts w:eastAsiaTheme="minorEastAsia"/>
          <w:color w:val="auto"/>
          <w:highlight w:val="none"/>
        </w:rPr>
        <w:sectPr>
          <w:pgSz w:w="16839" w:h="11907" w:orient="landscape"/>
          <w:pgMar w:top="1797" w:right="1440" w:bottom="1797" w:left="1440" w:header="794" w:footer="992" w:gutter="0"/>
          <w:cols w:space="425" w:num="1"/>
          <w:docGrid w:linePitch="312" w:charSpace="0"/>
        </w:sectPr>
      </w:pPr>
    </w:p>
    <w:p>
      <w:pPr>
        <w:pStyle w:val="37"/>
        <w:rPr>
          <w:rFonts w:eastAsiaTheme="minorEastAsia"/>
          <w:color w:val="auto"/>
          <w:highlight w:val="none"/>
        </w:rPr>
      </w:pPr>
      <w:r>
        <w:rPr>
          <w:rFonts w:hint="eastAsia" w:eastAsiaTheme="minorEastAsia"/>
          <w:color w:val="auto"/>
          <w:highlight w:val="none"/>
        </w:rPr>
        <w:t>合并</w:t>
      </w:r>
      <w:r>
        <w:rPr>
          <w:rFonts w:eastAsiaTheme="minorEastAsia"/>
          <w:color w:val="auto"/>
          <w:highlight w:val="none"/>
        </w:rPr>
        <w:t>现金流量表</w:t>
      </w:r>
    </w:p>
    <w:p>
      <w:pPr>
        <w:pStyle w:val="44"/>
        <w:rPr>
          <w:rFonts w:eastAsiaTheme="minorEastAsia"/>
          <w:color w:val="auto"/>
          <w:highlight w:val="none"/>
        </w:rPr>
      </w:pPr>
      <w:r>
        <w:rPr>
          <w:rFonts w:hint="eastAsia"/>
          <w:bCs/>
          <w:color w:val="auto"/>
          <w:kern w:val="0"/>
          <w:highlight w:val="none"/>
        </w:rPr>
        <w:t>将净利润调节为经营活动现金流量的信息情况</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!现金流量表补充资料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532"/>
        <w:gridCol w:w="1828"/>
        <w:gridCol w:w="18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53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补充资料</w:t>
            </w:r>
          </w:p>
        </w:tc>
        <w:tc>
          <w:tcPr>
            <w:tcW w:w="182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182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1、将净利润调节为经营活动现金流量：</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净利润</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70,098,978.14</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-1,894,699,948.82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加：资产减值损失</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502,902,323.36</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3,498,021,961.79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信用减值损失</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12,183,109.32</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-1,163,625,490.25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固定资产折旧、油气资产折耗、生产性生物资产折旧</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2,830,893,298.73</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2,554,639,881.31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使用权资产折旧</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262,635,700.66</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148,665,475.86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无形资产摊销</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67,048,610.41</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63,226,322.93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长期待摊费用摊销</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18,205,905.98</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111,695,978.78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处置固定资产、无形资产和其他长期资产的损失（收益以“－”号填列）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-130,879,954.49</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-161,133,607.26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固定资产报废损失（收益以“－”号填列）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-21,439.72</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912,088.51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公允价值变动损失（收益以“－”号填列）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24,724,161.36</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16,471,236.91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财务费用（收益以“－”号填列）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1,555,891,589.30</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1,661,311,374.51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投资损失（收益以“－”号填列）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-1,813,604,233.62</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-657,804,783.43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递延所得税资产减少（增加以“－”号填列）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38,780,697.53</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15,768,216.10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递延所得税负债增加（减少以“－”号填列）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2,445,165.75</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25,646,059.36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存货的减少（增加以“－”号填列）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266,117,435.39</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-821,144,382.92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经营性应收项目的减少（增加以“－”号填列）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128,168,311.57</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988,575,700.55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经营性应付项目的增加（减少以“－”号填列）</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1,355,195,042.85</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-863,140,529.45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其他</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经营活动产生的现金流量净额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5,190,784,702.52</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3,523,385,554.48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2、不涉及现金收支的重大投资和筹资活动：</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债务转为资本</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一年内到期的可转换公司债券</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融资租入固定资产</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3、现金及现金等价物净变动情况：</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现金的期末余额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1,412,627,196.98</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895,717,263.20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减：现金的期初余额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895,717,263.20</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3,344,957,010.36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加：现金等价物的期末余额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减：现金等价物的期初余额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453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现金及现金等价物净增加额</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516,909,933.78</w:t>
            </w:r>
          </w:p>
        </w:tc>
        <w:tc>
          <w:tcPr>
            <w:tcW w:w="182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-2,449,239,747.16</w:t>
            </w:r>
          </w:p>
        </w:tc>
      </w:tr>
    </w:tbl>
    <w:p>
      <w:pPr>
        <w:pStyle w:val="35"/>
        <w:rPr>
          <w:rFonts w:eastAsiaTheme="minorEastAsia"/>
          <w:color w:val="auto"/>
          <w:highlight w:val="none"/>
        </w:rPr>
      </w:pPr>
      <w:r>
        <w:rPr>
          <w:rFonts w:eastAsiaTheme="minorEastAsia"/>
          <w:color w:val="auto"/>
          <w:highlight w:val="none"/>
        </w:rPr>
        <w:fldChar w:fldCharType="end"/>
      </w:r>
      <w:r>
        <w:rPr>
          <w:rFonts w:eastAsiaTheme="minorEastAsia"/>
          <w:color w:val="auto"/>
          <w:highlight w:val="none"/>
        </w:rPr>
        <w:br w:type="page"/>
      </w:r>
    </w:p>
    <w:p>
      <w:pPr>
        <w:pStyle w:val="44"/>
        <w:rPr>
          <w:rFonts w:eastAsiaTheme="minorEastAsia"/>
          <w:color w:val="auto"/>
          <w:highlight w:val="none"/>
        </w:rPr>
      </w:pPr>
      <w:r>
        <w:rPr>
          <w:rFonts w:hint="eastAsia"/>
          <w:color w:val="auto"/>
          <w:highlight w:val="none"/>
        </w:rPr>
        <w:t>本期取得子公司和收到处置子公司的现金净额情况</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!现金流量表补充资料1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5515"/>
        <w:gridCol w:w="267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551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267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一、本期发生的企业合并于本期支付的现金或现金等价物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减：购买日子公司持有的现金及现金等价物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18,150,881.90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加：以前期间发生的企业合并于本期支付的现金或现金等价物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取得子公司支付的现金净额</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-18,150,881.90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二、本期处置子公司于本期收到的现金或现金等价物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减：丧失控制权日子公司持有的现金及现金等价物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21,839,580.24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加：以前期间处置子公司于本期收到的现金或现金等价物</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5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处置子公司收到的现金净额</w:t>
            </w:r>
          </w:p>
        </w:tc>
        <w:tc>
          <w:tcPr>
            <w:tcW w:w="2673"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-17,839,580.24</w:t>
            </w:r>
          </w:p>
        </w:tc>
      </w:tr>
    </w:tbl>
    <w:p>
      <w:pPr>
        <w:pStyle w:val="35"/>
        <w:rPr>
          <w:color w:val="auto"/>
          <w:highlight w:val="none"/>
        </w:rPr>
      </w:pPr>
      <w:r>
        <w:rPr>
          <w:rFonts w:eastAsiaTheme="minorEastAsia"/>
          <w:color w:val="auto"/>
          <w:highlight w:val="none"/>
        </w:rPr>
        <w:fldChar w:fldCharType="end"/>
      </w:r>
    </w:p>
    <w:p>
      <w:pPr>
        <w:pStyle w:val="44"/>
        <w:rPr>
          <w:rFonts w:eastAsiaTheme="minorEastAsia"/>
          <w:color w:val="auto"/>
          <w:highlight w:val="none"/>
        </w:rPr>
      </w:pPr>
      <w:r>
        <w:rPr>
          <w:rFonts w:eastAsiaTheme="minorEastAsia"/>
          <w:color w:val="auto"/>
          <w:highlight w:val="none"/>
        </w:rPr>
        <w:t>现金和现金等价物的构成</w:t>
      </w:r>
    </w:p>
    <w:p>
      <w:pPr>
        <w:pStyle w:val="35"/>
        <w:rPr>
          <w:rFonts w:eastAsiaTheme="minorEastAsia"/>
          <w:color w:val="auto"/>
          <w:szCs w:val="22"/>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!现金流量表补充资料3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414"/>
        <w:gridCol w:w="1887"/>
        <w:gridCol w:w="18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41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8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c>
          <w:tcPr>
            <w:tcW w:w="188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一、现金</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1,412,627,196.98</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895,717,263.20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其中：库存现金</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可随时用于支付的数字货币</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可随时用于支付的银行存款</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1,412,627,196.98</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895,717,263.20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可随时用于支付的其他货币资金</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二、现金等价物</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其中：三个月内到期的债券投资</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三、期末现金及现金等价物余额</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1,412,627,196.98</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895,717,263.20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4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其中：母公司或集团内子公司使用受限制的现金和现金等价物</w:t>
            </w: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88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所有权</w:t>
      </w:r>
      <w:r>
        <w:rPr>
          <w:rFonts w:hint="eastAsia" w:eastAsiaTheme="minorEastAsia"/>
          <w:color w:val="auto"/>
          <w:highlight w:val="none"/>
        </w:rPr>
        <w:t>或</w:t>
      </w:r>
      <w:r>
        <w:rPr>
          <w:rFonts w:eastAsiaTheme="minorEastAsia"/>
          <w:color w:val="auto"/>
          <w:highlight w:val="none"/>
        </w:rPr>
        <w:t>使用权受到限制的资产</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合并附注</w:instrText>
      </w:r>
      <w:r>
        <w:rPr>
          <w:rFonts w:eastAsiaTheme="minorEastAsia"/>
          <w:color w:val="auto"/>
          <w:highlight w:val="none"/>
        </w:rPr>
        <w:instrText xml:space="preserve">!所有权或使用权受到限制的资产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338"/>
        <w:gridCol w:w="1935"/>
        <w:gridCol w:w="39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w:t>
            </w:r>
          </w:p>
        </w:tc>
        <w:tc>
          <w:tcPr>
            <w:tcW w:w="193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期末账面价值</w:t>
            </w:r>
          </w:p>
        </w:tc>
        <w:tc>
          <w:tcPr>
            <w:tcW w:w="391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受限原因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货币资金</w:t>
            </w:r>
          </w:p>
        </w:tc>
        <w:tc>
          <w:tcPr>
            <w:tcW w:w="19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58,031,822.32</w:t>
            </w:r>
          </w:p>
        </w:tc>
        <w:tc>
          <w:tcPr>
            <w:tcW w:w="39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保证金、司法冻结</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应收账款</w:t>
            </w:r>
          </w:p>
        </w:tc>
        <w:tc>
          <w:tcPr>
            <w:tcW w:w="19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2,311,547,116.86</w:t>
            </w:r>
          </w:p>
        </w:tc>
        <w:tc>
          <w:tcPr>
            <w:tcW w:w="39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电费收费权质押借款</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固定资产</w:t>
            </w:r>
          </w:p>
        </w:tc>
        <w:tc>
          <w:tcPr>
            <w:tcW w:w="19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5,472,245,449.78</w:t>
            </w:r>
          </w:p>
        </w:tc>
        <w:tc>
          <w:tcPr>
            <w:tcW w:w="39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长期借款质押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使用权资产</w:t>
            </w:r>
          </w:p>
        </w:tc>
        <w:tc>
          <w:tcPr>
            <w:tcW w:w="19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292,566,154.21</w:t>
            </w:r>
          </w:p>
        </w:tc>
        <w:tc>
          <w:tcPr>
            <w:tcW w:w="39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融资租赁抵押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3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合计</w:t>
            </w:r>
          </w:p>
        </w:tc>
        <w:tc>
          <w:tcPr>
            <w:tcW w:w="193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8,134,390,543.17</w:t>
            </w:r>
          </w:p>
        </w:tc>
        <w:tc>
          <w:tcPr>
            <w:tcW w:w="391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r>
    </w:tbl>
    <w:p>
      <w:pPr>
        <w:pStyle w:val="38"/>
        <w:rPr>
          <w:rFonts w:eastAsiaTheme="minorEastAsia"/>
          <w:color w:val="auto"/>
          <w:highlight w:val="none"/>
        </w:rPr>
      </w:pPr>
      <w:r>
        <w:rPr>
          <w:rFonts w:eastAsiaTheme="minorEastAsia"/>
          <w:color w:val="auto"/>
          <w:highlight w:val="none"/>
        </w:rPr>
        <w:fldChar w:fldCharType="end"/>
      </w:r>
    </w:p>
    <w:p>
      <w:pPr>
        <w:pStyle w:val="43"/>
        <w:rPr>
          <w:color w:val="auto"/>
          <w:highlight w:val="none"/>
        </w:rPr>
      </w:pPr>
      <w:r>
        <w:rPr>
          <w:color w:val="auto"/>
          <w:highlight w:val="none"/>
        </w:rPr>
        <w:br w:type="column"/>
      </w:r>
      <w:r>
        <w:rPr>
          <w:color w:val="auto"/>
          <w:highlight w:val="none"/>
        </w:rPr>
        <w:t>或有事项</w:t>
      </w:r>
    </w:p>
    <w:p>
      <w:pPr>
        <w:pStyle w:val="37"/>
        <w:rPr>
          <w:rFonts w:eastAsiaTheme="minorEastAsia"/>
          <w:color w:val="auto"/>
          <w:highlight w:val="none"/>
        </w:rPr>
      </w:pPr>
      <w:r>
        <w:rPr>
          <w:color w:val="auto"/>
          <w:highlight w:val="none"/>
        </w:rPr>
        <w:t>或有负债</w:t>
      </w:r>
    </w:p>
    <w:p>
      <w:pPr>
        <w:pStyle w:val="44"/>
        <w:rPr>
          <w:color w:val="auto"/>
          <w:highlight w:val="none"/>
        </w:rPr>
      </w:pPr>
      <w:r>
        <w:rPr>
          <w:rFonts w:hint="eastAsia"/>
          <w:color w:val="auto"/>
          <w:highlight w:val="none"/>
        </w:rPr>
        <w:t>未决诉讼或未决仲裁形成的或有负债</w:t>
      </w:r>
    </w:p>
    <w:p>
      <w:pPr>
        <w:pStyle w:val="35"/>
        <w:rPr>
          <w:color w:val="auto"/>
          <w:highlight w:val="none"/>
        </w:rPr>
      </w:pPr>
      <w:r>
        <w:rPr>
          <w:rFonts w:hint="eastAsia"/>
          <w:color w:val="auto"/>
          <w:highlight w:val="none"/>
        </w:rPr>
        <w:t>（</w:t>
      </w:r>
      <w:r>
        <w:rPr>
          <w:color w:val="auto"/>
          <w:highlight w:val="none"/>
        </w:rPr>
        <w:t>1</w:t>
      </w:r>
      <w:r>
        <w:rPr>
          <w:rFonts w:hint="eastAsia"/>
          <w:color w:val="auto"/>
          <w:highlight w:val="none"/>
        </w:rPr>
        <w:t>）国家电投集团贵州金元威宁能源股份有限公司系威宁能源本部，平山县北冀建能新能源开发有限责任公司系威宁能源孙公司。讼诉事由系河北君和诚律师事务所与平山县北冀建能新能源开发有限责任公司、北京中鑫泰泽科技有限公司、国家电投集团贵州金元威宁能源股份有限公司委托合同纠纷，诉讼标的金额为</w:t>
      </w:r>
      <w:r>
        <w:rPr>
          <w:color w:val="auto"/>
          <w:highlight w:val="none"/>
        </w:rPr>
        <w:t>500.83</w:t>
      </w:r>
      <w:r>
        <w:rPr>
          <w:rFonts w:hint="eastAsia"/>
          <w:color w:val="auto"/>
          <w:highlight w:val="none"/>
        </w:rPr>
        <w:t>万元。本案于</w:t>
      </w:r>
      <w:r>
        <w:rPr>
          <w:color w:val="auto"/>
          <w:highlight w:val="none"/>
        </w:rPr>
        <w:t>2024</w:t>
      </w:r>
      <w:r>
        <w:rPr>
          <w:rFonts w:hint="eastAsia"/>
          <w:color w:val="auto"/>
          <w:highlight w:val="none"/>
        </w:rPr>
        <w:t>年</w:t>
      </w:r>
      <w:r>
        <w:rPr>
          <w:color w:val="auto"/>
          <w:highlight w:val="none"/>
        </w:rPr>
        <w:t>4</w:t>
      </w:r>
      <w:r>
        <w:rPr>
          <w:rFonts w:hint="eastAsia"/>
          <w:color w:val="auto"/>
          <w:highlight w:val="none"/>
        </w:rPr>
        <w:t>月</w:t>
      </w:r>
      <w:r>
        <w:rPr>
          <w:color w:val="auto"/>
          <w:highlight w:val="none"/>
        </w:rPr>
        <w:t>8</w:t>
      </w:r>
      <w:r>
        <w:rPr>
          <w:rFonts w:hint="eastAsia"/>
          <w:color w:val="auto"/>
          <w:highlight w:val="none"/>
        </w:rPr>
        <w:t>日立案，</w:t>
      </w:r>
      <w:r>
        <w:rPr>
          <w:color w:val="auto"/>
          <w:highlight w:val="none"/>
        </w:rPr>
        <w:t>2024</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13</w:t>
      </w:r>
      <w:r>
        <w:rPr>
          <w:rFonts w:hint="eastAsia"/>
          <w:color w:val="auto"/>
          <w:highlight w:val="none"/>
        </w:rPr>
        <w:t>日开庭，双方完成质证，后法官根据案情的复杂性，决定由简易程序转普通程序审理，本案二次开庭时间为</w:t>
      </w:r>
      <w:r>
        <w:rPr>
          <w:color w:val="auto"/>
          <w:highlight w:val="none"/>
        </w:rPr>
        <w:t>2024</w:t>
      </w:r>
      <w:r>
        <w:rPr>
          <w:rFonts w:hint="eastAsia"/>
          <w:color w:val="auto"/>
          <w:highlight w:val="none"/>
        </w:rPr>
        <w:t>年</w:t>
      </w:r>
      <w:r>
        <w:rPr>
          <w:color w:val="auto"/>
          <w:highlight w:val="none"/>
        </w:rPr>
        <w:t>6</w:t>
      </w:r>
      <w:r>
        <w:rPr>
          <w:rFonts w:hint="eastAsia"/>
          <w:color w:val="auto"/>
          <w:highlight w:val="none"/>
        </w:rPr>
        <w:t>月</w:t>
      </w:r>
      <w:r>
        <w:rPr>
          <w:color w:val="auto"/>
          <w:highlight w:val="none"/>
        </w:rPr>
        <w:t>6</w:t>
      </w:r>
      <w:r>
        <w:rPr>
          <w:rFonts w:hint="eastAsia"/>
          <w:color w:val="auto"/>
          <w:highlight w:val="none"/>
        </w:rPr>
        <w:t>日上午</w:t>
      </w:r>
      <w:r>
        <w:rPr>
          <w:color w:val="auto"/>
          <w:highlight w:val="none"/>
        </w:rPr>
        <w:t>9</w:t>
      </w:r>
      <w:r>
        <w:rPr>
          <w:rFonts w:hint="eastAsia"/>
          <w:color w:val="auto"/>
          <w:highlight w:val="none"/>
        </w:rPr>
        <w:t>点，威宁能源于</w:t>
      </w:r>
      <w:r>
        <w:rPr>
          <w:color w:val="auto"/>
          <w:highlight w:val="none"/>
        </w:rPr>
        <w:t>2024</w:t>
      </w:r>
      <w:r>
        <w:rPr>
          <w:rFonts w:hint="eastAsia"/>
          <w:color w:val="auto"/>
          <w:highlight w:val="none"/>
        </w:rPr>
        <w:t>年</w:t>
      </w:r>
      <w:r>
        <w:rPr>
          <w:color w:val="auto"/>
          <w:highlight w:val="none"/>
        </w:rPr>
        <w:t>6</w:t>
      </w:r>
      <w:r>
        <w:rPr>
          <w:rFonts w:hint="eastAsia"/>
          <w:color w:val="auto"/>
          <w:highlight w:val="none"/>
        </w:rPr>
        <w:t>月</w:t>
      </w:r>
      <w:r>
        <w:rPr>
          <w:color w:val="auto"/>
          <w:highlight w:val="none"/>
        </w:rPr>
        <w:t>15</w:t>
      </w:r>
      <w:r>
        <w:rPr>
          <w:rFonts w:hint="eastAsia"/>
          <w:color w:val="auto"/>
          <w:highlight w:val="none"/>
        </w:rPr>
        <w:t>日提交答辩意见。</w:t>
      </w:r>
      <w:r>
        <w:rPr>
          <w:color w:val="auto"/>
          <w:highlight w:val="none"/>
        </w:rPr>
        <w:t>2024</w:t>
      </w:r>
      <w:r>
        <w:rPr>
          <w:rFonts w:hint="eastAsia"/>
          <w:color w:val="auto"/>
          <w:highlight w:val="none"/>
        </w:rPr>
        <w:t>年</w:t>
      </w:r>
      <w:r>
        <w:rPr>
          <w:color w:val="auto"/>
          <w:highlight w:val="none"/>
        </w:rPr>
        <w:t>4</w:t>
      </w:r>
      <w:r>
        <w:rPr>
          <w:rFonts w:hint="eastAsia"/>
          <w:color w:val="auto"/>
          <w:highlight w:val="none"/>
        </w:rPr>
        <w:t>月</w:t>
      </w:r>
      <w:r>
        <w:rPr>
          <w:color w:val="auto"/>
          <w:highlight w:val="none"/>
        </w:rPr>
        <w:t>24</w:t>
      </w:r>
      <w:r>
        <w:rPr>
          <w:rFonts w:hint="eastAsia"/>
          <w:color w:val="auto"/>
          <w:highlight w:val="none"/>
        </w:rPr>
        <w:t>日石家庄市裕华区人民法院冻结平山县北冀建能新能源开发有限责任公司银行存款账户。截至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日，该诉讼未结束，故无法申请解冻，冻结账户余额</w:t>
      </w:r>
      <w:r>
        <w:rPr>
          <w:color w:val="auto"/>
          <w:highlight w:val="none"/>
        </w:rPr>
        <w:t>500.83</w:t>
      </w:r>
      <w:r>
        <w:rPr>
          <w:rFonts w:hint="eastAsia"/>
          <w:color w:val="auto"/>
          <w:highlight w:val="none"/>
        </w:rPr>
        <w:t>万元。</w:t>
      </w:r>
    </w:p>
    <w:p>
      <w:pPr>
        <w:pStyle w:val="35"/>
        <w:rPr>
          <w:color w:val="auto"/>
          <w:highlight w:val="none"/>
        </w:rPr>
      </w:pPr>
      <w:r>
        <w:rPr>
          <w:color w:val="auto"/>
          <w:highlight w:val="none"/>
        </w:rPr>
        <w:t xml:space="preserve"> </w:t>
      </w:r>
    </w:p>
    <w:p>
      <w:pPr>
        <w:pStyle w:val="35"/>
        <w:rPr>
          <w:color w:val="auto"/>
          <w:highlight w:val="none"/>
        </w:rPr>
      </w:pPr>
      <w:r>
        <w:rPr>
          <w:rFonts w:hint="eastAsia"/>
          <w:color w:val="auto"/>
          <w:highlight w:val="none"/>
        </w:rPr>
        <w:t>（</w:t>
      </w:r>
      <w:r>
        <w:rPr>
          <w:color w:val="auto"/>
          <w:highlight w:val="none"/>
        </w:rPr>
        <w:t>2</w:t>
      </w:r>
      <w:r>
        <w:rPr>
          <w:rFonts w:hint="eastAsia"/>
          <w:color w:val="auto"/>
          <w:highlight w:val="none"/>
        </w:rPr>
        <w:t>）在审理申请人罗胜康与被申请人威宁能源土地损失纠纷案中，仲裁标的金额</w:t>
      </w:r>
      <w:r>
        <w:rPr>
          <w:color w:val="auto"/>
          <w:highlight w:val="none"/>
        </w:rPr>
        <w:t>51.54</w:t>
      </w:r>
      <w:r>
        <w:rPr>
          <w:rFonts w:hint="eastAsia"/>
          <w:color w:val="auto"/>
          <w:highlight w:val="none"/>
        </w:rPr>
        <w:t>万元，其中应付排除妨碍补偿支付土地损失</w:t>
      </w:r>
      <w:r>
        <w:rPr>
          <w:color w:val="auto"/>
          <w:highlight w:val="none"/>
        </w:rPr>
        <w:t>51.54</w:t>
      </w:r>
      <w:r>
        <w:rPr>
          <w:rFonts w:hint="eastAsia"/>
          <w:color w:val="auto"/>
          <w:highlight w:val="none"/>
        </w:rPr>
        <w:t>万元。法院</w:t>
      </w:r>
      <w:r>
        <w:rPr>
          <w:color w:val="auto"/>
          <w:highlight w:val="none"/>
        </w:rPr>
        <w:t>2024</w:t>
      </w:r>
      <w:r>
        <w:rPr>
          <w:rFonts w:hint="eastAsia"/>
          <w:color w:val="auto"/>
          <w:highlight w:val="none"/>
        </w:rPr>
        <w:t>年</w:t>
      </w:r>
      <w:r>
        <w:rPr>
          <w:color w:val="auto"/>
          <w:highlight w:val="none"/>
        </w:rPr>
        <w:t>8</w:t>
      </w:r>
      <w:r>
        <w:rPr>
          <w:rFonts w:hint="eastAsia"/>
          <w:color w:val="auto"/>
          <w:highlight w:val="none"/>
        </w:rPr>
        <w:t>月</w:t>
      </w:r>
      <w:r>
        <w:rPr>
          <w:color w:val="auto"/>
          <w:highlight w:val="none"/>
        </w:rPr>
        <w:t>23</w:t>
      </w:r>
      <w:r>
        <w:rPr>
          <w:rFonts w:hint="eastAsia"/>
          <w:color w:val="auto"/>
          <w:highlight w:val="none"/>
        </w:rPr>
        <w:t>日开庭后，威宁能源追加村委会作为被告，一审法院已开庭。截至2024年12月31日，尚未出具判决书。</w:t>
      </w:r>
    </w:p>
    <w:p>
      <w:pPr>
        <w:pStyle w:val="35"/>
        <w:rPr>
          <w:color w:val="auto"/>
          <w:highlight w:val="none"/>
        </w:rPr>
      </w:pPr>
      <w:r>
        <w:rPr>
          <w:color w:val="auto"/>
          <w:highlight w:val="none"/>
        </w:rPr>
        <w:t xml:space="preserve"> </w:t>
      </w:r>
    </w:p>
    <w:p>
      <w:pPr>
        <w:pStyle w:val="35"/>
        <w:rPr>
          <w:color w:val="auto"/>
          <w:highlight w:val="none"/>
        </w:rPr>
      </w:pPr>
      <w:r>
        <w:rPr>
          <w:rFonts w:hint="eastAsia"/>
          <w:color w:val="auto"/>
          <w:highlight w:val="none"/>
        </w:rPr>
        <w:t>（</w:t>
      </w:r>
      <w:r>
        <w:rPr>
          <w:color w:val="auto"/>
          <w:highlight w:val="none"/>
        </w:rPr>
        <w:t>3</w:t>
      </w:r>
      <w:r>
        <w:rPr>
          <w:rFonts w:hint="eastAsia"/>
          <w:color w:val="auto"/>
          <w:highlight w:val="none"/>
        </w:rPr>
        <w:t>）黔西南州中弘新能源有限公司系威宁能源子公司。仲裁事由系申请人江苏中弘光伏工程技术有限公司与被申请人黔西南州中弘新能源有限公司工程款纠纷案，仲裁标的金额</w:t>
      </w:r>
      <w:r>
        <w:rPr>
          <w:color w:val="auto"/>
          <w:highlight w:val="none"/>
        </w:rPr>
        <w:t>2,996.58</w:t>
      </w:r>
      <w:r>
        <w:rPr>
          <w:rFonts w:hint="eastAsia"/>
          <w:color w:val="auto"/>
          <w:highlight w:val="none"/>
        </w:rPr>
        <w:t>万元，其中应付工程款</w:t>
      </w:r>
      <w:r>
        <w:rPr>
          <w:color w:val="auto"/>
          <w:highlight w:val="none"/>
        </w:rPr>
        <w:t>2,279.68</w:t>
      </w:r>
      <w:r>
        <w:rPr>
          <w:rFonts w:hint="eastAsia"/>
          <w:color w:val="auto"/>
          <w:highlight w:val="none"/>
        </w:rPr>
        <w:t>万元（包含无合同约束金额</w:t>
      </w:r>
      <w:r>
        <w:rPr>
          <w:color w:val="auto"/>
          <w:highlight w:val="none"/>
        </w:rPr>
        <w:t>1,424.01</w:t>
      </w:r>
      <w:r>
        <w:rPr>
          <w:rFonts w:hint="eastAsia"/>
          <w:color w:val="auto"/>
          <w:highlight w:val="none"/>
        </w:rPr>
        <w:t>万元），应付利息</w:t>
      </w:r>
      <w:r>
        <w:rPr>
          <w:color w:val="auto"/>
          <w:highlight w:val="none"/>
        </w:rPr>
        <w:t>636.41</w:t>
      </w:r>
      <w:r>
        <w:rPr>
          <w:rFonts w:hint="eastAsia"/>
          <w:color w:val="auto"/>
          <w:highlight w:val="none"/>
        </w:rPr>
        <w:t>万元，应付律师费</w:t>
      </w:r>
      <w:r>
        <w:rPr>
          <w:color w:val="auto"/>
          <w:highlight w:val="none"/>
        </w:rPr>
        <w:t>80.50</w:t>
      </w:r>
      <w:r>
        <w:rPr>
          <w:rFonts w:hint="eastAsia"/>
          <w:color w:val="auto"/>
          <w:highlight w:val="none"/>
        </w:rPr>
        <w:t>万元。申请人于</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6</w:t>
      </w:r>
      <w:r>
        <w:rPr>
          <w:rFonts w:hint="eastAsia"/>
          <w:color w:val="auto"/>
          <w:highlight w:val="none"/>
        </w:rPr>
        <w:t>日向上海仲裁委提出财产保全申请。</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18</w:t>
      </w:r>
      <w:r>
        <w:rPr>
          <w:rFonts w:hint="eastAsia"/>
          <w:color w:val="auto"/>
          <w:highlight w:val="none"/>
        </w:rPr>
        <w:t>日贵州省安龙县人民法院冻结黔西南州中弘新能源有限公司银行存款账户</w:t>
      </w:r>
      <w:r>
        <w:rPr>
          <w:color w:val="auto"/>
          <w:highlight w:val="none"/>
        </w:rPr>
        <w:t>2,996.58</w:t>
      </w:r>
      <w:r>
        <w:rPr>
          <w:rFonts w:hint="eastAsia"/>
          <w:color w:val="auto"/>
          <w:highlight w:val="none"/>
        </w:rPr>
        <w:t>万元，冻结期限自</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18</w:t>
      </w:r>
      <w:r>
        <w:rPr>
          <w:rFonts w:hint="eastAsia"/>
          <w:color w:val="auto"/>
          <w:highlight w:val="none"/>
        </w:rPr>
        <w:t>日起至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17</w:t>
      </w:r>
      <w:r>
        <w:rPr>
          <w:rFonts w:hint="eastAsia"/>
          <w:color w:val="auto"/>
          <w:highlight w:val="none"/>
        </w:rPr>
        <w:t>日。</w:t>
      </w:r>
      <w:r>
        <w:rPr>
          <w:color w:val="auto"/>
          <w:highlight w:val="none"/>
        </w:rPr>
        <w:t>2024</w:t>
      </w:r>
      <w:r>
        <w:rPr>
          <w:rFonts w:hint="eastAsia"/>
          <w:color w:val="auto"/>
          <w:highlight w:val="none"/>
        </w:rPr>
        <w:t>年</w:t>
      </w:r>
      <w:r>
        <w:rPr>
          <w:color w:val="auto"/>
          <w:highlight w:val="none"/>
        </w:rPr>
        <w:t>1</w:t>
      </w:r>
      <w:r>
        <w:rPr>
          <w:rFonts w:hint="eastAsia"/>
          <w:color w:val="auto"/>
          <w:highlight w:val="none"/>
        </w:rPr>
        <w:t>月</w:t>
      </w:r>
      <w:r>
        <w:rPr>
          <w:color w:val="auto"/>
          <w:highlight w:val="none"/>
        </w:rPr>
        <w:t>8</w:t>
      </w:r>
      <w:r>
        <w:rPr>
          <w:rFonts w:hint="eastAsia"/>
          <w:color w:val="auto"/>
          <w:highlight w:val="none"/>
        </w:rPr>
        <w:t>日，江苏中弘公司到贵州金元公司协商案件处理情况，就工程款、股权款的支付及退股相关事项进行协商。</w:t>
      </w:r>
      <w:r>
        <w:rPr>
          <w:color w:val="auto"/>
          <w:highlight w:val="none"/>
        </w:rPr>
        <w:t>2024</w:t>
      </w:r>
      <w:r>
        <w:rPr>
          <w:rFonts w:hint="eastAsia"/>
          <w:color w:val="auto"/>
          <w:highlight w:val="none"/>
        </w:rPr>
        <w:t>年</w:t>
      </w:r>
      <w:r>
        <w:rPr>
          <w:color w:val="auto"/>
          <w:highlight w:val="none"/>
        </w:rPr>
        <w:t>4</w:t>
      </w:r>
      <w:r>
        <w:rPr>
          <w:rFonts w:hint="eastAsia"/>
          <w:color w:val="auto"/>
          <w:highlight w:val="none"/>
        </w:rPr>
        <w:t>月</w:t>
      </w:r>
      <w:r>
        <w:rPr>
          <w:color w:val="auto"/>
          <w:highlight w:val="none"/>
        </w:rPr>
        <w:t>2</w:t>
      </w:r>
      <w:r>
        <w:rPr>
          <w:rFonts w:hint="eastAsia"/>
          <w:color w:val="auto"/>
          <w:highlight w:val="none"/>
        </w:rPr>
        <w:t>日黔西南州中弘新能源有限公司收到开庭通知书，于</w:t>
      </w:r>
      <w:r>
        <w:rPr>
          <w:color w:val="auto"/>
          <w:highlight w:val="none"/>
        </w:rPr>
        <w:t>2024</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14</w:t>
      </w:r>
      <w:r>
        <w:rPr>
          <w:rFonts w:hint="eastAsia"/>
          <w:color w:val="auto"/>
          <w:highlight w:val="none"/>
        </w:rPr>
        <w:t>日进行开庭审理，目前该案件待仲裁作出裁决。</w:t>
      </w:r>
      <w:r>
        <w:rPr>
          <w:color w:val="auto"/>
          <w:highlight w:val="none"/>
        </w:rPr>
        <w:t>2024</w:t>
      </w:r>
      <w:r>
        <w:rPr>
          <w:rFonts w:hint="eastAsia"/>
          <w:color w:val="auto"/>
          <w:highlight w:val="none"/>
        </w:rPr>
        <w:t>年</w:t>
      </w:r>
      <w:r>
        <w:rPr>
          <w:color w:val="auto"/>
          <w:highlight w:val="none"/>
        </w:rPr>
        <w:t>10</w:t>
      </w:r>
      <w:r>
        <w:rPr>
          <w:rFonts w:hint="eastAsia"/>
          <w:color w:val="auto"/>
          <w:highlight w:val="none"/>
        </w:rPr>
        <w:t>月</w:t>
      </w:r>
      <w:r>
        <w:rPr>
          <w:color w:val="auto"/>
          <w:highlight w:val="none"/>
        </w:rPr>
        <w:t>14</w:t>
      </w:r>
      <w:r>
        <w:rPr>
          <w:rFonts w:hint="eastAsia"/>
          <w:color w:val="auto"/>
          <w:highlight w:val="none"/>
        </w:rPr>
        <w:t>日，黔西南州中弘新能源有限公司申请仲裁庭主持双方进行调解。</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25</w:t>
      </w:r>
      <w:r>
        <w:rPr>
          <w:rFonts w:hint="eastAsia"/>
          <w:color w:val="auto"/>
          <w:highlight w:val="none"/>
        </w:rPr>
        <w:t>日，黔西南州中弘新能源有限公司名下银行卡账户已解冻。20</w:t>
      </w:r>
      <w:r>
        <w:rPr>
          <w:color w:val="auto"/>
          <w:highlight w:val="none"/>
        </w:rPr>
        <w:t>25</w:t>
      </w:r>
      <w:r>
        <w:rPr>
          <w:rFonts w:hint="eastAsia"/>
          <w:color w:val="auto"/>
          <w:highlight w:val="none"/>
        </w:rPr>
        <w:t>年</w:t>
      </w:r>
      <w:r>
        <w:rPr>
          <w:color w:val="auto"/>
          <w:highlight w:val="none"/>
        </w:rPr>
        <w:t>1</w:t>
      </w:r>
      <w:r>
        <w:rPr>
          <w:rFonts w:hint="eastAsia"/>
          <w:color w:val="auto"/>
          <w:highlight w:val="none"/>
        </w:rPr>
        <w:t>月</w:t>
      </w:r>
      <w:r>
        <w:rPr>
          <w:color w:val="auto"/>
          <w:highlight w:val="none"/>
        </w:rPr>
        <w:t>21</w:t>
      </w:r>
      <w:r>
        <w:rPr>
          <w:rFonts w:hint="eastAsia"/>
          <w:color w:val="auto"/>
          <w:highlight w:val="none"/>
        </w:rPr>
        <w:t>日，经江苏中弘公司申请，贵州省安龙县人民法院再次做出冻结黔西南州中弘新能源公司名下银行基本账户加贷款账户共计</w:t>
      </w:r>
      <w:r>
        <w:rPr>
          <w:color w:val="auto"/>
          <w:highlight w:val="none"/>
        </w:rPr>
        <w:t>20.99</w:t>
      </w:r>
      <w:r>
        <w:rPr>
          <w:rFonts w:hint="eastAsia"/>
          <w:color w:val="auto"/>
          <w:highlight w:val="none"/>
        </w:rPr>
        <w:t>万元。截至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日，该仲裁未结束，故无法申请解冻，冻结账户余额</w:t>
      </w:r>
      <w:r>
        <w:rPr>
          <w:color w:val="auto"/>
          <w:highlight w:val="none"/>
        </w:rPr>
        <w:t>20.99</w:t>
      </w:r>
      <w:r>
        <w:rPr>
          <w:rFonts w:hint="eastAsia"/>
          <w:color w:val="auto"/>
          <w:highlight w:val="none"/>
        </w:rPr>
        <w:t>万元。</w:t>
      </w:r>
    </w:p>
    <w:p>
      <w:pPr>
        <w:pStyle w:val="35"/>
        <w:rPr>
          <w:color w:val="auto"/>
          <w:highlight w:val="none"/>
        </w:rPr>
      </w:pPr>
      <w:r>
        <w:rPr>
          <w:rFonts w:hint="eastAsia"/>
          <w:color w:val="auto"/>
          <w:highlight w:val="none"/>
        </w:rPr>
        <w:t xml:space="preserve"> </w:t>
      </w:r>
    </w:p>
    <w:p>
      <w:pPr>
        <w:pStyle w:val="35"/>
        <w:rPr>
          <w:color w:val="auto"/>
          <w:highlight w:val="none"/>
        </w:rPr>
      </w:pPr>
      <w:r>
        <w:rPr>
          <w:rFonts w:hint="eastAsia"/>
          <w:color w:val="auto"/>
          <w:highlight w:val="none"/>
        </w:rPr>
        <w:t>（</w:t>
      </w:r>
      <w:r>
        <w:rPr>
          <w:color w:val="auto"/>
          <w:highlight w:val="none"/>
        </w:rPr>
        <w:t>4</w:t>
      </w:r>
      <w:r>
        <w:rPr>
          <w:rFonts w:hint="eastAsia"/>
          <w:color w:val="auto"/>
          <w:highlight w:val="none"/>
        </w:rPr>
        <w:t>）黔西南州义龙中弘绿色能源有限公司系威宁能源子公司。仲裁事由系申请人江苏中弘光伏工程技术有限公司与被申请人黔西南州义龙中弘绿色能源有限公司工程款纠纷案，仲裁标的金额</w:t>
      </w:r>
      <w:r>
        <w:rPr>
          <w:color w:val="auto"/>
          <w:highlight w:val="none"/>
        </w:rPr>
        <w:t>2,927.33</w:t>
      </w:r>
      <w:r>
        <w:rPr>
          <w:rFonts w:hint="eastAsia"/>
          <w:color w:val="auto"/>
          <w:highlight w:val="none"/>
        </w:rPr>
        <w:t>万元，其中应付工程款</w:t>
      </w:r>
      <w:r>
        <w:rPr>
          <w:color w:val="auto"/>
          <w:highlight w:val="none"/>
        </w:rPr>
        <w:t>2,281.39</w:t>
      </w:r>
      <w:r>
        <w:rPr>
          <w:rFonts w:hint="eastAsia"/>
          <w:color w:val="auto"/>
          <w:highlight w:val="none"/>
        </w:rPr>
        <w:t>万元（包含无合同约束金额</w:t>
      </w:r>
      <w:r>
        <w:rPr>
          <w:color w:val="auto"/>
          <w:highlight w:val="none"/>
        </w:rPr>
        <w:t>1,854.90</w:t>
      </w:r>
      <w:r>
        <w:rPr>
          <w:rFonts w:hint="eastAsia"/>
          <w:color w:val="auto"/>
          <w:highlight w:val="none"/>
        </w:rPr>
        <w:t>万元），应付利息</w:t>
      </w:r>
      <w:r>
        <w:rPr>
          <w:color w:val="auto"/>
          <w:highlight w:val="none"/>
        </w:rPr>
        <w:t>566.43</w:t>
      </w:r>
      <w:r>
        <w:rPr>
          <w:rFonts w:hint="eastAsia"/>
          <w:color w:val="auto"/>
          <w:highlight w:val="none"/>
        </w:rPr>
        <w:t>万元，应付律师费</w:t>
      </w:r>
      <w:r>
        <w:rPr>
          <w:color w:val="auto"/>
          <w:highlight w:val="none"/>
        </w:rPr>
        <w:t>79.50</w:t>
      </w:r>
      <w:r>
        <w:rPr>
          <w:rFonts w:hint="eastAsia"/>
          <w:color w:val="auto"/>
          <w:highlight w:val="none"/>
        </w:rPr>
        <w:t>万元。申请人于</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6</w:t>
      </w:r>
      <w:r>
        <w:rPr>
          <w:rFonts w:hint="eastAsia"/>
          <w:color w:val="auto"/>
          <w:highlight w:val="none"/>
        </w:rPr>
        <w:t>日向上海仲裁委提出财产保全申请。</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18</w:t>
      </w:r>
      <w:r>
        <w:rPr>
          <w:rFonts w:hint="eastAsia"/>
          <w:color w:val="auto"/>
          <w:highlight w:val="none"/>
        </w:rPr>
        <w:t>日安龙县人民法院冻结黔西南州义龙中弘绿色能源有限公司名下银行卡账户</w:t>
      </w:r>
      <w:r>
        <w:rPr>
          <w:color w:val="auto"/>
          <w:highlight w:val="none"/>
        </w:rPr>
        <w:t>2,996.58</w:t>
      </w:r>
      <w:r>
        <w:rPr>
          <w:rFonts w:hint="eastAsia"/>
          <w:color w:val="auto"/>
          <w:highlight w:val="none"/>
        </w:rPr>
        <w:t>万元，冻结期限自</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18</w:t>
      </w:r>
      <w:r>
        <w:rPr>
          <w:rFonts w:hint="eastAsia"/>
          <w:color w:val="auto"/>
          <w:highlight w:val="none"/>
        </w:rPr>
        <w:t>日起至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17</w:t>
      </w:r>
      <w:r>
        <w:rPr>
          <w:rFonts w:hint="eastAsia"/>
          <w:color w:val="auto"/>
          <w:highlight w:val="none"/>
        </w:rPr>
        <w:t>日。</w:t>
      </w:r>
      <w:r>
        <w:rPr>
          <w:color w:val="auto"/>
          <w:highlight w:val="none"/>
        </w:rPr>
        <w:t>2024</w:t>
      </w:r>
      <w:r>
        <w:rPr>
          <w:rFonts w:hint="eastAsia"/>
          <w:color w:val="auto"/>
          <w:highlight w:val="none"/>
        </w:rPr>
        <w:t>年</w:t>
      </w:r>
      <w:r>
        <w:rPr>
          <w:color w:val="auto"/>
          <w:highlight w:val="none"/>
        </w:rPr>
        <w:t>1</w:t>
      </w:r>
      <w:r>
        <w:rPr>
          <w:rFonts w:hint="eastAsia"/>
          <w:color w:val="auto"/>
          <w:highlight w:val="none"/>
        </w:rPr>
        <w:t>月</w:t>
      </w:r>
      <w:r>
        <w:rPr>
          <w:color w:val="auto"/>
          <w:highlight w:val="none"/>
        </w:rPr>
        <w:t>8</w:t>
      </w:r>
      <w:r>
        <w:rPr>
          <w:rFonts w:hint="eastAsia"/>
          <w:color w:val="auto"/>
          <w:highlight w:val="none"/>
        </w:rPr>
        <w:t>日，江苏中弘公司到贵州金元公司协商案件处理情况，就工程款、股权款的支付及退股相关事项进行协商。</w:t>
      </w:r>
      <w:r>
        <w:rPr>
          <w:color w:val="auto"/>
          <w:highlight w:val="none"/>
        </w:rPr>
        <w:t>2024</w:t>
      </w:r>
      <w:r>
        <w:rPr>
          <w:rFonts w:hint="eastAsia"/>
          <w:color w:val="auto"/>
          <w:highlight w:val="none"/>
        </w:rPr>
        <w:t>年</w:t>
      </w:r>
      <w:r>
        <w:rPr>
          <w:color w:val="auto"/>
          <w:highlight w:val="none"/>
        </w:rPr>
        <w:t>4</w:t>
      </w:r>
      <w:r>
        <w:rPr>
          <w:rFonts w:hint="eastAsia"/>
          <w:color w:val="auto"/>
          <w:highlight w:val="none"/>
        </w:rPr>
        <w:t>月</w:t>
      </w:r>
      <w:r>
        <w:rPr>
          <w:color w:val="auto"/>
          <w:highlight w:val="none"/>
        </w:rPr>
        <w:t>2</w:t>
      </w:r>
      <w:r>
        <w:rPr>
          <w:rFonts w:hint="eastAsia"/>
          <w:color w:val="auto"/>
          <w:highlight w:val="none"/>
        </w:rPr>
        <w:t>日黔西南州义龙中弘绿色能源有限公司收到开庭通知书，于</w:t>
      </w:r>
      <w:r>
        <w:rPr>
          <w:color w:val="auto"/>
          <w:highlight w:val="none"/>
        </w:rPr>
        <w:t>2024</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14</w:t>
      </w:r>
      <w:r>
        <w:rPr>
          <w:rFonts w:hint="eastAsia"/>
          <w:color w:val="auto"/>
          <w:highlight w:val="none"/>
        </w:rPr>
        <w:t>日进行开庭审理，目前该案件待仲裁作出裁决。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25</w:t>
      </w:r>
      <w:r>
        <w:rPr>
          <w:rFonts w:hint="eastAsia"/>
          <w:color w:val="auto"/>
          <w:highlight w:val="none"/>
        </w:rPr>
        <w:t>日，黔西南州义龙中弘绿色能源有限公司名下银行卡账户已解冻。</w:t>
      </w:r>
      <w:r>
        <w:rPr>
          <w:color w:val="auto"/>
          <w:highlight w:val="none"/>
        </w:rPr>
        <w:t>2025</w:t>
      </w:r>
      <w:r>
        <w:rPr>
          <w:rFonts w:hint="eastAsia"/>
          <w:color w:val="auto"/>
          <w:highlight w:val="none"/>
        </w:rPr>
        <w:t>年</w:t>
      </w:r>
      <w:r>
        <w:rPr>
          <w:color w:val="auto"/>
          <w:highlight w:val="none"/>
        </w:rPr>
        <w:t>1</w:t>
      </w:r>
      <w:r>
        <w:rPr>
          <w:rFonts w:hint="eastAsia"/>
          <w:color w:val="auto"/>
          <w:highlight w:val="none"/>
        </w:rPr>
        <w:t>月</w:t>
      </w:r>
      <w:r>
        <w:rPr>
          <w:color w:val="auto"/>
          <w:highlight w:val="none"/>
        </w:rPr>
        <w:t>21</w:t>
      </w:r>
      <w:r>
        <w:rPr>
          <w:rFonts w:hint="eastAsia"/>
          <w:color w:val="auto"/>
          <w:highlight w:val="none"/>
        </w:rPr>
        <w:t>日，经江苏中弘公司申请，贵州省安龙县人民法院再次做出冻结黔西南州义龙中弘新能源公司名下银行基本账户加贷款账户共计</w:t>
      </w:r>
      <w:r>
        <w:rPr>
          <w:color w:val="auto"/>
          <w:highlight w:val="none"/>
        </w:rPr>
        <w:t>21.00</w:t>
      </w:r>
      <w:r>
        <w:rPr>
          <w:rFonts w:hint="eastAsia"/>
          <w:color w:val="auto"/>
          <w:highlight w:val="none"/>
        </w:rPr>
        <w:t>万元。截至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日，该仲裁未结束，故无法申请解冻，冻结账户余额</w:t>
      </w:r>
      <w:r>
        <w:rPr>
          <w:color w:val="auto"/>
          <w:highlight w:val="none"/>
        </w:rPr>
        <w:t>21.00</w:t>
      </w:r>
      <w:r>
        <w:rPr>
          <w:rFonts w:hint="eastAsia"/>
          <w:color w:val="auto"/>
          <w:highlight w:val="none"/>
        </w:rPr>
        <w:t>万元。</w:t>
      </w:r>
    </w:p>
    <w:p>
      <w:pPr>
        <w:pStyle w:val="35"/>
        <w:rPr>
          <w:color w:val="auto"/>
          <w:highlight w:val="none"/>
        </w:rPr>
      </w:pPr>
      <w:r>
        <w:rPr>
          <w:rFonts w:hint="eastAsia"/>
          <w:color w:val="auto"/>
          <w:highlight w:val="none"/>
        </w:rPr>
        <w:t xml:space="preserve"> </w:t>
      </w:r>
    </w:p>
    <w:p>
      <w:pPr>
        <w:pStyle w:val="35"/>
        <w:rPr>
          <w:color w:val="auto"/>
          <w:highlight w:val="none"/>
        </w:rPr>
      </w:pPr>
      <w:r>
        <w:rPr>
          <w:rFonts w:hint="eastAsia"/>
          <w:color w:val="auto"/>
          <w:highlight w:val="none"/>
        </w:rPr>
        <w:t>（</w:t>
      </w:r>
      <w:r>
        <w:rPr>
          <w:color w:val="auto"/>
          <w:highlight w:val="none"/>
        </w:rPr>
        <w:t>5</w:t>
      </w:r>
      <w:r>
        <w:rPr>
          <w:rFonts w:hint="eastAsia"/>
          <w:color w:val="auto"/>
          <w:highlight w:val="none"/>
        </w:rPr>
        <w:t>）兴仁市亚玛顿新能源有限公司系威宁能源子公司。仲裁事由系申请人江苏中弘光伏工程技术有限公司与被申请人兴仁市亚玛顿新能源有限公司工程款纠纷案，仲裁标的金额</w:t>
      </w:r>
      <w:r>
        <w:rPr>
          <w:color w:val="auto"/>
          <w:highlight w:val="none"/>
        </w:rPr>
        <w:t>2,996.58</w:t>
      </w:r>
      <w:r>
        <w:rPr>
          <w:rFonts w:hint="eastAsia"/>
          <w:color w:val="auto"/>
          <w:highlight w:val="none"/>
        </w:rPr>
        <w:t>万元，其中应付工程款</w:t>
      </w:r>
      <w:r>
        <w:rPr>
          <w:color w:val="auto"/>
          <w:highlight w:val="none"/>
        </w:rPr>
        <w:t>1,244.19</w:t>
      </w:r>
      <w:r>
        <w:rPr>
          <w:rFonts w:hint="eastAsia"/>
          <w:color w:val="auto"/>
          <w:highlight w:val="none"/>
        </w:rPr>
        <w:t>万元（包含无合同约束金额</w:t>
      </w:r>
      <w:r>
        <w:rPr>
          <w:color w:val="auto"/>
          <w:highlight w:val="none"/>
        </w:rPr>
        <w:t>865.39</w:t>
      </w:r>
      <w:r>
        <w:rPr>
          <w:rFonts w:hint="eastAsia"/>
          <w:color w:val="auto"/>
          <w:highlight w:val="none"/>
        </w:rPr>
        <w:t>万元），应付利息</w:t>
      </w:r>
      <w:r>
        <w:rPr>
          <w:color w:val="auto"/>
          <w:highlight w:val="none"/>
        </w:rPr>
        <w:t>393.81</w:t>
      </w:r>
      <w:r>
        <w:rPr>
          <w:rFonts w:hint="eastAsia"/>
          <w:color w:val="auto"/>
          <w:highlight w:val="none"/>
        </w:rPr>
        <w:t>万元，应付律师费</w:t>
      </w:r>
      <w:r>
        <w:rPr>
          <w:color w:val="auto"/>
          <w:highlight w:val="none"/>
        </w:rPr>
        <w:t>55.00</w:t>
      </w:r>
      <w:r>
        <w:rPr>
          <w:rFonts w:hint="eastAsia"/>
          <w:color w:val="auto"/>
          <w:highlight w:val="none"/>
        </w:rPr>
        <w:t>万元。申请人于</w:t>
      </w:r>
      <w:r>
        <w:rPr>
          <w:color w:val="auto"/>
          <w:highlight w:val="none"/>
        </w:rPr>
        <w:t>2023</w:t>
      </w:r>
      <w:r>
        <w:rPr>
          <w:rFonts w:hint="eastAsia"/>
          <w:color w:val="auto"/>
          <w:highlight w:val="none"/>
        </w:rPr>
        <w:t>年</w:t>
      </w:r>
      <w:r>
        <w:rPr>
          <w:color w:val="auto"/>
          <w:highlight w:val="none"/>
        </w:rPr>
        <w:t>11</w:t>
      </w:r>
      <w:r>
        <w:rPr>
          <w:rFonts w:hint="eastAsia"/>
          <w:color w:val="auto"/>
          <w:highlight w:val="none"/>
        </w:rPr>
        <w:t>月</w:t>
      </w:r>
      <w:r>
        <w:rPr>
          <w:color w:val="auto"/>
          <w:highlight w:val="none"/>
        </w:rPr>
        <w:t>28</w:t>
      </w:r>
      <w:r>
        <w:rPr>
          <w:rFonts w:hint="eastAsia"/>
          <w:color w:val="auto"/>
          <w:highlight w:val="none"/>
        </w:rPr>
        <w:t>日向上海仲裁委提出财产保全申请。</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15</w:t>
      </w:r>
      <w:r>
        <w:rPr>
          <w:rFonts w:hint="eastAsia"/>
          <w:color w:val="auto"/>
          <w:highlight w:val="none"/>
        </w:rPr>
        <w:t>日贵州省兴仁市人民法院冻结兴仁市亚玛顿新能源有限公司银行存款账户</w:t>
      </w:r>
      <w:r>
        <w:rPr>
          <w:color w:val="auto"/>
          <w:highlight w:val="none"/>
        </w:rPr>
        <w:t>1,693.01</w:t>
      </w:r>
      <w:r>
        <w:rPr>
          <w:rFonts w:hint="eastAsia"/>
          <w:color w:val="auto"/>
          <w:highlight w:val="none"/>
        </w:rPr>
        <w:t>万元，冻结期限自</w:t>
      </w:r>
      <w:r>
        <w:rPr>
          <w:color w:val="auto"/>
          <w:highlight w:val="none"/>
        </w:rPr>
        <w:t>2023</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15</w:t>
      </w:r>
      <w:r>
        <w:rPr>
          <w:rFonts w:hint="eastAsia"/>
          <w:color w:val="auto"/>
          <w:highlight w:val="none"/>
        </w:rPr>
        <w:t>日起至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14</w:t>
      </w:r>
      <w:r>
        <w:rPr>
          <w:rFonts w:hint="eastAsia"/>
          <w:color w:val="auto"/>
          <w:highlight w:val="none"/>
        </w:rPr>
        <w:t>日。</w:t>
      </w:r>
      <w:r>
        <w:rPr>
          <w:color w:val="auto"/>
          <w:highlight w:val="none"/>
        </w:rPr>
        <w:t>2024</w:t>
      </w:r>
      <w:r>
        <w:rPr>
          <w:rFonts w:hint="eastAsia"/>
          <w:color w:val="auto"/>
          <w:highlight w:val="none"/>
        </w:rPr>
        <w:t>年</w:t>
      </w:r>
      <w:r>
        <w:rPr>
          <w:color w:val="auto"/>
          <w:highlight w:val="none"/>
        </w:rPr>
        <w:t>1</w:t>
      </w:r>
      <w:r>
        <w:rPr>
          <w:rFonts w:hint="eastAsia"/>
          <w:color w:val="auto"/>
          <w:highlight w:val="none"/>
        </w:rPr>
        <w:t>月</w:t>
      </w:r>
      <w:r>
        <w:rPr>
          <w:color w:val="auto"/>
          <w:highlight w:val="none"/>
        </w:rPr>
        <w:t>8</w:t>
      </w:r>
      <w:r>
        <w:rPr>
          <w:rFonts w:hint="eastAsia"/>
          <w:color w:val="auto"/>
          <w:highlight w:val="none"/>
        </w:rPr>
        <w:t>日，江苏中弘公司到贵州金元公司协商案件处理情况，就工程款、股权款的支付及退股相关事项进行协商。</w:t>
      </w:r>
      <w:r>
        <w:rPr>
          <w:color w:val="auto"/>
          <w:highlight w:val="none"/>
        </w:rPr>
        <w:t>2024</w:t>
      </w:r>
      <w:r>
        <w:rPr>
          <w:rFonts w:hint="eastAsia"/>
          <w:color w:val="auto"/>
          <w:highlight w:val="none"/>
        </w:rPr>
        <w:t>年</w:t>
      </w:r>
      <w:r>
        <w:rPr>
          <w:color w:val="auto"/>
          <w:highlight w:val="none"/>
        </w:rPr>
        <w:t>4</w:t>
      </w:r>
      <w:r>
        <w:rPr>
          <w:rFonts w:hint="eastAsia"/>
          <w:color w:val="auto"/>
          <w:highlight w:val="none"/>
        </w:rPr>
        <w:t>月</w:t>
      </w:r>
      <w:r>
        <w:rPr>
          <w:color w:val="auto"/>
          <w:highlight w:val="none"/>
        </w:rPr>
        <w:t>2</w:t>
      </w:r>
      <w:r>
        <w:rPr>
          <w:rFonts w:hint="eastAsia"/>
          <w:color w:val="auto"/>
          <w:highlight w:val="none"/>
        </w:rPr>
        <w:t>日兴仁市亚玛顿新能源有限公司收到开庭通知书，于</w:t>
      </w:r>
      <w:r>
        <w:rPr>
          <w:color w:val="auto"/>
          <w:highlight w:val="none"/>
        </w:rPr>
        <w:t>2024</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14</w:t>
      </w:r>
      <w:r>
        <w:rPr>
          <w:rFonts w:hint="eastAsia"/>
          <w:color w:val="auto"/>
          <w:highlight w:val="none"/>
        </w:rPr>
        <w:t>日进行开庭审理，目前该案件待仲裁作出裁决。</w:t>
      </w:r>
      <w:r>
        <w:rPr>
          <w:color w:val="auto"/>
          <w:highlight w:val="none"/>
        </w:rPr>
        <w:t>2024</w:t>
      </w:r>
      <w:r>
        <w:rPr>
          <w:rFonts w:hint="eastAsia"/>
          <w:color w:val="auto"/>
          <w:highlight w:val="none"/>
        </w:rPr>
        <w:t>年</w:t>
      </w:r>
      <w:r>
        <w:rPr>
          <w:color w:val="auto"/>
          <w:highlight w:val="none"/>
        </w:rPr>
        <w:t>10</w:t>
      </w:r>
      <w:r>
        <w:rPr>
          <w:rFonts w:hint="eastAsia"/>
          <w:color w:val="auto"/>
          <w:highlight w:val="none"/>
        </w:rPr>
        <w:t>月</w:t>
      </w:r>
      <w:r>
        <w:rPr>
          <w:color w:val="auto"/>
          <w:highlight w:val="none"/>
        </w:rPr>
        <w:t>14</w:t>
      </w:r>
      <w:r>
        <w:rPr>
          <w:rFonts w:hint="eastAsia"/>
          <w:color w:val="auto"/>
          <w:highlight w:val="none"/>
        </w:rPr>
        <w:t>日，兴仁市亚玛顿新能源有限公司申请仲裁庭主持双方进行调解。</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24</w:t>
      </w:r>
      <w:r>
        <w:rPr>
          <w:rFonts w:hint="eastAsia"/>
          <w:color w:val="auto"/>
          <w:highlight w:val="none"/>
        </w:rPr>
        <w:t>日，兴仁亚玛顿新能源有限公司名下银行卡账户已解冻。</w:t>
      </w:r>
      <w:r>
        <w:rPr>
          <w:color w:val="auto"/>
          <w:highlight w:val="none"/>
        </w:rPr>
        <w:t>2025</w:t>
      </w:r>
      <w:r>
        <w:rPr>
          <w:rFonts w:hint="eastAsia"/>
          <w:color w:val="auto"/>
          <w:highlight w:val="none"/>
        </w:rPr>
        <w:t>年</w:t>
      </w:r>
      <w:r>
        <w:rPr>
          <w:color w:val="auto"/>
          <w:highlight w:val="none"/>
        </w:rPr>
        <w:t>1</w:t>
      </w:r>
      <w:r>
        <w:rPr>
          <w:rFonts w:hint="eastAsia"/>
          <w:color w:val="auto"/>
          <w:highlight w:val="none"/>
        </w:rPr>
        <w:t>月</w:t>
      </w:r>
      <w:r>
        <w:rPr>
          <w:color w:val="auto"/>
          <w:highlight w:val="none"/>
        </w:rPr>
        <w:t>21</w:t>
      </w:r>
      <w:r>
        <w:rPr>
          <w:rFonts w:hint="eastAsia"/>
          <w:color w:val="auto"/>
          <w:highlight w:val="none"/>
        </w:rPr>
        <w:t>日，经江苏中弘公司申请贵州省兴仁市人民法院做出冻结兴仁亚玛顿新能源有限公司名下银行基本账户加贷款账户共计</w:t>
      </w:r>
      <w:r>
        <w:rPr>
          <w:color w:val="auto"/>
          <w:highlight w:val="none"/>
        </w:rPr>
        <w:t>21.00</w:t>
      </w:r>
      <w:r>
        <w:rPr>
          <w:rFonts w:hint="eastAsia"/>
          <w:color w:val="auto"/>
          <w:highlight w:val="none"/>
        </w:rPr>
        <w:t>万元。截至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日，该仲裁未结束，故无法申请解冻，冻结账户余额</w:t>
      </w:r>
      <w:r>
        <w:rPr>
          <w:color w:val="auto"/>
          <w:highlight w:val="none"/>
        </w:rPr>
        <w:t>21.00</w:t>
      </w:r>
      <w:r>
        <w:rPr>
          <w:rFonts w:hint="eastAsia"/>
          <w:color w:val="auto"/>
          <w:highlight w:val="none"/>
        </w:rPr>
        <w:t>万元。</w:t>
      </w:r>
    </w:p>
    <w:p>
      <w:pPr>
        <w:pStyle w:val="35"/>
        <w:rPr>
          <w:color w:val="auto"/>
          <w:highlight w:val="none"/>
        </w:rPr>
      </w:pPr>
      <w:r>
        <w:rPr>
          <w:rFonts w:hint="eastAsia"/>
          <w:color w:val="auto"/>
          <w:highlight w:val="none"/>
        </w:rPr>
        <w:t>（</w:t>
      </w:r>
      <w:r>
        <w:rPr>
          <w:color w:val="auto"/>
          <w:highlight w:val="none"/>
        </w:rPr>
        <w:t>6</w:t>
      </w:r>
      <w:r>
        <w:rPr>
          <w:rFonts w:hint="eastAsia"/>
          <w:color w:val="auto"/>
          <w:highlight w:val="none"/>
        </w:rPr>
        <w:t>）威宁新叶新能源科技有限公司系威宁能源孙公司。</w:t>
      </w:r>
      <w:r>
        <w:rPr>
          <w:color w:val="auto"/>
          <w:highlight w:val="none"/>
        </w:rPr>
        <w:t>2019</w:t>
      </w:r>
      <w:r>
        <w:rPr>
          <w:rFonts w:hint="eastAsia"/>
          <w:color w:val="auto"/>
          <w:highlight w:val="none"/>
        </w:rPr>
        <w:t>年</w:t>
      </w:r>
      <w:r>
        <w:rPr>
          <w:color w:val="auto"/>
          <w:highlight w:val="none"/>
        </w:rPr>
        <w:t>9</w:t>
      </w:r>
      <w:r>
        <w:rPr>
          <w:rFonts w:hint="eastAsia"/>
          <w:color w:val="auto"/>
          <w:highlight w:val="none"/>
        </w:rPr>
        <w:t>月，威宁新叶新能源科技有限公司向威宁彝族回族苗族自治县人民法院提起诉讼，诉讼事由系水发兴业能源（珠海）有限公司与威宁新叶新能源科技有限公司建设工程施工合同纠纷，要求水发兴业能源（珠海）有限公司支付因工期延误导致的电费损失</w:t>
      </w:r>
      <w:r>
        <w:rPr>
          <w:color w:val="auto"/>
          <w:highlight w:val="none"/>
        </w:rPr>
        <w:t>2,547.29</w:t>
      </w:r>
      <w:r>
        <w:rPr>
          <w:rFonts w:hint="eastAsia"/>
          <w:color w:val="auto"/>
          <w:highlight w:val="none"/>
        </w:rPr>
        <w:t>万元，并承担本案诉讼费、保全费。本案已于</w:t>
      </w:r>
      <w:r>
        <w:rPr>
          <w:color w:val="auto"/>
          <w:highlight w:val="none"/>
        </w:rPr>
        <w:t>2024</w:t>
      </w:r>
      <w:r>
        <w:rPr>
          <w:rFonts w:hint="eastAsia"/>
          <w:color w:val="auto"/>
          <w:highlight w:val="none"/>
        </w:rPr>
        <w:t>年</w:t>
      </w:r>
      <w:r>
        <w:rPr>
          <w:color w:val="auto"/>
          <w:highlight w:val="none"/>
        </w:rPr>
        <w:t>3</w:t>
      </w:r>
      <w:r>
        <w:rPr>
          <w:rFonts w:hint="eastAsia"/>
          <w:color w:val="auto"/>
          <w:highlight w:val="none"/>
        </w:rPr>
        <w:t>月</w:t>
      </w:r>
      <w:r>
        <w:rPr>
          <w:color w:val="auto"/>
          <w:highlight w:val="none"/>
        </w:rPr>
        <w:t>14</w:t>
      </w:r>
      <w:r>
        <w:rPr>
          <w:rFonts w:hint="eastAsia"/>
          <w:color w:val="auto"/>
          <w:highlight w:val="none"/>
        </w:rPr>
        <w:t>日正式立案，于</w:t>
      </w:r>
      <w:r>
        <w:rPr>
          <w:color w:val="auto"/>
          <w:highlight w:val="none"/>
        </w:rPr>
        <w:t>2024</w:t>
      </w:r>
      <w:r>
        <w:rPr>
          <w:rFonts w:hint="eastAsia"/>
          <w:color w:val="auto"/>
          <w:highlight w:val="none"/>
        </w:rPr>
        <w:t>年</w:t>
      </w:r>
      <w:r>
        <w:rPr>
          <w:color w:val="auto"/>
          <w:highlight w:val="none"/>
        </w:rPr>
        <w:t>6</w:t>
      </w:r>
      <w:r>
        <w:rPr>
          <w:rFonts w:hint="eastAsia"/>
          <w:color w:val="auto"/>
          <w:highlight w:val="none"/>
        </w:rPr>
        <w:t>月</w:t>
      </w:r>
      <w:r>
        <w:rPr>
          <w:color w:val="auto"/>
          <w:highlight w:val="none"/>
        </w:rPr>
        <w:t>17</w:t>
      </w:r>
      <w:r>
        <w:rPr>
          <w:rFonts w:hint="eastAsia"/>
          <w:color w:val="auto"/>
          <w:highlight w:val="none"/>
        </w:rPr>
        <w:t>日开庭。一审威宁法院驳回我方的诉讼请求。我方上诉，二审裁定发回重审，现已立案。截至</w:t>
      </w:r>
      <w:r>
        <w:rPr>
          <w:color w:val="auto"/>
          <w:highlight w:val="none"/>
        </w:rPr>
        <w:t>2024</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日，该诉讼未结束。</w:t>
      </w:r>
    </w:p>
    <w:p>
      <w:pPr>
        <w:pStyle w:val="35"/>
        <w:rPr>
          <w:color w:val="auto"/>
          <w:highlight w:val="none"/>
        </w:rPr>
      </w:pPr>
    </w:p>
    <w:p>
      <w:pPr>
        <w:pStyle w:val="35"/>
        <w:rPr>
          <w:color w:val="auto"/>
          <w:highlight w:val="none"/>
        </w:rPr>
      </w:pPr>
      <w:r>
        <w:rPr>
          <w:rFonts w:hint="eastAsia"/>
          <w:color w:val="auto"/>
          <w:highlight w:val="none"/>
        </w:rPr>
        <w:t>（7）大姚瑞宏新能源开发有限公司系威宁能源子公司。2022年1月26日，原告张家港保税区美成晟新能源科技有限公司与被告1大姚瑞宏新能源开发有限公司代表（被告2耿直、被告3魏道万)在贵阳召开沟通会议，就土地租金以及项目公司分红形成会议纪要并签订《会议纪要》，纪要约定“被告1大姚瑞宏需要最迟于2022年3月前支付原告土地租金以及项目公司分红240万元。”但截止2024年12月,三个被告一直未支付上述款项。现原告张家港保税区美成晟新能源科技有限公司以三个被告违反双方签订的《会议纪要》向云南省大姚县人民法院提起诉讼。2024年12月31日云南省大姚县人民法院做出冻结大姚瑞宏新能源开发有限公司、耿直、魏道万的银行存款采取冻结的保全措施，冻结限额为人民币240万元。2025年1月2日，大姚瑞宏新能源开发有限公司会同顾问律师提交了《复议申请书》，申请对耿直、魏道万账户解封。2025年1月13日，大姚瑞宏新能源开发有限公司及耿直、魏道万到贵州金元协商案件处理情况。2025年1月10日收到开庭通知书，于2025年2月14日进行开庭审理。截至2024年12月31日，该诉讼未结束。</w:t>
      </w:r>
    </w:p>
    <w:p>
      <w:pPr>
        <w:pStyle w:val="35"/>
        <w:rPr>
          <w:color w:val="auto"/>
          <w:highlight w:val="none"/>
        </w:rPr>
      </w:pPr>
    </w:p>
    <w:p>
      <w:pPr>
        <w:pStyle w:val="35"/>
        <w:rPr>
          <w:color w:val="auto"/>
          <w:highlight w:val="none"/>
        </w:rPr>
      </w:pPr>
      <w:r>
        <w:rPr>
          <w:rFonts w:hint="eastAsia"/>
          <w:color w:val="auto"/>
          <w:highlight w:val="none"/>
        </w:rPr>
        <w:t>（8）洛南水发能源科技有限公司系威宁能源孙公司。仲裁事由系申请人水发兴业能源（珠海）有限公司与被申请人洛南水发能源科技有限公司工程款纠纷案，仲裁标的金额1,396.09万元，其中应付工程款1,120.61万元，应付利息252.82万元，应付案件受理费及保全费22.66万元。2024年11月14日前往洛南县人民法院取得执行通知书，2024年11月26日向洛南县人民法院提交申请异议及证据资料。2024年12月6日洛南县人民法院要求对此执行提起诉讼。2024年12月27日陕西至正律师事务所向洛南县人民法院提交《执行异议申请书》，截至2024年12月31日，该诉讼未结束。</w:t>
      </w:r>
    </w:p>
    <w:p>
      <w:pPr>
        <w:pStyle w:val="44"/>
        <w:rPr>
          <w:color w:val="auto"/>
          <w:highlight w:val="none"/>
        </w:rPr>
        <w:sectPr>
          <w:pgSz w:w="11907" w:h="16839"/>
          <w:pgMar w:top="1440" w:right="1797" w:bottom="1440" w:left="1797" w:header="680" w:footer="992" w:gutter="0"/>
          <w:cols w:space="425" w:num="1"/>
          <w:docGrid w:linePitch="312" w:charSpace="0"/>
        </w:sectPr>
      </w:pPr>
    </w:p>
    <w:p>
      <w:pPr>
        <w:pStyle w:val="44"/>
        <w:rPr>
          <w:color w:val="auto"/>
          <w:highlight w:val="none"/>
        </w:rPr>
      </w:pPr>
      <w:r>
        <w:rPr>
          <w:rFonts w:hint="eastAsia"/>
          <w:color w:val="auto"/>
          <w:highlight w:val="none"/>
        </w:rPr>
        <w:t>对集团内、集团外单位提供担保情况（金额单位：人民币万元）</w:t>
      </w:r>
    </w:p>
    <w:p>
      <w:pPr>
        <w:pStyle w:val="35"/>
        <w:rPr>
          <w:color w:val="auto"/>
          <w:highlight w:val="none"/>
        </w:rPr>
      </w:pPr>
      <w:r>
        <w:rPr>
          <w:rFonts w:hint="eastAsia"/>
          <w:color w:val="auto"/>
          <w:highlight w:val="none"/>
        </w:rPr>
        <w:t>（1）融资担保情况表</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"或有事项!或有事项1"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294"/>
        <w:gridCol w:w="1378"/>
        <w:gridCol w:w="1516"/>
        <w:gridCol w:w="1148"/>
        <w:gridCol w:w="1146"/>
        <w:gridCol w:w="1378"/>
        <w:gridCol w:w="1148"/>
        <w:gridCol w:w="1146"/>
        <w:gridCol w:w="1285"/>
        <w:gridCol w:w="11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94"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89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实际担保金额</w:t>
            </w:r>
          </w:p>
        </w:tc>
        <w:tc>
          <w:tcPr>
            <w:tcW w:w="114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反担保金额</w:t>
            </w:r>
          </w:p>
        </w:tc>
        <w:tc>
          <w:tcPr>
            <w:tcW w:w="114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收取担保费</w:t>
            </w:r>
          </w:p>
        </w:tc>
        <w:tc>
          <w:tcPr>
            <w:tcW w:w="137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逾期金额</w:t>
            </w:r>
          </w:p>
        </w:tc>
        <w:tc>
          <w:tcPr>
            <w:tcW w:w="114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被诉金额</w:t>
            </w:r>
          </w:p>
        </w:tc>
        <w:tc>
          <w:tcPr>
            <w:tcW w:w="114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代偿损失金额</w:t>
            </w:r>
          </w:p>
        </w:tc>
        <w:tc>
          <w:tcPr>
            <w:tcW w:w="128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已计入预计负债金额</w:t>
            </w:r>
          </w:p>
        </w:tc>
        <w:tc>
          <w:tcPr>
            <w:tcW w:w="116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其中：本期计入预计负债金额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94"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本年年末数</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上年年末数</w:t>
            </w:r>
          </w:p>
        </w:tc>
        <w:tc>
          <w:tcPr>
            <w:tcW w:w="114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14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7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14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14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28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16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一、融资担保合计</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624,950,557.01</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1,066,796,787.84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59,159,000.00</w:t>
            </w: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（一）对子企业融资担保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310,586,169.17</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400,600,300.00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83,708,800.00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1.按股比担保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226,877,369.17</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316,891,500.00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2.超股比担保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83,708,800.00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83,708,800.00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83,708,800.00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其中：对所控股上市公司担保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对少数股东含员工持股计划的子企业担保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对少数股东含股权基金的子企业担保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（二）对参股企业融资担保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108,159,000.00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459,991,100.00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59,159,000.00</w:t>
            </w: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1.按股比担保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49,000,000.00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49,000,000.00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其中：对不具备持续经营能力的参股企业担保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2.超股比担保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59,159,000.00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410,991,100.00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59,159,000.00</w:t>
            </w: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其中：因划出集团或股权处置形成</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351,610,100.00</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（三）对集团外无股权关系企业融资担保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206,205,387.84</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206,205,387.84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206,205,387.84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其中：因划出集团或股权处置形成</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二、对特殊子企业融资担保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（一）对金融子企业担保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（二）集团内无股权关系子企业互保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（三）对不具备持续经营能力的子企业担保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b/>
                <w:color w:val="auto"/>
                <w:sz w:val="16"/>
                <w:szCs w:val="18"/>
                <w:highlight w:val="none"/>
              </w:rPr>
            </w:pPr>
            <w:r>
              <w:rPr>
                <w:rFonts w:ascii="Times New Roman" w:hAnsi="Times New Roman" w:eastAsia="宋体" w:cs="Times New Roman"/>
                <w:b/>
                <w:color w:val="auto"/>
                <w:sz w:val="16"/>
                <w:szCs w:val="18"/>
                <w:highlight w:val="none"/>
              </w:rPr>
              <w:t>三、隐性融资担保</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（一）共同借款合同</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（二）差额补足承诺</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（三）支持性函件</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1.安慰函</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2.承诺函</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289,914,187.84</w:t>
            </w: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3.流动性支持函</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4.维好协议</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5.其他</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28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6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44"/>
        <w:rPr>
          <w:color w:val="auto"/>
          <w:highlight w:val="none"/>
        </w:rPr>
        <w:sectPr>
          <w:pgSz w:w="16839" w:h="11907" w:orient="landscape"/>
          <w:pgMar w:top="1797" w:right="1440" w:bottom="1797" w:left="1440" w:header="794" w:footer="992" w:gutter="0"/>
          <w:cols w:space="425" w:num="1"/>
          <w:docGrid w:linePitch="312" w:charSpace="0"/>
        </w:sectPr>
      </w:pPr>
    </w:p>
    <w:p>
      <w:pPr>
        <w:pStyle w:val="35"/>
        <w:rPr>
          <w:color w:val="auto"/>
          <w:highlight w:val="none"/>
        </w:rPr>
      </w:pPr>
      <w:r>
        <w:rPr>
          <w:rFonts w:hint="eastAsia"/>
          <w:color w:val="auto"/>
          <w:highlight w:val="none"/>
        </w:rPr>
        <w:t>（2）存量违规融资担保整改情况</w:t>
      </w:r>
    </w:p>
    <w:p>
      <w:pPr>
        <w:pStyle w:val="38"/>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"D:\\work\\20190430V3\\StandardTemplateTool\\template\\SASAC\\Frame\\202112\\SASACFinancialReports.xlsx" "或有事项!或有事项2"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5990"/>
        <w:gridCol w:w="219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58"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342" w:type="pc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（一）2021年末存量违规融资担保余额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6,018.10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1、对参股企业超股比融资担保余额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6,018.10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2、对集团外无股权关系企业融资担保余额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（二）违规融资担保累计清理金额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102</w:t>
            </w:r>
            <w:r>
              <w:rPr>
                <w:rFonts w:ascii="Times New Roman" w:hAnsi="Times New Roman" w:eastAsia="宋体" w:cs="Times New Roman"/>
                <w:color w:val="auto"/>
                <w:sz w:val="16"/>
                <w:szCs w:val="18"/>
                <w:highlight w:val="none"/>
              </w:rPr>
              <w:t>.</w:t>
            </w:r>
            <w:r>
              <w:rPr>
                <w:rFonts w:hint="eastAsia" w:ascii="Times New Roman" w:hAnsi="Times New Roman" w:eastAsia="宋体" w:cs="Times New Roman"/>
                <w:color w:val="auto"/>
                <w:sz w:val="16"/>
                <w:szCs w:val="18"/>
                <w:highlight w:val="none"/>
              </w:rPr>
              <w:t>2</w:t>
            </w:r>
            <w:r>
              <w:rPr>
                <w:rFonts w:ascii="Times New Roman" w:hAnsi="Times New Roman" w:eastAsia="宋体" w:cs="Times New Roman"/>
                <w:color w:val="auto"/>
                <w:sz w:val="16"/>
                <w:szCs w:val="18"/>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1、对参股企业超股比融资担保累计清理金额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hint="eastAsia" w:ascii="Times New Roman" w:hAnsi="Times New Roman" w:eastAsia="宋体" w:cs="Times New Roman"/>
                <w:color w:val="auto"/>
                <w:sz w:val="16"/>
                <w:szCs w:val="18"/>
                <w:highlight w:val="none"/>
              </w:rPr>
              <w:t>102</w:t>
            </w:r>
            <w:r>
              <w:rPr>
                <w:rFonts w:ascii="Times New Roman" w:hAnsi="Times New Roman" w:eastAsia="宋体" w:cs="Times New Roman"/>
                <w:color w:val="auto"/>
                <w:sz w:val="16"/>
                <w:szCs w:val="18"/>
                <w:highlight w:val="none"/>
              </w:rPr>
              <w:t>.</w:t>
            </w:r>
            <w:r>
              <w:rPr>
                <w:rFonts w:hint="eastAsia" w:ascii="Times New Roman" w:hAnsi="Times New Roman" w:eastAsia="宋体" w:cs="Times New Roman"/>
                <w:color w:val="auto"/>
                <w:sz w:val="16"/>
                <w:szCs w:val="18"/>
                <w:highlight w:val="none"/>
              </w:rPr>
              <w:t>2</w:t>
            </w:r>
            <w:r>
              <w:rPr>
                <w:rFonts w:ascii="Times New Roman" w:hAnsi="Times New Roman" w:eastAsia="宋体" w:cs="Times New Roman"/>
                <w:color w:val="auto"/>
                <w:sz w:val="16"/>
                <w:szCs w:val="18"/>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2、对集团外无股权关系企业融资担保累计清理金额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（三）本年末存量违规融资担保余额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5,970.41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1、对参股企业超股比融资担保余额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5,970.41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8" w:type="pct"/>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2、对集团外无股权关系企业融资担保余额</w:t>
            </w:r>
          </w:p>
        </w:tc>
        <w:tc>
          <w:tcPr>
            <w:tcW w:w="1342" w:type="pct"/>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8"/>
        <w:rPr>
          <w:color w:val="auto"/>
          <w:highlight w:val="none"/>
        </w:rPr>
      </w:pPr>
      <w:r>
        <w:rPr>
          <w:color w:val="auto"/>
          <w:highlight w:val="none"/>
        </w:rPr>
        <w:fldChar w:fldCharType="end"/>
      </w:r>
      <w:r>
        <w:rPr>
          <w:rFonts w:hint="eastAsia"/>
          <w:color w:val="auto"/>
          <w:highlight w:val="none"/>
        </w:rPr>
        <w:t>注：</w:t>
      </w:r>
      <w:bookmarkStart w:id="63" w:name="OLE_LINK6"/>
      <w:r>
        <w:rPr>
          <w:rFonts w:hint="eastAsia"/>
          <w:color w:val="auto"/>
          <w:highlight w:val="none"/>
        </w:rPr>
        <w:t>黄织铁路有限责任公司为贵州金元的参股企业(持股比例 1.39%)，2018年8 月，贵州金元与建行河滨支行签订了担保合同，担保起始日期2018年8月 19 日，截止日期2027年12月 20日，为黄织铁路有限责任公司 60,581,000.00元借款提供连带责任保证，2021 年公司为该担保计提了预计损失60,581,000.00元。2023年</w:t>
      </w:r>
      <w:bookmarkStart w:id="64" w:name="OLE_LINK5"/>
      <w:r>
        <w:rPr>
          <w:rFonts w:hint="eastAsia"/>
          <w:color w:val="auto"/>
          <w:highlight w:val="none"/>
        </w:rPr>
        <w:t>黄织铁路有限责任公司归还了</w:t>
      </w:r>
      <w:r>
        <w:rPr>
          <w:color w:val="auto"/>
          <w:highlight w:val="none"/>
        </w:rPr>
        <w:t>800,000.00</w:t>
      </w:r>
      <w:r>
        <w:rPr>
          <w:rFonts w:hint="eastAsia"/>
          <w:color w:val="auto"/>
          <w:highlight w:val="none"/>
        </w:rPr>
        <w:t>元贷款，贵州金元对应的担保余额减少</w:t>
      </w:r>
      <w:r>
        <w:rPr>
          <w:color w:val="auto"/>
          <w:highlight w:val="none"/>
        </w:rPr>
        <w:t>800,000.00</w:t>
      </w:r>
      <w:r>
        <w:rPr>
          <w:rFonts w:hint="eastAsia"/>
          <w:color w:val="auto"/>
          <w:highlight w:val="none"/>
        </w:rPr>
        <w:t>元。</w:t>
      </w:r>
      <w:bookmarkEnd w:id="64"/>
      <w:r>
        <w:rPr>
          <w:rFonts w:hint="eastAsia"/>
          <w:color w:val="auto"/>
          <w:highlight w:val="none"/>
        </w:rPr>
        <w:t>2024年黄织铁路有限责任公司归还了222</w:t>
      </w:r>
      <w:r>
        <w:rPr>
          <w:color w:val="auto"/>
          <w:highlight w:val="none"/>
        </w:rPr>
        <w:t>,000.00</w:t>
      </w:r>
      <w:r>
        <w:rPr>
          <w:rFonts w:hint="eastAsia"/>
          <w:color w:val="auto"/>
          <w:highlight w:val="none"/>
        </w:rPr>
        <w:t>元贷款，贵州金元对应的担保余额减少222</w:t>
      </w:r>
      <w:r>
        <w:rPr>
          <w:color w:val="auto"/>
          <w:highlight w:val="none"/>
        </w:rPr>
        <w:t>,000.00</w:t>
      </w:r>
      <w:r>
        <w:rPr>
          <w:rFonts w:hint="eastAsia"/>
          <w:color w:val="auto"/>
          <w:highlight w:val="none"/>
        </w:rPr>
        <w:t>元。</w:t>
      </w:r>
    </w:p>
    <w:bookmarkEnd w:id="63"/>
    <w:p>
      <w:pPr>
        <w:pStyle w:val="38"/>
        <w:rPr>
          <w:color w:val="auto"/>
          <w:highlight w:val="none"/>
        </w:rPr>
      </w:pPr>
    </w:p>
    <w:p>
      <w:pPr>
        <w:pStyle w:val="43"/>
        <w:rPr>
          <w:rFonts w:eastAsiaTheme="minorEastAsia"/>
          <w:color w:val="auto"/>
          <w:highlight w:val="none"/>
        </w:rPr>
      </w:pPr>
      <w:r>
        <w:rPr>
          <w:rFonts w:eastAsiaTheme="minorEastAsia"/>
          <w:color w:val="auto"/>
          <w:highlight w:val="none"/>
        </w:rPr>
        <w:t>资产负债表日后事项</w:t>
      </w:r>
    </w:p>
    <w:p>
      <w:pPr>
        <w:pStyle w:val="37"/>
        <w:rPr>
          <w:color w:val="auto"/>
          <w:highlight w:val="none"/>
        </w:rPr>
      </w:pPr>
      <w:r>
        <w:rPr>
          <w:rFonts w:hint="eastAsia"/>
          <w:color w:val="auto"/>
          <w:highlight w:val="none"/>
        </w:rPr>
        <w:t>资产负债表日后非调整事项</w:t>
      </w:r>
    </w:p>
    <w:p>
      <w:pPr>
        <w:pStyle w:val="38"/>
        <w:rPr>
          <w:rFonts w:eastAsiaTheme="minorEastAsia"/>
          <w:color w:val="auto"/>
          <w:highlight w:val="none"/>
        </w:rPr>
      </w:pPr>
      <w:r>
        <w:rPr>
          <w:rFonts w:hint="eastAsia" w:eastAsiaTheme="minorEastAsia"/>
          <w:color w:val="auto"/>
          <w:highlight w:val="none"/>
        </w:rPr>
        <w:t>贵州省绥阳县人民法院于2024年12月31日作出（2024）黔0323破申18号《决定书》，决定受理申请人贵州金元智慧能源有限公司（以下简称“贵州金元智慧能源 ”）对被申请人国家电投集团贵州金元绥阳产业有限公司（以下简称“绥阳公司”）的预重整申请，并于同日指定贵州恒易律师事务所担任绥阳公司预重整阶段的临时管理人（以下简称“临时管理人”），向临时管理人送达了上述文书。绥阳公司进入预重整程序。贵州金元智慧能源与绥阳公司均为国家电投集团贵州金元股份有限公司（以下简称“贵州金元”）全资子公司。</w:t>
      </w:r>
    </w:p>
    <w:p>
      <w:pPr>
        <w:pStyle w:val="38"/>
        <w:rPr>
          <w:color w:val="auto"/>
          <w:highlight w:val="none"/>
        </w:rPr>
      </w:pPr>
      <w:r>
        <w:rPr>
          <w:rFonts w:hint="eastAsia"/>
          <w:color w:val="auto"/>
          <w:highlight w:val="none"/>
        </w:rPr>
        <w:t>2025年1月2日，由临时管理人组建的绥阳公司预重整项目组正式进场；</w:t>
      </w:r>
    </w:p>
    <w:p>
      <w:pPr>
        <w:pStyle w:val="38"/>
        <w:rPr>
          <w:color w:val="auto"/>
          <w:highlight w:val="none"/>
        </w:rPr>
      </w:pPr>
      <w:r>
        <w:rPr>
          <w:rFonts w:hint="eastAsia"/>
          <w:color w:val="auto"/>
          <w:highlight w:val="none"/>
        </w:rPr>
        <w:t>2025年2月19日，</w:t>
      </w:r>
      <w:bookmarkStart w:id="65" w:name="OLE_LINK10"/>
      <w:r>
        <w:rPr>
          <w:rFonts w:hint="eastAsia"/>
          <w:color w:val="auto"/>
          <w:highlight w:val="none"/>
        </w:rPr>
        <w:t>临时管理人</w:t>
      </w:r>
      <w:bookmarkEnd w:id="65"/>
      <w:r>
        <w:rPr>
          <w:rFonts w:hint="eastAsia"/>
          <w:color w:val="auto"/>
          <w:highlight w:val="none"/>
        </w:rPr>
        <w:t>发布公告称，重庆市博赛矿业（集团）有限公司（以下简称“博赛集团”）确定成为绥阳公司重整中选投资人；</w:t>
      </w:r>
    </w:p>
    <w:p>
      <w:pPr>
        <w:pStyle w:val="38"/>
        <w:rPr>
          <w:color w:val="auto"/>
          <w:highlight w:val="none"/>
        </w:rPr>
      </w:pPr>
      <w:r>
        <w:rPr>
          <w:rFonts w:hint="eastAsia"/>
          <w:color w:val="auto"/>
          <w:highlight w:val="none"/>
        </w:rPr>
        <w:t>2025年3月21日，绥阳公司召开第一次临时债权人大会；</w:t>
      </w:r>
    </w:p>
    <w:p>
      <w:pPr>
        <w:pStyle w:val="38"/>
        <w:rPr>
          <w:color w:val="auto"/>
          <w:highlight w:val="none"/>
        </w:rPr>
      </w:pPr>
      <w:r>
        <w:rPr>
          <w:rFonts w:hint="eastAsia"/>
          <w:color w:val="auto"/>
          <w:highlight w:val="none"/>
        </w:rPr>
        <w:t>2025年3月26日，绥阳公司铁合金厂在博赛集团提前接管的经营模式下已恢复1台炉生产；</w:t>
      </w:r>
    </w:p>
    <w:p>
      <w:pPr>
        <w:pStyle w:val="38"/>
        <w:rPr>
          <w:color w:val="auto"/>
          <w:highlight w:val="none"/>
        </w:rPr>
      </w:pPr>
      <w:r>
        <w:rPr>
          <w:rFonts w:hint="eastAsia"/>
          <w:color w:val="auto"/>
          <w:highlight w:val="none"/>
        </w:rPr>
        <w:t>2025年3月31日，绥阳公司第一次临时债权人会议表决期限截止，各债权组和职工组均已表决通过《预重整方案（表决版）》；</w:t>
      </w:r>
    </w:p>
    <w:p>
      <w:pPr>
        <w:pStyle w:val="38"/>
        <w:rPr>
          <w:color w:val="auto"/>
          <w:highlight w:val="none"/>
        </w:rPr>
      </w:pPr>
      <w:r>
        <w:rPr>
          <w:rFonts w:hint="eastAsia"/>
          <w:color w:val="auto"/>
          <w:highlight w:val="none"/>
        </w:rPr>
        <w:t>2025年4月2日，绥阳公司增加3台炉生产，同时发电厂启动1台机组带动共计4台炉进行铁合金生产；</w:t>
      </w:r>
    </w:p>
    <w:p>
      <w:pPr>
        <w:pStyle w:val="38"/>
        <w:rPr>
          <w:color w:val="auto"/>
          <w:highlight w:val="none"/>
        </w:rPr>
      </w:pPr>
      <w:r>
        <w:rPr>
          <w:rFonts w:hint="eastAsia"/>
          <w:color w:val="auto"/>
          <w:highlight w:val="none"/>
        </w:rPr>
        <w:t>截至财务报告批准报出日，临时管理人已向法院提交破产重整申请预重整方案和其他相关材料，法院针对该事项仍处于审理进程中，尚未作出最终裁决。</w:t>
      </w:r>
    </w:p>
    <w:p>
      <w:pPr>
        <w:pStyle w:val="38"/>
        <w:rPr>
          <w:color w:val="auto"/>
          <w:highlight w:val="none"/>
        </w:rPr>
      </w:pPr>
    </w:p>
    <w:p>
      <w:pPr>
        <w:pStyle w:val="43"/>
        <w:rPr>
          <w:rFonts w:eastAsiaTheme="minorEastAsia"/>
          <w:color w:val="auto"/>
          <w:highlight w:val="none"/>
        </w:rPr>
      </w:pPr>
      <w:r>
        <w:rPr>
          <w:rFonts w:eastAsiaTheme="minorEastAsia"/>
          <w:color w:val="auto"/>
          <w:highlight w:val="none"/>
        </w:rPr>
        <w:t>关联方</w:t>
      </w:r>
      <w:r>
        <w:rPr>
          <w:rFonts w:hint="eastAsia" w:eastAsiaTheme="minorEastAsia"/>
          <w:color w:val="auto"/>
          <w:highlight w:val="none"/>
        </w:rPr>
        <w:t>关系</w:t>
      </w:r>
      <w:r>
        <w:rPr>
          <w:rFonts w:eastAsiaTheme="minorEastAsia"/>
          <w:color w:val="auto"/>
          <w:highlight w:val="none"/>
        </w:rPr>
        <w:t>及</w:t>
      </w:r>
      <w:r>
        <w:rPr>
          <w:rFonts w:hint="eastAsia" w:eastAsiaTheme="minorEastAsia"/>
          <w:color w:val="auto"/>
          <w:highlight w:val="none"/>
        </w:rPr>
        <w:t>其</w:t>
      </w:r>
      <w:r>
        <w:rPr>
          <w:rFonts w:eastAsiaTheme="minorEastAsia"/>
          <w:color w:val="auto"/>
          <w:highlight w:val="none"/>
        </w:rPr>
        <w:t>交易</w:t>
      </w:r>
    </w:p>
    <w:p>
      <w:pPr>
        <w:pStyle w:val="37"/>
        <w:rPr>
          <w:rFonts w:eastAsiaTheme="minorEastAsia"/>
          <w:color w:val="auto"/>
          <w:highlight w:val="none"/>
        </w:rPr>
      </w:pPr>
      <w:r>
        <w:rPr>
          <w:rFonts w:eastAsiaTheme="minorEastAsia"/>
          <w:color w:val="auto"/>
          <w:highlight w:val="none"/>
        </w:rPr>
        <w:t>本公司的母公司情况</w:t>
      </w:r>
    </w:p>
    <w:p>
      <w:pPr>
        <w:pStyle w:val="38"/>
        <w:jc w:val="right"/>
        <w:rPr>
          <w:rFonts w:eastAsiaTheme="minorEastAsia"/>
          <w:color w:val="auto"/>
          <w:highlight w:val="none"/>
        </w:rPr>
      </w:pPr>
      <w:r>
        <w:rPr>
          <w:rFonts w:hint="eastAsia" w:eastAsiaTheme="minorEastAsia"/>
          <w:color w:val="auto"/>
          <w:highlight w:val="none"/>
        </w:rPr>
        <w:t>金额单位：人民币万元</w:t>
      </w: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 </w:instrText>
      </w:r>
      <w:r>
        <w:rPr>
          <w:rFonts w:hint="eastAsia" w:eastAsiaTheme="minorEastAsia"/>
          <w:color w:val="auto"/>
          <w:highlight w:val="none"/>
        </w:rPr>
        <w:instrText xml:space="preserve">关联方关系及其交易</w:instrText>
      </w:r>
      <w:r>
        <w:rPr>
          <w:rFonts w:eastAsiaTheme="minorEastAsia"/>
          <w:color w:val="auto"/>
          <w:highlight w:val="none"/>
        </w:rPr>
        <w:instrText xml:space="preserve">!关联方情况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519"/>
        <w:gridCol w:w="914"/>
        <w:gridCol w:w="2061"/>
        <w:gridCol w:w="1248"/>
        <w:gridCol w:w="1195"/>
        <w:gridCol w:w="12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母公司名称</w:t>
            </w:r>
          </w:p>
        </w:tc>
        <w:tc>
          <w:tcPr>
            <w:tcW w:w="91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注册地</w:t>
            </w:r>
          </w:p>
        </w:tc>
        <w:tc>
          <w:tcPr>
            <w:tcW w:w="206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业务性质</w:t>
            </w:r>
          </w:p>
        </w:tc>
        <w:tc>
          <w:tcPr>
            <w:tcW w:w="124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注册资本</w:t>
            </w:r>
          </w:p>
        </w:tc>
        <w:tc>
          <w:tcPr>
            <w:tcW w:w="119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母公司对本企业的持股比例（%）</w:t>
            </w:r>
          </w:p>
        </w:tc>
        <w:tc>
          <w:tcPr>
            <w:tcW w:w="125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母公司对本企业的表决权比例（%）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19"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国家电力投资集团有限公司</w:t>
            </w:r>
          </w:p>
        </w:tc>
        <w:tc>
          <w:tcPr>
            <w:tcW w:w="91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北京</w:t>
            </w:r>
          </w:p>
        </w:tc>
        <w:tc>
          <w:tcPr>
            <w:tcW w:w="206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实业投资管理、电能开发、投资、建设经营</w:t>
            </w: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3,500,000.00</w:t>
            </w:r>
          </w:p>
        </w:tc>
        <w:tc>
          <w:tcPr>
            <w:tcW w:w="119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68.05</w:t>
            </w:r>
          </w:p>
        </w:tc>
        <w:tc>
          <w:tcPr>
            <w:tcW w:w="125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68.05</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本公司的子</w:t>
      </w:r>
      <w:r>
        <w:rPr>
          <w:rFonts w:hint="eastAsia" w:eastAsiaTheme="minorEastAsia"/>
          <w:color w:val="auto"/>
          <w:highlight w:val="none"/>
        </w:rPr>
        <w:t>企业</w:t>
      </w:r>
      <w:r>
        <w:rPr>
          <w:rFonts w:eastAsiaTheme="minorEastAsia"/>
          <w:color w:val="auto"/>
          <w:highlight w:val="none"/>
        </w:rPr>
        <w:t>情况</w:t>
      </w:r>
    </w:p>
    <w:p>
      <w:pPr>
        <w:pStyle w:val="38"/>
        <w:rPr>
          <w:color w:val="auto"/>
          <w:highlight w:val="none"/>
        </w:rPr>
      </w:pPr>
      <w:r>
        <w:rPr>
          <w:rFonts w:hint="eastAsia"/>
          <w:color w:val="auto"/>
          <w:highlight w:val="none"/>
        </w:rPr>
        <w:t>详见附注“七、（一）子企业情况”。</w:t>
      </w:r>
    </w:p>
    <w:p>
      <w:pPr>
        <w:pStyle w:val="38"/>
        <w:rPr>
          <w:rFonts w:eastAsiaTheme="minorEastAsia"/>
          <w:color w:val="auto"/>
          <w:highlight w:val="none"/>
        </w:rPr>
      </w:pPr>
    </w:p>
    <w:p>
      <w:pPr>
        <w:pStyle w:val="37"/>
        <w:rPr>
          <w:rFonts w:eastAsiaTheme="minorEastAsia"/>
          <w:color w:val="auto"/>
          <w:highlight w:val="none"/>
        </w:rPr>
      </w:pPr>
      <w:r>
        <w:rPr>
          <w:rFonts w:eastAsiaTheme="minorEastAsia"/>
          <w:color w:val="auto"/>
          <w:highlight w:val="none"/>
        </w:rPr>
        <w:t>本公司的合营</w:t>
      </w:r>
      <w:r>
        <w:rPr>
          <w:rFonts w:hint="eastAsia" w:eastAsiaTheme="minorEastAsia"/>
          <w:color w:val="auto"/>
          <w:highlight w:val="none"/>
        </w:rPr>
        <w:t>企业、</w:t>
      </w:r>
      <w:r>
        <w:rPr>
          <w:rFonts w:eastAsiaTheme="minorEastAsia"/>
          <w:color w:val="auto"/>
          <w:highlight w:val="none"/>
        </w:rPr>
        <w:t>联营企业情况</w:t>
      </w:r>
    </w:p>
    <w:p>
      <w:pPr>
        <w:pStyle w:val="38"/>
        <w:rPr>
          <w:color w:val="auto"/>
          <w:highlight w:val="none"/>
        </w:rPr>
      </w:pPr>
      <w:r>
        <w:rPr>
          <w:rFonts w:hint="eastAsia"/>
          <w:color w:val="auto"/>
          <w:highlight w:val="none"/>
        </w:rPr>
        <w:t>详见附注“八、（十二）长期股权投资”。</w:t>
      </w: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关联方关系及其交易</w:instrText>
      </w:r>
      <w:r>
        <w:rPr>
          <w:color w:val="auto"/>
          <w:highlight w:val="none"/>
        </w:rPr>
        <w:instrText xml:space="preserve">!关联方情况1</w:instrText>
      </w:r>
      <w:r>
        <w:rPr>
          <w:rFonts w:hint="eastAsia"/>
          <w:color w:val="auto"/>
          <w:highlight w:val="none"/>
        </w:rPr>
        <w:instrText xml:space="preserve">b</w:instrText>
      </w:r>
      <w:r>
        <w:rPr>
          <w:color w:val="auto"/>
          <w:highlight w:val="none"/>
        </w:rPr>
        <w:instrText xml:space="preserve"> \f 4 \h \* MERGEFORMAT </w:instrText>
      </w:r>
      <w:r>
        <w:rPr>
          <w:color w:val="auto"/>
          <w:highlight w:val="none"/>
        </w:rPr>
        <w:fldChar w:fldCharType="separate"/>
      </w:r>
    </w:p>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本公司的</w:t>
      </w:r>
      <w:r>
        <w:rPr>
          <w:rFonts w:eastAsiaTheme="minorEastAsia"/>
          <w:color w:val="auto"/>
          <w:highlight w:val="none"/>
        </w:rPr>
        <w:t>其他关联方情况</w:t>
      </w:r>
    </w:p>
    <w:p>
      <w:pPr>
        <w:pStyle w:val="38"/>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!关联方情况2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5482"/>
        <w:gridCol w:w="27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54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其他关联方名称</w:t>
            </w:r>
          </w:p>
        </w:tc>
        <w:tc>
          <w:tcPr>
            <w:tcW w:w="2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与本公司的关系</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新源智储能源发展（北京）有限公司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贵州远达金元环保有限公司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国家电投集团远达环保工程有限公司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国核电力规划设计研究院重庆有限公司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上海发电设备成套设计研究院有限责任公司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华泽（天津）商业保理有限公司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国家电投集团远达环保催化剂有限公司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国家电投集团碳资产管理有限公司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北京融和云链科技有限公司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国核电力规划设计研究院有限公司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山东电力工程咨询院有限公司发电设计研究院</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国核自仪系统工程有限公司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国电投河南工程运维有限公司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山东泛能能源发展研究院有限公司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云南翠源物资商贸发展有限公司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广西国电投博能售电有限公司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山东电力工程咨询院有限公司规划咨询部</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电能（北京）工程监理有限公司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国家电投集团广东电力有限公司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国家电投集团云南国际电力投资有限公司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国电投重庆能源研究院有限公司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国家电投集团保险经纪有限公司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大庆黄和光储实证研究有限公司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国家电力投资集团有限公司物资装备分公司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国家电投集团东北电力有限公司本溪热电分公司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山东中电新能源工程有限公司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青海黄河中型水电开发有限责任公司乌兰新能源分公司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国家电投集团科学技术研究院有限公司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内蒙古电投霍白配售电有限公司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中电华创电力技术研究有限公司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国电投（天津）投资管理有限公司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国家电投集团江苏电力有限公司生产监控调度培训中心</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上海电力股份有限公司技能培训中心</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贵州黔东电力有限公司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山东电力工程咨询院有限公司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上海启源芯动力科技有限公司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国家电投集团电站运营技术（北京）有限公司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上海上电售电有限公司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山东核电设备制造有限公司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国家电投集团内蒙古白音华煤电有限公司赤峰新城热电分公司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国家电投集团内蒙古能源有限公司赤峰热电厂</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内蒙古电投能源机关</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内蒙古霍煤鸿骏铝电有限责任公司总公司铝厂侧</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赤峰白音华物流有限公司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中国电能成套设备有限公司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国家电力投资集团公司物资装备分公司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中氢金元（北京）新能源有限公司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国核电站运行服务技术有限公司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国家电投集团北京电能碳资产管理有限公司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国家电投集团远达水务有限公司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青海黄河上游水电开发有限责任公司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上海和运工程咨询有限公司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国家电投集团西藏能源有限公司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贵州省习水鼎泰能源开发有限责任公司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同一最终控制方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贵州鸭溪发电有限公司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联营企业子公司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5482"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联营企业</w:t>
            </w:r>
          </w:p>
        </w:tc>
      </w:tr>
    </w:tbl>
    <w:p>
      <w:pPr>
        <w:pStyle w:val="38"/>
        <w:rPr>
          <w:rFonts w:eastAsiaTheme="minorEastAsia"/>
          <w:color w:val="auto"/>
          <w:highlight w:val="none"/>
        </w:rPr>
      </w:pPr>
      <w:r>
        <w:rPr>
          <w:rFonts w:eastAsiaTheme="minorEastAsia"/>
          <w:color w:val="auto"/>
          <w:highlight w:val="none"/>
        </w:rPr>
        <w:fldChar w:fldCharType="end"/>
      </w:r>
    </w:p>
    <w:p>
      <w:pPr>
        <w:pStyle w:val="35"/>
        <w:rPr>
          <w:color w:val="auto"/>
          <w:highlight w:val="none"/>
        </w:rPr>
      </w:pPr>
    </w:p>
    <w:p>
      <w:pPr>
        <w:pStyle w:val="35"/>
        <w:rPr>
          <w:color w:val="auto"/>
          <w:highlight w:val="none"/>
        </w:rPr>
        <w:sectPr>
          <w:pgSz w:w="11907" w:h="16839"/>
          <w:pgMar w:top="1440" w:right="1797" w:bottom="1440" w:left="1797" w:header="680"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关联</w:t>
      </w:r>
      <w:r>
        <w:rPr>
          <w:rFonts w:hint="eastAsia" w:eastAsiaTheme="minorEastAsia"/>
          <w:color w:val="auto"/>
          <w:highlight w:val="none"/>
        </w:rPr>
        <w:t>方</w:t>
      </w:r>
      <w:r>
        <w:rPr>
          <w:rFonts w:eastAsiaTheme="minorEastAsia"/>
          <w:color w:val="auto"/>
          <w:highlight w:val="none"/>
        </w:rPr>
        <w:t>交易</w:t>
      </w:r>
    </w:p>
    <w:p>
      <w:pPr>
        <w:pStyle w:val="44"/>
        <w:rPr>
          <w:color w:val="auto"/>
          <w:highlight w:val="none"/>
        </w:rPr>
      </w:pPr>
      <w:r>
        <w:rPr>
          <w:color w:val="auto"/>
          <w:highlight w:val="none"/>
        </w:rPr>
        <w:t>存在控制关系且已纳入本公司合并报表范围的子公司，其相互间交易及母子公司交易已作抵销。</w:t>
      </w:r>
    </w:p>
    <w:p>
      <w:pPr>
        <w:pStyle w:val="35"/>
        <w:rPr>
          <w:color w:val="auto"/>
          <w:highlight w:val="none"/>
        </w:rPr>
      </w:pPr>
    </w:p>
    <w:p>
      <w:pPr>
        <w:pStyle w:val="44"/>
        <w:rPr>
          <w:color w:val="auto"/>
          <w:highlight w:val="none"/>
        </w:rPr>
      </w:pPr>
      <w:r>
        <w:rPr>
          <w:color w:val="auto"/>
          <w:highlight w:val="none"/>
        </w:rPr>
        <w:t>采购商品/接受劳务情况</w:t>
      </w:r>
    </w:p>
    <w:p>
      <w:pPr>
        <w:pStyle w:val="35"/>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!关联方情况3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601"/>
        <w:gridCol w:w="1787"/>
        <w:gridCol w:w="1450"/>
        <w:gridCol w:w="1228"/>
        <w:gridCol w:w="1640"/>
        <w:gridCol w:w="1509"/>
        <w:gridCol w:w="13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460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关联方</w:t>
            </w:r>
          </w:p>
        </w:tc>
        <w:tc>
          <w:tcPr>
            <w:tcW w:w="178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关联交易内容</w:t>
            </w:r>
          </w:p>
        </w:tc>
        <w:tc>
          <w:tcPr>
            <w:tcW w:w="145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关联交易定价方式及决策程序</w:t>
            </w:r>
          </w:p>
        </w:tc>
        <w:tc>
          <w:tcPr>
            <w:tcW w:w="2868"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本期金额</w:t>
            </w:r>
          </w:p>
        </w:tc>
        <w:tc>
          <w:tcPr>
            <w:tcW w:w="290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60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78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5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228"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640"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占同类交易比例（%）</w:t>
            </w:r>
          </w:p>
        </w:tc>
        <w:tc>
          <w:tcPr>
            <w:tcW w:w="1509"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393"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占同类交易比例（%）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贵州远达金元环保有限公司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接受环保劳务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206,676,841.81</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315,892,400.68</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国核电力规划设计研究院重庆有限公司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113,772,791.77</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95.41</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17,185,201.33</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国家电投集团东北电力有限公司本溪热电分公司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其他收入</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34,938,490.57</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93.28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电能（北京）工程监理有限公司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2,857,391.53</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2.51</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203,773.58</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0.02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国核电站运行服务技术有限公司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2,822,405.66</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58.73</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山东中电新能源工程有限公司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2,489,632.89</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2.08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国家电投集团科学技术研究院有限公司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其他收入</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2,212,264.14</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5.91</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国核电力规划设计研究院有限公司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项目建设费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1,463,207.55</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1,874,528.30</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89.43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国家电投集团碳资产管理有限公司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1,061,320.77</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22.08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2,311,320.72</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60.34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国家电投集团远达环保工程有限公司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工程承包</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863,217.30</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53.98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66,347,537.80</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青海黄河中型水电开发有限责任公司乌兰新能源分公司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固定资产出租</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840,707.96</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国电投河南工程运维有限公司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监理费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832,075.47</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754,716.98</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北京鲁电国际电力工程有限公司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工程承包</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735,849.06</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46.02</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国核自仪系统工程有限公司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工程合同结算款</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532,075.48</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1,197,216.61</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技术开发分公司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360,943.39</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7.51</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内蒙古电投霍白配售电有限公司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其他收入</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306,603.77</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0.81</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青海黄河上游水电开发有限责任公司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委托运营收入</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282,547.16</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国家电投集团广东电力有限公司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215,189.28</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4.48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71,377.54</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中电华创电力技术研究有限公司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113,509.43</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2.36</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山东电力工程咨询院有限公司发电设计研究院</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101,886.79</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2.12</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1,448,113.21</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设计咨询分公司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95,094.34</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1.98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云南翠源物资商贸发展有限公司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93,999.98</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91.38</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244,928.25</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国家电投集团电站运营技术（北京）有限公司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技术服务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35,579.23</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0.74</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国家电投集团云南国际电力投资有限公司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售电服务费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28,301.89</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66,037.74</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国电投（天津）投资管理有限公司（母公司）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咨询费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18,867.92</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国家电投集团江苏电力有限公司生产监控调度培训中心</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6,603.78</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6.42</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上海电力股份有限公司技能培训中心</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2,264.15</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2.20</w:t>
            </w: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新源智储能源发展（北京）有限公司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工程服务</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1,207,619,999.99</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98.58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上海发电设备成套设计研究院有限责任公司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咨询费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8,573,773.58</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93.52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华泽（天津）商业保理有限公司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手续费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3,343,729.65</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60.69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国家电投集团远达环保催化剂有限公司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采购物资</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3,185,908.41</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北京融和云链科技有限公司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手续费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2,165,555.66</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39.31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山东泛能能源发展研究院有限公司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咨询费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377,358.49</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广西国电投博能售电有限公司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项目建设费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221,477.99</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山东电力工程咨询院有限公司规划咨询部</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咨询费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216,981.13</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国电投重庆能源研究院有限公司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服务费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49,504.95</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国家电投集团保险经纪有限公司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保险费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28,301.89</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601"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大庆黄和光储实证研究有限公司</w:t>
            </w:r>
          </w:p>
        </w:tc>
        <w:tc>
          <w:tcPr>
            <w:tcW w:w="1787"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会议费</w:t>
            </w:r>
          </w:p>
        </w:tc>
        <w:tc>
          <w:tcPr>
            <w:tcW w:w="1450"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228"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509"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2,830.19</w:t>
            </w:r>
          </w:p>
        </w:tc>
        <w:tc>
          <w:tcPr>
            <w:tcW w:w="1393"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r>
    </w:tbl>
    <w:p>
      <w:pPr>
        <w:pStyle w:val="35"/>
        <w:rPr>
          <w:rFonts w:eastAsiaTheme="minorEastAsia"/>
          <w:color w:val="auto"/>
          <w:highlight w:val="none"/>
        </w:rPr>
      </w:pPr>
      <w:r>
        <w:rPr>
          <w:rFonts w:eastAsiaTheme="minorEastAsia"/>
          <w:color w:val="auto"/>
          <w:highlight w:val="none"/>
        </w:rPr>
        <w:fldChar w:fldCharType="end"/>
      </w:r>
    </w:p>
    <w:p>
      <w:pPr>
        <w:pStyle w:val="44"/>
        <w:rPr>
          <w:color w:val="auto"/>
          <w:highlight w:val="none"/>
        </w:rPr>
      </w:pPr>
      <w:r>
        <w:rPr>
          <w:color w:val="auto"/>
          <w:highlight w:val="none"/>
        </w:rPr>
        <w:t>出售商品/提供劳务情况</w:t>
      </w:r>
    </w:p>
    <w:p>
      <w:pPr>
        <w:pStyle w:val="35"/>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!关联方情况4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5125"/>
        <w:gridCol w:w="1659"/>
        <w:gridCol w:w="1358"/>
        <w:gridCol w:w="1357"/>
        <w:gridCol w:w="1207"/>
        <w:gridCol w:w="1660"/>
        <w:gridCol w:w="12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blHeader/>
        </w:trPr>
        <w:tc>
          <w:tcPr>
            <w:tcW w:w="512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关联方</w:t>
            </w:r>
          </w:p>
        </w:tc>
        <w:tc>
          <w:tcPr>
            <w:tcW w:w="165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关联交易内容</w:t>
            </w:r>
          </w:p>
        </w:tc>
        <w:tc>
          <w:tcPr>
            <w:tcW w:w="135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关联交易定价方式及决策程序</w:t>
            </w:r>
          </w:p>
        </w:tc>
        <w:tc>
          <w:tcPr>
            <w:tcW w:w="256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本期金额</w:t>
            </w:r>
          </w:p>
        </w:tc>
        <w:tc>
          <w:tcPr>
            <w:tcW w:w="290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blHeader/>
        </w:trPr>
        <w:tc>
          <w:tcPr>
            <w:tcW w:w="512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5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5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35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207"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占同类交易比例（%）</w:t>
            </w:r>
          </w:p>
        </w:tc>
        <w:tc>
          <w:tcPr>
            <w:tcW w:w="1660"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金额</w:t>
            </w:r>
          </w:p>
        </w:tc>
        <w:tc>
          <w:tcPr>
            <w:tcW w:w="1242" w:type="dxa"/>
            <w:shd w:val="clear" w:color="auto" w:fill="auto"/>
            <w:vAlign w:val="center"/>
          </w:tcPr>
          <w:p>
            <w:pPr>
              <w:snapToGrid w:val="0"/>
              <w:spacing w:line="200" w:lineRule="atLeast"/>
              <w:jc w:val="center"/>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占同类交易比例（%）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贵州远达金元环保有限公司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委托运营收入</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143,226,227.24</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山东电力工程咨询院有限公司（本部）</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监造服务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2,359,455.00</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75.23</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贵州黔东电力有限公司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煤炭销售</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17,962,580.84</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贵州黔东电力有限公司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售电业务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27,700,993.24</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24.77</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上海上电售电有限公司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其他收入</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345,826.90</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大庆黄和光储实证研究有限公司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75.47</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赤峰白音华物流有限公司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31,792.45</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100.00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国家电投集团内蒙古白音华煤电有限公司赤峰新城热电分公司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114,452.83</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28.20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国家电投集团内蒙古能源有限公司赤峰热电厂</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培训费</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66,353.92</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25.40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中国电能成套设备有限公司本部</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咨询服务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2,188,113.21</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14.72</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贵州黔东电力有限公司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煤炭销售</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54,557,441.32</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14.10</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山东核电设备制造有限公司（母公司）</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培训会议服务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127,075.50</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10.51</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内蒙古电投能源机关</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培训会议服务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63,537.75</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7.05</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27" w:hRule="atLeast"/>
        </w:trPr>
        <w:tc>
          <w:tcPr>
            <w:tcW w:w="5125"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内蒙古霍煤鸿骏铝电有限责任公司总公司铝厂侧</w:t>
            </w:r>
          </w:p>
        </w:tc>
        <w:tc>
          <w:tcPr>
            <w:tcW w:w="1659"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培训会议服务</w:t>
            </w:r>
          </w:p>
        </w:tc>
        <w:tc>
          <w:tcPr>
            <w:tcW w:w="1358" w:type="dxa"/>
            <w:shd w:val="clear" w:color="auto" w:fill="auto"/>
            <w:vAlign w:val="center"/>
          </w:tcPr>
          <w:p>
            <w:pPr>
              <w:snapToGrid w:val="0"/>
              <w:spacing w:line="200" w:lineRule="atLeast"/>
              <w:jc w:val="lef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市场价</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47,358.50</w:t>
            </w:r>
          </w:p>
        </w:tc>
        <w:tc>
          <w:tcPr>
            <w:tcW w:w="1207"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r>
              <w:rPr>
                <w:rFonts w:ascii="Times New Roman" w:hAnsi="Times New Roman" w:eastAsia="宋体" w:cs="Times New Roman"/>
                <w:color w:val="auto"/>
                <w:sz w:val="16"/>
                <w:szCs w:val="15"/>
                <w:highlight w:val="none"/>
              </w:rPr>
              <w:t>0.02</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c>
          <w:tcPr>
            <w:tcW w:w="1242" w:type="dxa"/>
            <w:shd w:val="clear" w:color="auto" w:fill="auto"/>
            <w:vAlign w:val="center"/>
          </w:tcPr>
          <w:p>
            <w:pPr>
              <w:snapToGrid w:val="0"/>
              <w:spacing w:line="200" w:lineRule="atLeast"/>
              <w:jc w:val="right"/>
              <w:rPr>
                <w:rFonts w:ascii="Times New Roman" w:hAnsi="Times New Roman" w:eastAsia="宋体" w:cs="Times New Roman"/>
                <w:color w:val="auto"/>
                <w:sz w:val="16"/>
                <w:szCs w:val="15"/>
                <w:highlight w:val="none"/>
              </w:rPr>
            </w:pPr>
          </w:p>
        </w:tc>
      </w:tr>
    </w:tbl>
    <w:p>
      <w:pPr>
        <w:pStyle w:val="35"/>
        <w:rPr>
          <w:rFonts w:eastAsiaTheme="minorEastAsia"/>
          <w:color w:val="auto"/>
          <w:highlight w:val="none"/>
        </w:rPr>
        <w:sectPr>
          <w:pgSz w:w="16839" w:h="11907" w:orient="landscape"/>
          <w:pgMar w:top="1797" w:right="1440" w:bottom="1797" w:left="1440" w:header="680" w:footer="992" w:gutter="0"/>
          <w:cols w:space="425" w:num="1"/>
          <w:docGrid w:linePitch="312" w:charSpace="0"/>
        </w:sectPr>
      </w:pPr>
      <w:r>
        <w:rPr>
          <w:rFonts w:eastAsiaTheme="minorEastAsia"/>
          <w:color w:val="auto"/>
          <w:highlight w:val="none"/>
        </w:rPr>
        <w:fldChar w:fldCharType="end"/>
      </w:r>
    </w:p>
    <w:p>
      <w:pPr>
        <w:pStyle w:val="44"/>
        <w:rPr>
          <w:rFonts w:eastAsiaTheme="minorEastAsia"/>
          <w:color w:val="auto"/>
          <w:highlight w:val="none"/>
        </w:rPr>
      </w:pPr>
      <w:r>
        <w:rPr>
          <w:rFonts w:eastAsiaTheme="minorEastAsia"/>
          <w:color w:val="auto"/>
          <w:highlight w:val="none"/>
        </w:rPr>
        <w:t>关联方资金拆借</w:t>
      </w:r>
    </w:p>
    <w:p>
      <w:pPr>
        <w:pStyle w:val="35"/>
        <w:rPr>
          <w:rFonts w:eastAsiaTheme="minorEastAsia"/>
          <w:b/>
          <w:bCs/>
          <w:color w:val="auto"/>
          <w:highlight w:val="none"/>
        </w:rPr>
      </w:pPr>
      <w:r>
        <w:rPr>
          <w:color w:val="auto"/>
          <w:highlight w:val="none"/>
        </w:rPr>
        <w:t>向关联方拆入资金</w:t>
      </w:r>
    </w:p>
    <w:p>
      <w:pPr>
        <w:pStyle w:val="35"/>
        <w:rPr>
          <w:rFonts w:eastAsiaTheme="minorEastAsia"/>
          <w:color w:val="auto"/>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!关联方情况1</w:instrText>
      </w:r>
      <w:r>
        <w:rPr>
          <w:rFonts w:hint="eastAsia" w:eastAsiaTheme="minorEastAsia"/>
          <w:color w:val="auto"/>
          <w:highlight w:val="none"/>
        </w:rPr>
        <w:instrText xml:space="preserve">0</w:instrText>
      </w:r>
      <w:r>
        <w:rPr>
          <w:rFonts w:eastAsiaTheme="minorEastAsia"/>
          <w:color w:val="auto"/>
          <w:highlight w:val="none"/>
        </w:rPr>
        <w:instrText xml:space="preserve">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520"/>
        <w:gridCol w:w="1371"/>
        <w:gridCol w:w="1219"/>
        <w:gridCol w:w="1372"/>
        <w:gridCol w:w="27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2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关联方</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拆入金额</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起始日</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到期日</w:t>
            </w:r>
          </w:p>
        </w:tc>
        <w:tc>
          <w:tcPr>
            <w:tcW w:w="2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说明</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970,000,000.00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2024/6/14</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2025/6/13</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短期借款，利率2.90%，2024年利息支出15,490,767.12元。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2024/2/7</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2026/2/6</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长期借款，利率3.00%，2024年利息支出24,336,986.30元。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2024/12/10</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2025/12/9</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短期借款，利率2.50%，2024年利息支出602,739.73元。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2024/12/26</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2025/1/25</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短期借款，利率2.90%，2024年利息支出171,616.44元。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310,000,000.00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2024/8/20</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2026/8/19</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长期借款，利率2.00%，2024年利息支出2,276,164.38元。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2024/8/16</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2026/8/15</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长期借款，利率2.00%，2024年利息支出2,268,493.15元。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2024/6/14</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2025/6/13</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短期借款，利率2.65%，2024年利息支出4,377,945.21元。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2024/12/25</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2025/12/24</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短期借款，利率2.50%，2024年利息支出95,890.41元。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2024/7/5</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2025/7/4</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短期借款，利率2.65%，2024年利息支出2,613,698.63元。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2024/9/29</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2025/3/28</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短期借款，利率2.90%，2024年利息支出298,739.73元。</w:t>
            </w: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r>
        <w:rPr>
          <w:color w:val="auto"/>
          <w:highlight w:val="none"/>
        </w:rPr>
        <w:t>向关联方拆出资金</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Excel.SheetMacroEnabled.12 "D:\\tonylee\\立信\\新附注排版工具\\2015央企年报格式\\中央企业财务报表和报表附注20160818V2.xlsm" "关联方关系及其交易!关联方情况11"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520"/>
        <w:gridCol w:w="1371"/>
        <w:gridCol w:w="1219"/>
        <w:gridCol w:w="1372"/>
        <w:gridCol w:w="27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2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关联方</w:t>
            </w:r>
          </w:p>
        </w:tc>
        <w:tc>
          <w:tcPr>
            <w:tcW w:w="137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拆出金额</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起始日</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到期日</w:t>
            </w:r>
          </w:p>
        </w:tc>
        <w:tc>
          <w:tcPr>
            <w:tcW w:w="2706"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说明</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贵州金益煤炭开发有限公司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2024/3/5</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2025/3/4</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债权投资，利率 3.50%，2024 年利息收入6,660,547.95元。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贵州金益煤炭开发有限公司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2024/12/13</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2025/1/12</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债权投资，利率 3.20%，2024 年利息收入149,917.81元。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贵州林华矿业有限公司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460,000,000.00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2024/3/1</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2025/3/1</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债权投资，利率 3.50%，2024 年利息收入13,497,534.25元。</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2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贵州林华矿业有限公司</w:t>
            </w:r>
          </w:p>
        </w:tc>
        <w:tc>
          <w:tcPr>
            <w:tcW w:w="1371"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204,000,000.00</w:t>
            </w:r>
          </w:p>
        </w:tc>
        <w:tc>
          <w:tcPr>
            <w:tcW w:w="1219"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2024/12/27</w:t>
            </w:r>
          </w:p>
        </w:tc>
        <w:tc>
          <w:tcPr>
            <w:tcW w:w="137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2025/3/26</w:t>
            </w:r>
          </w:p>
        </w:tc>
        <w:tc>
          <w:tcPr>
            <w:tcW w:w="2706"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债权投资，利率 3.20%，2024 年利息收入89,424.66元。</w:t>
            </w: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35"/>
        <w:rPr>
          <w:color w:val="auto"/>
          <w:highlight w:val="none"/>
        </w:rPr>
        <w:sectPr>
          <w:pgSz w:w="11907" w:h="16839"/>
          <w:pgMar w:top="1440" w:right="1797" w:bottom="1440" w:left="1797" w:header="680"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关联方应收应付款项</w:t>
      </w:r>
    </w:p>
    <w:p>
      <w:pPr>
        <w:pStyle w:val="44"/>
        <w:rPr>
          <w:rFonts w:eastAsiaTheme="minorEastAsia"/>
          <w:color w:val="auto"/>
          <w:highlight w:val="none"/>
        </w:rPr>
      </w:pPr>
      <w:r>
        <w:rPr>
          <w:color w:val="auto"/>
          <w:highlight w:val="none"/>
        </w:rPr>
        <w:t>本公司应收关联方款项</w:t>
      </w:r>
    </w:p>
    <w:p>
      <w:pPr>
        <w:pStyle w:val="35"/>
        <w:rPr>
          <w:rFonts w:eastAsiaTheme="minorEastAsia"/>
          <w:color w:val="auto"/>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!关联方情况14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573"/>
        <w:gridCol w:w="4800"/>
        <w:gridCol w:w="1422"/>
        <w:gridCol w:w="1357"/>
        <w:gridCol w:w="1422"/>
        <w:gridCol w:w="1504"/>
        <w:gridCol w:w="748"/>
        <w:gridCol w:w="7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7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项目名称</w:t>
            </w:r>
          </w:p>
        </w:tc>
        <w:tc>
          <w:tcPr>
            <w:tcW w:w="480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关联方</w:t>
            </w:r>
          </w:p>
        </w:tc>
        <w:tc>
          <w:tcPr>
            <w:tcW w:w="2779"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c>
          <w:tcPr>
            <w:tcW w:w="292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74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条款和条件</w:t>
            </w:r>
          </w:p>
        </w:tc>
        <w:tc>
          <w:tcPr>
            <w:tcW w:w="78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是否取得担保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573"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480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2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1357"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142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账面余额</w:t>
            </w:r>
          </w:p>
        </w:tc>
        <w:tc>
          <w:tcPr>
            <w:tcW w:w="150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坏账准备</w:t>
            </w:r>
          </w:p>
        </w:tc>
        <w:tc>
          <w:tcPr>
            <w:tcW w:w="74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78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货币资金</w:t>
            </w: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1,374,221,779.51</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688,243,104.95</w:t>
            </w: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预付款项</w:t>
            </w: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国家电力投资集团有限公司物资装备分公司</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91,370,936.16</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139,252,634.12</w:t>
            </w: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其他应收款</w:t>
            </w: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984,552,540.17</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983,125,484.48</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990,555,354.52</w:t>
            </w: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983,125,484.48</w:t>
            </w: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债权投资</w:t>
            </w: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贵州鸭溪发电有限公司</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2,240,481,000.00</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2,335,481,000.00</w:t>
            </w: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长期应收款</w:t>
            </w: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57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4800"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666,811,100.00</w:t>
            </w:r>
          </w:p>
        </w:tc>
        <w:tc>
          <w:tcPr>
            <w:tcW w:w="1357"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666,811,100.00</w:t>
            </w:r>
          </w:p>
        </w:tc>
        <w:tc>
          <w:tcPr>
            <w:tcW w:w="1422"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666,811,100.00</w:t>
            </w:r>
          </w:p>
        </w:tc>
        <w:tc>
          <w:tcPr>
            <w:tcW w:w="1504"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666,811,100.00</w:t>
            </w:r>
          </w:p>
        </w:tc>
        <w:tc>
          <w:tcPr>
            <w:tcW w:w="748"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82"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bl>
    <w:p>
      <w:pPr>
        <w:pStyle w:val="35"/>
        <w:rPr>
          <w:rFonts w:asciiTheme="minorEastAsia" w:hAnsiTheme="minorEastAsia"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r>
        <w:rPr>
          <w:rFonts w:eastAsiaTheme="minorEastAsia"/>
          <w:color w:val="auto"/>
          <w:highlight w:val="none"/>
        </w:rPr>
        <w:br w:type="page"/>
      </w:r>
    </w:p>
    <w:p>
      <w:pPr>
        <w:pStyle w:val="44"/>
        <w:rPr>
          <w:rFonts w:eastAsiaTheme="minorEastAsia"/>
          <w:color w:val="auto"/>
          <w:highlight w:val="none"/>
        </w:rPr>
      </w:pPr>
      <w:r>
        <w:rPr>
          <w:color w:val="auto"/>
          <w:highlight w:val="none"/>
        </w:rPr>
        <w:t>本公司应付关联方款项</w:t>
      </w:r>
    </w:p>
    <w:p>
      <w:pPr>
        <w:pStyle w:val="35"/>
        <w:rPr>
          <w:rFonts w:eastAsiaTheme="minorEastAsia"/>
          <w:color w:val="auto"/>
          <w:highlight w:val="none"/>
        </w:rPr>
      </w:pPr>
      <w:r>
        <w:rPr>
          <w:rFonts w:eastAsiaTheme="minorEastAsia"/>
          <w:b/>
          <w:bCs/>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关联方关系及其交易</w:instrText>
      </w:r>
      <w:r>
        <w:rPr>
          <w:rFonts w:eastAsiaTheme="minorEastAsia"/>
          <w:color w:val="auto"/>
          <w:highlight w:val="none"/>
        </w:rPr>
        <w:instrText xml:space="preserve">!关联方情况15 \f 4 \h \* MERGEFORMAT </w:instrText>
      </w:r>
      <w:r>
        <w:rPr>
          <w:rFonts w:eastAsiaTheme="minorEastAsia"/>
          <w:b/>
          <w:bCs/>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401"/>
        <w:gridCol w:w="6494"/>
        <w:gridCol w:w="1660"/>
        <w:gridCol w:w="1508"/>
        <w:gridCol w:w="755"/>
        <w:gridCol w:w="7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401"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项目名称</w:t>
            </w:r>
          </w:p>
        </w:tc>
        <w:tc>
          <w:tcPr>
            <w:tcW w:w="6494"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关联方</w:t>
            </w:r>
          </w:p>
        </w:tc>
        <w:tc>
          <w:tcPr>
            <w:tcW w:w="166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期末余额</w:t>
            </w:r>
          </w:p>
        </w:tc>
        <w:tc>
          <w:tcPr>
            <w:tcW w:w="1508"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期初余额</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条款和条件</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是否提供担保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应付账款</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国家电力投资集团公司物资装备分公司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114,991,754.18</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26,602,611.18</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国家电投集团远达环保工程有限公司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46,440,108.45</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50,618,380.00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山东中电新能源工程有限公司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30,804,519.20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新源智储能源发展（北京）有限公司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29,727,188.60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442,983,385.00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上海发电设备成套设计研究院有限责任公司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9,888,008.60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7,392,000.00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上海启源芯动力科技有限公司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4,304,293.33</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国核电站运行服务技术有限公司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946,900.00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2,771,650.00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国核电力规划设计研究院有限公司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339,450.00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524,000.00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国家电投集团北京电能碳资产管理有限公司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300,000.00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250,000.00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国家电投集团远达环保催化剂有限公司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120,903.00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146,487.00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上海和运工程咨询有限公司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103,159.90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281,785.32</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国家电投集团碳资产管理有限公司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375,000.00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国家电投集团远达水务有限公司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56,170.46</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青海黄河上游水电开发有限责任公司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59,875.00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北京融和云链科技有限公司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38,318,708.89</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应付票据</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贵州远达金元环保有限公司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20,000,000.00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其他应付款</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新源智储能源发展（北京）有限公司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102,345,795.00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56,858,775.00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中氢金元（北京）新能源有限公司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17,703,846.03</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国家电投集团西藏能源有限公司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6,286,111.11</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国核电力规划设计研究院重庆有限公司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5,268,063.12</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上海发电设备成套设计研究院有限责任公司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2,033,045.90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中国电能成套设备有限公司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1,802,144.29</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1,802,144.29</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国家电投集团远达环保催化剂有限公司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1,143,595.25</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990,129.10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国家电力投资集团公司物资装备分公司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235,132.07</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257,936.34</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北京融和云链科技有限公司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78,823,325.06</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贵州省习水鼎泰能源开发有限责任公司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上海和运工程咨询有限公司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3,517,612.89</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合同负债</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贵州泰元能源有限责任公司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13,000,000.00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贵州黔东电力有限公司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2,600,000.00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国家电投集团远达环保催化剂有限公司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360,007.65</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国家电投集团远达水务有限公司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511,739.54</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短期借款</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2,470,000,000.00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2,370,000,000.00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长期借款</w:t>
            </w: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01"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p>
        </w:tc>
        <w:tc>
          <w:tcPr>
            <w:tcW w:w="6494"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国家电投集团财务有限公司</w:t>
            </w:r>
          </w:p>
        </w:tc>
        <w:tc>
          <w:tcPr>
            <w:tcW w:w="166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2,540,850,000.00</w:t>
            </w:r>
          </w:p>
        </w:tc>
        <w:tc>
          <w:tcPr>
            <w:tcW w:w="1508"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3,449,450,000.00</w:t>
            </w:r>
          </w:p>
        </w:tc>
        <w:tc>
          <w:tcPr>
            <w:tcW w:w="75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无</w:t>
            </w:r>
          </w:p>
        </w:tc>
        <w:tc>
          <w:tcPr>
            <w:tcW w:w="79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否</w:t>
            </w:r>
          </w:p>
        </w:tc>
      </w:tr>
    </w:tbl>
    <w:p>
      <w:pPr>
        <w:pStyle w:val="35"/>
        <w:rPr>
          <w:rFonts w:eastAsiaTheme="minorEastAsia"/>
          <w:color w:val="auto"/>
          <w:highlight w:val="none"/>
        </w:rPr>
        <w:sectPr>
          <w:pgSz w:w="16839" w:h="11907" w:orient="landscape"/>
          <w:pgMar w:top="1797" w:right="1440" w:bottom="1797" w:left="1440" w:header="680" w:footer="992" w:gutter="0"/>
          <w:cols w:space="425" w:num="1"/>
          <w:docGrid w:linePitch="312" w:charSpace="0"/>
        </w:sectPr>
      </w:pPr>
      <w:r>
        <w:rPr>
          <w:rFonts w:eastAsiaTheme="minorEastAsia"/>
          <w:color w:val="auto"/>
          <w:highlight w:val="none"/>
        </w:rPr>
        <w:fldChar w:fldCharType="end"/>
      </w:r>
    </w:p>
    <w:p>
      <w:pPr>
        <w:pStyle w:val="37"/>
        <w:rPr>
          <w:color w:val="auto"/>
          <w:highlight w:val="none"/>
        </w:rPr>
      </w:pPr>
      <w:r>
        <w:rPr>
          <w:rFonts w:hint="eastAsia"/>
          <w:color w:val="auto"/>
          <w:highlight w:val="none"/>
        </w:rPr>
        <w:t>资金集中管理</w:t>
      </w:r>
    </w:p>
    <w:p>
      <w:pPr>
        <w:pStyle w:val="44"/>
        <w:rPr>
          <w:color w:val="auto"/>
          <w:highlight w:val="none"/>
        </w:rPr>
      </w:pPr>
      <w:r>
        <w:rPr>
          <w:rFonts w:hint="eastAsia"/>
          <w:color w:val="auto"/>
          <w:highlight w:val="none"/>
        </w:rPr>
        <w:t>本公司归集至集团的资金</w:t>
      </w:r>
    </w:p>
    <w:p>
      <w:pPr>
        <w:pStyle w:val="35"/>
        <w:rPr>
          <w:color w:val="auto"/>
          <w:highlight w:val="none"/>
        </w:rPr>
      </w:pPr>
      <w:r>
        <w:rPr>
          <w:rFonts w:hint="eastAsia"/>
          <w:color w:val="auto"/>
          <w:highlight w:val="none"/>
        </w:rPr>
        <w:t>本公司未归集至集团母公司账户而直接存入财务公司的资金</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"D:\\work\\20190430V3\\StandardTemplateTool\\template\\SASAC\\Frame\\202112\\SASACFinancialReports.xlsx" "关联方关系及其交易!关联方情况17"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201"/>
        <w:gridCol w:w="1587"/>
        <w:gridCol w:w="1496"/>
        <w:gridCol w:w="1462"/>
        <w:gridCol w:w="14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0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项目名称</w:t>
            </w:r>
          </w:p>
        </w:tc>
        <w:tc>
          <w:tcPr>
            <w:tcW w:w="308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90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01"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49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46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货币资金</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1,374,221,779.51</w:t>
            </w:r>
          </w:p>
        </w:tc>
        <w:tc>
          <w:tcPr>
            <w:tcW w:w="149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6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688,243,104.95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1,374,221,779.51</w:t>
            </w:r>
          </w:p>
        </w:tc>
        <w:tc>
          <w:tcPr>
            <w:tcW w:w="149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6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688,243,104.95</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01"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其中：因资金集中管理支取受限的资金</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9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6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color w:val="auto"/>
          <w:highlight w:val="none"/>
        </w:rPr>
        <w:fldChar w:fldCharType="end"/>
      </w:r>
    </w:p>
    <w:p>
      <w:pPr>
        <w:pStyle w:val="43"/>
        <w:rPr>
          <w:rFonts w:eastAsiaTheme="minorEastAsia"/>
          <w:color w:val="auto"/>
          <w:highlight w:val="none"/>
        </w:rPr>
      </w:pPr>
      <w:r>
        <w:rPr>
          <w:rFonts w:eastAsiaTheme="minorEastAsia"/>
          <w:color w:val="auto"/>
          <w:highlight w:val="none"/>
        </w:rPr>
        <w:t>母公司财务报表主要项目注释</w:t>
      </w:r>
    </w:p>
    <w:p>
      <w:pPr>
        <w:pStyle w:val="37"/>
        <w:rPr>
          <w:color w:val="auto"/>
          <w:highlight w:val="none"/>
        </w:rPr>
      </w:pPr>
      <w:r>
        <w:rPr>
          <w:rFonts w:hint="eastAsia"/>
          <w:color w:val="auto"/>
          <w:highlight w:val="none"/>
        </w:rPr>
        <w:t>应收账款</w:t>
      </w:r>
    </w:p>
    <w:p>
      <w:pPr>
        <w:pStyle w:val="44"/>
        <w:rPr>
          <w:color w:val="auto"/>
          <w:highlight w:val="none"/>
        </w:rPr>
      </w:pPr>
      <w:r>
        <w:rPr>
          <w:color w:val="auto"/>
          <w:highlight w:val="none"/>
        </w:rPr>
        <w:t>按账龄披露应收账款</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"D:\\vsWorkspace\\branches\\20190430\\StandardTemplateTool\\template\\SASAC\\Frame\\202212\\SASACFinancialReports.xlsx" "母公司应收账款!母公司应收账款"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287"/>
        <w:gridCol w:w="1476"/>
        <w:gridCol w:w="1475"/>
        <w:gridCol w:w="1475"/>
        <w:gridCol w:w="147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8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2951"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295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28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4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4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4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8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2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14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color w:val="auto"/>
          <w:highlight w:val="none"/>
        </w:rPr>
        <w:fldChar w:fldCharType="end"/>
      </w:r>
    </w:p>
    <w:p>
      <w:pPr>
        <w:pStyle w:val="35"/>
        <w:rPr>
          <w:rFonts w:eastAsiaTheme="minorEastAsia"/>
          <w:b/>
          <w:bCs/>
          <w:color w:val="auto"/>
          <w:highlight w:val="none"/>
        </w:rPr>
        <w:sectPr>
          <w:pgSz w:w="11907" w:h="16839"/>
          <w:pgMar w:top="1440" w:right="1797" w:bottom="1440" w:left="1797" w:header="680" w:footer="992" w:gutter="0"/>
          <w:cols w:space="425" w:num="1"/>
          <w:docGrid w:linePitch="312" w:charSpace="0"/>
        </w:sectPr>
      </w:pPr>
    </w:p>
    <w:p>
      <w:pPr>
        <w:pStyle w:val="44"/>
        <w:rPr>
          <w:color w:val="auto"/>
          <w:highlight w:val="none"/>
        </w:rPr>
      </w:pPr>
      <w:r>
        <w:rPr>
          <w:rFonts w:hint="eastAsia"/>
          <w:color w:val="auto"/>
          <w:highlight w:val="none"/>
        </w:rPr>
        <w:t>按坏账准备计提方法分类披露应收账款</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"D:\\work\\20190430\\StandardTemplateTool\\template\\SASAC\\Frame\\201912\\SASACFinancialReports.xlsx" "母公司附注!母公司应收账款1"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25"/>
        <w:gridCol w:w="1555"/>
        <w:gridCol w:w="851"/>
        <w:gridCol w:w="1327"/>
        <w:gridCol w:w="971"/>
        <w:gridCol w:w="1378"/>
        <w:gridCol w:w="1428"/>
        <w:gridCol w:w="847"/>
        <w:gridCol w:w="1130"/>
        <w:gridCol w:w="918"/>
        <w:gridCol w:w="13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2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类别</w:t>
            </w:r>
          </w:p>
        </w:tc>
        <w:tc>
          <w:tcPr>
            <w:tcW w:w="6082"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5701"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2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406"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298"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37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27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048"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37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25"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5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5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32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971"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37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2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4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13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91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37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按单项计提坏账准备</w:t>
            </w:r>
          </w:p>
        </w:tc>
        <w:tc>
          <w:tcPr>
            <w:tcW w:w="15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5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按组合计提坏账准备</w:t>
            </w:r>
          </w:p>
        </w:tc>
        <w:tc>
          <w:tcPr>
            <w:tcW w:w="15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85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3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4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8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1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w:t>
            </w:r>
          </w:p>
        </w:tc>
        <w:tc>
          <w:tcPr>
            <w:tcW w:w="15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5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w:t>
            </w:r>
            <w:r>
              <w:rPr>
                <w:rFonts w:hint="eastAsia" w:ascii="Times New Roman" w:hAnsi="Times New Roman" w:eastAsia="宋体" w:cs="Times New Roman"/>
                <w:color w:val="auto"/>
                <w:sz w:val="16"/>
                <w:szCs w:val="18"/>
                <w:highlight w:val="none"/>
              </w:rPr>
              <w:t>风</w:t>
            </w:r>
            <w:r>
              <w:rPr>
                <w:rFonts w:ascii="Times New Roman" w:hAnsi="Times New Roman" w:eastAsia="宋体" w:cs="Times New Roman"/>
                <w:color w:val="auto"/>
                <w:sz w:val="16"/>
                <w:szCs w:val="18"/>
                <w:highlight w:val="none"/>
              </w:rPr>
              <w:t>险组合</w:t>
            </w:r>
          </w:p>
        </w:tc>
        <w:tc>
          <w:tcPr>
            <w:tcW w:w="15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85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4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8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1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2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5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85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3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71"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42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84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13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1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r>
    </w:tbl>
    <w:p>
      <w:pPr>
        <w:pStyle w:val="35"/>
        <w:rPr>
          <w:color w:val="auto"/>
          <w:highlight w:val="none"/>
        </w:rPr>
      </w:pPr>
      <w:r>
        <w:rPr>
          <w:color w:val="auto"/>
          <w:highlight w:val="none"/>
        </w:rPr>
        <w:fldChar w:fldCharType="end"/>
      </w:r>
    </w:p>
    <w:p>
      <w:pPr>
        <w:pStyle w:val="35"/>
        <w:rPr>
          <w:color w:val="auto"/>
          <w:highlight w:val="none"/>
        </w:rPr>
      </w:pPr>
    </w:p>
    <w:p>
      <w:pPr>
        <w:pStyle w:val="35"/>
        <w:rPr>
          <w:color w:val="auto"/>
          <w:highlight w:val="none"/>
        </w:rPr>
        <w:sectPr>
          <w:pgSz w:w="16839" w:h="11907" w:orient="landscape"/>
          <w:pgMar w:top="1797" w:right="1440" w:bottom="1797" w:left="1440" w:header="680" w:footer="992" w:gutter="0"/>
          <w:cols w:space="425" w:num="1"/>
          <w:docGrid w:linePitch="312" w:charSpace="0"/>
        </w:sectPr>
      </w:pPr>
    </w:p>
    <w:p>
      <w:pPr>
        <w:pStyle w:val="35"/>
        <w:rPr>
          <w:b/>
          <w:bCs/>
          <w:color w:val="auto"/>
          <w:highlight w:val="none"/>
        </w:rPr>
      </w:pPr>
      <w:r>
        <w:rPr>
          <w:rFonts w:hint="eastAsia"/>
          <w:b/>
          <w:bCs/>
          <w:color w:val="auto"/>
          <w:highlight w:val="none"/>
        </w:rPr>
        <w:t>按信用风险特征组合计提坏账准备的应收账款</w:t>
      </w:r>
    </w:p>
    <w:p>
      <w:pPr>
        <w:pStyle w:val="35"/>
        <w:rPr>
          <w:color w:val="auto"/>
          <w:highlight w:val="none"/>
        </w:rPr>
      </w:pPr>
      <w:r>
        <w:rPr>
          <w:rFonts w:hint="eastAsia"/>
          <w:color w:val="auto"/>
          <w:highlight w:val="none"/>
        </w:rPr>
        <w:t>采用余额百分比或其他方法计提坏账准备的应收账款</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Excel.Sheet.12 "D:\\work\\20190430V3\\StandardTemplateTool\\template\\SASAC\\Frame\\202112\\SASACFinancialReports.xlsx" "母公司应收账款!母公司应收账款4"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396"/>
        <w:gridCol w:w="1442"/>
        <w:gridCol w:w="1015"/>
        <w:gridCol w:w="937"/>
        <w:gridCol w:w="1442"/>
        <w:gridCol w:w="1015"/>
        <w:gridCol w:w="9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39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组合名称</w:t>
            </w:r>
          </w:p>
        </w:tc>
        <w:tc>
          <w:tcPr>
            <w:tcW w:w="339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391"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39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1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93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4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01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93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9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低风险组合—电费及热力费</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01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101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9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103,122,241.74</w:t>
            </w:r>
          </w:p>
        </w:tc>
        <w:tc>
          <w:tcPr>
            <w:tcW w:w="101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3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42"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265,551,121.42</w:t>
            </w:r>
          </w:p>
        </w:tc>
        <w:tc>
          <w:tcPr>
            <w:tcW w:w="101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93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color w:val="auto"/>
          <w:highlight w:val="none"/>
        </w:rPr>
        <w:fldChar w:fldCharType="end"/>
      </w:r>
    </w:p>
    <w:p>
      <w:pPr>
        <w:pStyle w:val="44"/>
        <w:rPr>
          <w:color w:val="auto"/>
          <w:highlight w:val="none"/>
        </w:rPr>
      </w:pPr>
      <w:r>
        <w:rPr>
          <w:color w:val="auto"/>
          <w:highlight w:val="none"/>
        </w:rPr>
        <w:t>按欠款方归集的期末余额前五名的应收</w:t>
      </w:r>
      <w:r>
        <w:rPr>
          <w:rFonts w:hint="eastAsia"/>
          <w:color w:val="auto"/>
          <w:highlight w:val="none"/>
        </w:rPr>
        <w:t>账款</w:t>
      </w:r>
      <w:r>
        <w:rPr>
          <w:color w:val="auto"/>
          <w:highlight w:val="none"/>
        </w:rPr>
        <w:t>情况</w:t>
      </w:r>
    </w:p>
    <w:p>
      <w:pPr>
        <w:pStyle w:val="35"/>
        <w:rPr>
          <w:rFonts w:eastAsiaTheme="minorEastAsia"/>
          <w:b/>
          <w:bCs/>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rFonts w:eastAsiaTheme="minorEastAsia"/>
          <w:color w:val="auto"/>
          <w:highlight w:val="none"/>
        </w:rPr>
        <w:instrText xml:space="preserve">!母公司应收账款8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54"/>
        <w:gridCol w:w="1676"/>
        <w:gridCol w:w="1677"/>
        <w:gridCol w:w="117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65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16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6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占应收账款合计的比例（%）</w:t>
            </w:r>
          </w:p>
        </w:tc>
        <w:tc>
          <w:tcPr>
            <w:tcW w:w="117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贵州电网有限责任公司</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96,415,151.45</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93.50</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贵州西能电力建设有限公司</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1,872,000.00</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1.82</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rPr>
        <w:tc>
          <w:tcPr>
            <w:tcW w:w="36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连州市海得新能源开发有限公司</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1,800,000.00</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1.75</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贵州金沙能发新能源开发有限公司</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1,404,000.00</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1.36</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水城海螺盘江水泥有限责任公司</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1,295,582.71</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1.26</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5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6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102,786,734.16</w:t>
            </w:r>
          </w:p>
        </w:tc>
        <w:tc>
          <w:tcPr>
            <w:tcW w:w="16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99.69</w:t>
            </w:r>
          </w:p>
        </w:tc>
        <w:tc>
          <w:tcPr>
            <w:tcW w:w="117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其他应收款</w:t>
      </w:r>
    </w:p>
    <w:p>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LINK Excel.SheetMacroEnabled.12 "D:\\vsWorkspace\\branches\\20180822\\StandardTemplateTool\\template\\SASAC\\Frame\\201812\\SASACFinancialReports.xlsm" "合并附注!母公司其他应收款总表"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689"/>
        <w:gridCol w:w="2303"/>
        <w:gridCol w:w="21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36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30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1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应收利息</w:t>
            </w:r>
          </w:p>
        </w:tc>
        <w:tc>
          <w:tcPr>
            <w:tcW w:w="230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1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应收股利</w:t>
            </w:r>
          </w:p>
        </w:tc>
        <w:tc>
          <w:tcPr>
            <w:tcW w:w="230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391,895,361.70</w:t>
            </w:r>
          </w:p>
        </w:tc>
        <w:tc>
          <w:tcPr>
            <w:tcW w:w="21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368,483,199.46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其他应收款项</w:t>
            </w:r>
          </w:p>
        </w:tc>
        <w:tc>
          <w:tcPr>
            <w:tcW w:w="230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245,051,928.68</w:t>
            </w:r>
          </w:p>
        </w:tc>
        <w:tc>
          <w:tcPr>
            <w:tcW w:w="21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1,198,420,251.37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68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30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636,947,290.38</w:t>
            </w:r>
          </w:p>
        </w:tc>
        <w:tc>
          <w:tcPr>
            <w:tcW w:w="218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1,566,903,450.83</w:t>
            </w:r>
          </w:p>
        </w:tc>
      </w:tr>
    </w:tbl>
    <w:p>
      <w:pPr>
        <w:pStyle w:val="38"/>
        <w:rPr>
          <w:color w:val="auto"/>
          <w:highlight w:val="none"/>
        </w:rPr>
      </w:pPr>
      <w:r>
        <w:rPr>
          <w:color w:val="auto"/>
          <w:highlight w:val="none"/>
        </w:rPr>
        <w:fldChar w:fldCharType="end"/>
      </w:r>
    </w:p>
    <w:p>
      <w:pPr>
        <w:pStyle w:val="44"/>
        <w:rPr>
          <w:rFonts w:eastAsiaTheme="minorEastAsia"/>
          <w:color w:val="auto"/>
          <w:highlight w:val="none"/>
        </w:rPr>
      </w:pPr>
      <w:r>
        <w:rPr>
          <w:rFonts w:eastAsiaTheme="minorEastAsia"/>
          <w:color w:val="auto"/>
          <w:highlight w:val="none"/>
        </w:rPr>
        <w:t>应收利息</w:t>
      </w:r>
    </w:p>
    <w:p>
      <w:pPr>
        <w:pStyle w:val="35"/>
        <w:rPr>
          <w:color w:val="auto"/>
          <w:highlight w:val="none"/>
        </w:rPr>
      </w:pPr>
      <w:r>
        <w:rPr>
          <w:rFonts w:hint="eastAsia"/>
          <w:color w:val="auto"/>
          <w:highlight w:val="none"/>
        </w:rPr>
        <w:t>（1）</w:t>
      </w:r>
      <w:r>
        <w:rPr>
          <w:color w:val="auto"/>
          <w:highlight w:val="none"/>
        </w:rPr>
        <w:t>应收利息分类</w:t>
      </w:r>
    </w:p>
    <w:p>
      <w:pPr>
        <w:pStyle w:val="35"/>
        <w:rPr>
          <w:rFonts w:eastAsiaTheme="minorEastAsia"/>
          <w:bCs/>
          <w:color w:val="auto"/>
          <w:szCs w:val="22"/>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 </w:instrText>
      </w:r>
      <w:r>
        <w:rPr>
          <w:rFonts w:hint="eastAsia" w:eastAsiaTheme="minorEastAsia"/>
          <w:color w:val="auto"/>
          <w:highlight w:val="none"/>
        </w:rPr>
        <w:instrText xml:space="preserve">母公司附注</w:instrText>
      </w:r>
      <w:r>
        <w:rPr>
          <w:rFonts w:eastAsiaTheme="minorEastAsia"/>
          <w:color w:val="auto"/>
          <w:highlight w:val="none"/>
        </w:rPr>
        <w:instrText xml:space="preserve">!母公司应收利息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675"/>
        <w:gridCol w:w="2679"/>
        <w:gridCol w:w="282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6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67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82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267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28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小计</w:t>
            </w:r>
          </w:p>
        </w:tc>
        <w:tc>
          <w:tcPr>
            <w:tcW w:w="267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28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减：坏账准备</w:t>
            </w:r>
          </w:p>
        </w:tc>
        <w:tc>
          <w:tcPr>
            <w:tcW w:w="267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28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6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267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82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color w:val="auto"/>
          <w:highlight w:val="none"/>
        </w:rPr>
      </w:pPr>
      <w:r>
        <w:rPr>
          <w:rFonts w:hint="eastAsia"/>
          <w:color w:val="auto"/>
          <w:highlight w:val="none"/>
        </w:rPr>
        <w:t>（2）</w:t>
      </w:r>
      <w:r>
        <w:rPr>
          <w:color w:val="auto"/>
          <w:highlight w:val="none"/>
        </w:rPr>
        <w:t>重要逾期利息</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 </w:instrText>
      </w:r>
      <w:r>
        <w:rPr>
          <w:rFonts w:hint="eastAsia" w:eastAsiaTheme="minorEastAsia"/>
          <w:color w:val="auto"/>
          <w:highlight w:val="none"/>
        </w:rPr>
        <w:instrText xml:space="preserve">母公司附注</w:instrText>
      </w:r>
      <w:r>
        <w:rPr>
          <w:rFonts w:eastAsiaTheme="minorEastAsia"/>
          <w:color w:val="auto"/>
          <w:highlight w:val="none"/>
        </w:rPr>
        <w:instrText xml:space="preserve">!母公司应收利息1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023"/>
        <w:gridCol w:w="1468"/>
        <w:gridCol w:w="1482"/>
        <w:gridCol w:w="1468"/>
        <w:gridCol w:w="17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02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借款单位</w:t>
            </w:r>
          </w:p>
        </w:tc>
        <w:tc>
          <w:tcPr>
            <w:tcW w:w="14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48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逾期时间（月）</w:t>
            </w:r>
          </w:p>
        </w:tc>
        <w:tc>
          <w:tcPr>
            <w:tcW w:w="14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逾期原因</w:t>
            </w:r>
          </w:p>
        </w:tc>
        <w:tc>
          <w:tcPr>
            <w:tcW w:w="17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2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贵州云之龙电煤运输投资有限公司</w:t>
            </w:r>
          </w:p>
        </w:tc>
        <w:tc>
          <w:tcPr>
            <w:tcW w:w="14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148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2019年7月</w:t>
            </w:r>
          </w:p>
        </w:tc>
        <w:tc>
          <w:tcPr>
            <w:tcW w:w="146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破产重整无力偿付</w:t>
            </w:r>
          </w:p>
        </w:tc>
        <w:tc>
          <w:tcPr>
            <w:tcW w:w="174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发生减值/企业破产清算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02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6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148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46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7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5"/>
        <w:rPr>
          <w:rFonts w:hint="eastAsia" w:eastAsiaTheme="minorEastAsia"/>
          <w:color w:val="auto"/>
          <w:highlight w:val="none"/>
        </w:rPr>
      </w:pPr>
      <w:r>
        <w:rPr>
          <w:rFonts w:eastAsiaTheme="minorEastAsia"/>
          <w:color w:val="auto"/>
          <w:highlight w:val="none"/>
        </w:rPr>
        <w:fldChar w:fldCharType="end"/>
      </w:r>
    </w:p>
    <w:p>
      <w:pPr>
        <w:pStyle w:val="35"/>
        <w:rPr>
          <w:color w:val="auto"/>
          <w:highlight w:val="none"/>
        </w:rPr>
      </w:pPr>
      <w:r>
        <w:rPr>
          <w:rFonts w:hint="eastAsia"/>
          <w:color w:val="auto"/>
          <w:highlight w:val="none"/>
        </w:rPr>
        <w:t>（3）应收利息坏账准备计提情况</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"母公司其他应收款!母公司应收利息2"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70"/>
        <w:gridCol w:w="1697"/>
        <w:gridCol w:w="1697"/>
        <w:gridCol w:w="1697"/>
        <w:gridCol w:w="14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7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第一阶段</w:t>
            </w: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第二阶段</w:t>
            </w: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第三阶段</w:t>
            </w:r>
          </w:p>
        </w:tc>
        <w:tc>
          <w:tcPr>
            <w:tcW w:w="142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7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未来12个月预期信用损失</w:t>
            </w: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整个存续期预期信用损失(未发生信用减值)</w:t>
            </w:r>
          </w:p>
        </w:tc>
        <w:tc>
          <w:tcPr>
            <w:tcW w:w="16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整个存续期预期信用损失(已发生信用减值)</w:t>
            </w:r>
          </w:p>
        </w:tc>
        <w:tc>
          <w:tcPr>
            <w:tcW w:w="142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期初余额在本期</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--转入第二阶段</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--转入第三阶段</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--转回第二阶段</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--转回第一阶段</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本期计提</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本期转回</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本期转销</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本期核销</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其他变动</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7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c>
          <w:tcPr>
            <w:tcW w:w="142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5,496,787.69</w:t>
            </w:r>
          </w:p>
        </w:tc>
      </w:tr>
    </w:tbl>
    <w:p>
      <w:pPr>
        <w:pStyle w:val="35"/>
        <w:rPr>
          <w:color w:val="auto"/>
          <w:highlight w:val="none"/>
        </w:rPr>
      </w:pPr>
      <w:r>
        <w:rPr>
          <w:rFonts w:eastAsiaTheme="minorEastAsia"/>
          <w:color w:val="auto"/>
          <w:highlight w:val="none"/>
        </w:rPr>
        <w:fldChar w:fldCharType="end"/>
      </w:r>
    </w:p>
    <w:p>
      <w:pPr>
        <w:pStyle w:val="44"/>
        <w:rPr>
          <w:color w:val="auto"/>
          <w:highlight w:val="none"/>
        </w:rPr>
      </w:pPr>
      <w:r>
        <w:rPr>
          <w:color w:val="auto"/>
          <w:highlight w:val="none"/>
        </w:rPr>
        <w:t>应收股利</w:t>
      </w:r>
    </w:p>
    <w:p>
      <w:pPr>
        <w:pStyle w:val="35"/>
        <w:rPr>
          <w:rFonts w:eastAsiaTheme="minorEastAsia"/>
          <w:color w:val="auto"/>
          <w:highlight w:val="none"/>
        </w:rPr>
      </w:pPr>
      <w:r>
        <w:rPr>
          <w:rFonts w:eastAsiaTheme="minorEastAsia"/>
          <w:b/>
          <w:color w:val="auto"/>
          <w:highlight w:val="none"/>
        </w:rPr>
        <w:fldChar w:fldCharType="begin"/>
      </w:r>
      <w:r>
        <w:rPr>
          <w:rFonts w:eastAsiaTheme="minorEastAsia"/>
          <w:color w:val="auto"/>
          <w:highlight w:val="none"/>
        </w:rPr>
        <w:instrText xml:space="preserve"> LINK Excel.Sheet.12 E:\\雍\\附注排版\\2014年年报格式\\附注过渡表20150130V0910.xlsx </w:instrText>
      </w:r>
      <w:r>
        <w:rPr>
          <w:rFonts w:hint="eastAsia" w:eastAsiaTheme="minorEastAsia"/>
          <w:color w:val="auto"/>
          <w:highlight w:val="none"/>
        </w:rPr>
        <w:instrText xml:space="preserve">母公司附注</w:instrText>
      </w:r>
      <w:r>
        <w:rPr>
          <w:rFonts w:eastAsiaTheme="minorEastAsia"/>
          <w:color w:val="auto"/>
          <w:highlight w:val="none"/>
        </w:rPr>
        <w:instrText xml:space="preserve">!母公司应收股利 \f 4 \h \* MERGEFORMAT </w:instrText>
      </w:r>
      <w:r>
        <w:rPr>
          <w:rFonts w:eastAsiaTheme="minorEastAsia"/>
          <w:b/>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320"/>
        <w:gridCol w:w="1497"/>
        <w:gridCol w:w="1484"/>
        <w:gridCol w:w="1338"/>
        <w:gridCol w:w="15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32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49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4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3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未收回的原因</w:t>
            </w:r>
          </w:p>
        </w:tc>
        <w:tc>
          <w:tcPr>
            <w:tcW w:w="15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账龄一年以内的应收股利</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23,412,162.24</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其中：中国证券登记结算有限责任公司北京分公司</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23,412,162.24</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账龄一年以上的应收股利</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368,483,199.46</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368,483,199.46</w:t>
            </w:r>
          </w:p>
        </w:tc>
        <w:tc>
          <w:tcPr>
            <w:tcW w:w="13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c>
          <w:tcPr>
            <w:tcW w:w="15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其中：（1）国家电投集团贵州金元威宁能源股份有限公司</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40,518,922.01</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40,518,922.01</w:t>
            </w:r>
          </w:p>
        </w:tc>
        <w:tc>
          <w:tcPr>
            <w:tcW w:w="13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（2）贵州中水能源股份有限公司</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327,964,277.45</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327,964,277.45</w:t>
            </w:r>
          </w:p>
        </w:tc>
        <w:tc>
          <w:tcPr>
            <w:tcW w:w="133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暂未支付</w:t>
            </w:r>
          </w:p>
        </w:tc>
        <w:tc>
          <w:tcPr>
            <w:tcW w:w="154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32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9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391,895,361.70</w:t>
            </w:r>
          </w:p>
        </w:tc>
        <w:tc>
          <w:tcPr>
            <w:tcW w:w="14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368,483,199.46</w:t>
            </w:r>
          </w:p>
        </w:tc>
        <w:tc>
          <w:tcPr>
            <w:tcW w:w="133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c>
          <w:tcPr>
            <w:tcW w:w="154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p>
        </w:tc>
      </w:tr>
    </w:tbl>
    <w:p>
      <w:pPr>
        <w:pStyle w:val="35"/>
        <w:rPr>
          <w:rFonts w:hint="eastAsia"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44"/>
        <w:rPr>
          <w:color w:val="auto"/>
          <w:highlight w:val="none"/>
        </w:rPr>
      </w:pPr>
      <w:r>
        <w:rPr>
          <w:rFonts w:hint="eastAsia"/>
          <w:color w:val="auto"/>
          <w:highlight w:val="none"/>
        </w:rPr>
        <w:t>其他应收款</w:t>
      </w:r>
      <w:r>
        <w:rPr>
          <w:rFonts w:hint="eastAsia"/>
          <w:color w:val="auto"/>
          <w:kern w:val="0"/>
          <w:szCs w:val="18"/>
          <w:highlight w:val="none"/>
        </w:rPr>
        <w:t>项</w:t>
      </w:r>
    </w:p>
    <w:p>
      <w:pPr>
        <w:pStyle w:val="35"/>
        <w:rPr>
          <w:color w:val="auto"/>
          <w:highlight w:val="none"/>
        </w:rPr>
      </w:pPr>
      <w:r>
        <w:rPr>
          <w:rFonts w:hint="eastAsia"/>
          <w:b/>
          <w:color w:val="auto"/>
          <w:highlight w:val="none"/>
        </w:rPr>
        <w:t>（1）按账龄披露其他应收款项</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"D:\\vsWorkspace\\branches\\20190430\\StandardTemplateTool\\template\\SASAC\\Frame\\202212\\SASACFinancialReports.xlsx" "母公司其他应收款!母公司其他应收款"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33"/>
        <w:gridCol w:w="1587"/>
        <w:gridCol w:w="1587"/>
        <w:gridCol w:w="1587"/>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33"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账龄</w:t>
            </w:r>
          </w:p>
        </w:tc>
        <w:tc>
          <w:tcPr>
            <w:tcW w:w="317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174"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33"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1年以内（含1年）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115,280,960.21</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2,068,529,363.49</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983,125,484.48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1至2年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1,041,603,542.25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983,125,484.48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10,100,439.90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2至3年</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600,000.00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419,591,171.28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323,110,794.00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3"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3年以上</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392,303,704.70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321,610,794.00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6,435,555.18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1,549,788,207.16</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2,504,656,529.85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1,306,236,278.48</w:t>
            </w: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b/>
          <w:bCs/>
          <w:color w:val="auto"/>
          <w:highlight w:val="none"/>
        </w:rPr>
        <w:sectPr>
          <w:pgSz w:w="11906" w:h="16838"/>
          <w:pgMar w:top="1440" w:right="1800" w:bottom="1440" w:left="1800" w:header="680" w:footer="992" w:gutter="0"/>
          <w:cols w:space="425" w:num="1"/>
          <w:docGrid w:type="lines" w:linePitch="312" w:charSpace="0"/>
        </w:sectPr>
      </w:pPr>
    </w:p>
    <w:p>
      <w:pPr>
        <w:pStyle w:val="35"/>
        <w:rPr>
          <w:rFonts w:eastAsiaTheme="minorEastAsia"/>
          <w:color w:val="auto"/>
          <w:highlight w:val="none"/>
        </w:rPr>
      </w:pPr>
      <w:r>
        <w:rPr>
          <w:rFonts w:hint="eastAsia"/>
          <w:b/>
          <w:color w:val="auto"/>
          <w:highlight w:val="none"/>
        </w:rPr>
        <w:t>（</w:t>
      </w:r>
      <w:r>
        <w:rPr>
          <w:b/>
          <w:color w:val="auto"/>
          <w:highlight w:val="none"/>
        </w:rPr>
        <w:t>2</w:t>
      </w:r>
      <w:r>
        <w:rPr>
          <w:rFonts w:hint="eastAsia"/>
          <w:b/>
          <w:color w:val="auto"/>
          <w:highlight w:val="none"/>
        </w:rPr>
        <w:t>）按坏账准备计提方法分类披露其他应收款项</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"D:\\work\\20190430\\StandardTemplateTool\\template\\SASAC\\Frame\\201912\\SASACFinancialReports.xlsx" "母公司附注!母公司其他应收款1"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308"/>
        <w:gridCol w:w="1546"/>
        <w:gridCol w:w="799"/>
        <w:gridCol w:w="1516"/>
        <w:gridCol w:w="877"/>
        <w:gridCol w:w="1378"/>
        <w:gridCol w:w="1516"/>
        <w:gridCol w:w="799"/>
        <w:gridCol w:w="1516"/>
        <w:gridCol w:w="836"/>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30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类别</w:t>
            </w:r>
          </w:p>
        </w:tc>
        <w:tc>
          <w:tcPr>
            <w:tcW w:w="6116"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6183" w:type="dxa"/>
            <w:gridSpan w:val="5"/>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30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234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393"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378"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c>
          <w:tcPr>
            <w:tcW w:w="2315"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2352"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16"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30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4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79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7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378"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79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比例（%）</w:t>
            </w:r>
          </w:p>
        </w:tc>
        <w:tc>
          <w:tcPr>
            <w:tcW w:w="151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金额</w:t>
            </w:r>
          </w:p>
        </w:tc>
        <w:tc>
          <w:tcPr>
            <w:tcW w:w="83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516"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按单项计提坏账准备</w:t>
            </w:r>
          </w:p>
        </w:tc>
        <w:tc>
          <w:tcPr>
            <w:tcW w:w="15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1,306,163,334.17</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84.28</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c>
          <w:tcPr>
            <w:tcW w:w="8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99.89</w:t>
            </w: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1,427,055.69</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1,313,666,148.52</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52.45</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1,306,236,278.48</w:t>
            </w:r>
          </w:p>
        </w:tc>
        <w:tc>
          <w:tcPr>
            <w:tcW w:w="8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99.43</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7,429,870.04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按组合计提坏账准备</w:t>
            </w:r>
          </w:p>
        </w:tc>
        <w:tc>
          <w:tcPr>
            <w:tcW w:w="15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15.72</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47.55</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w:t>
            </w:r>
          </w:p>
        </w:tc>
        <w:tc>
          <w:tcPr>
            <w:tcW w:w="15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0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低风险组合</w:t>
            </w:r>
          </w:p>
        </w:tc>
        <w:tc>
          <w:tcPr>
            <w:tcW w:w="15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3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4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1,549,788,207.16</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c>
          <w:tcPr>
            <w:tcW w:w="87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37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245,051,928.68</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2,504,656,529.85</w:t>
            </w:r>
          </w:p>
        </w:tc>
        <w:tc>
          <w:tcPr>
            <w:tcW w:w="79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1,306,236,278.48</w:t>
            </w:r>
          </w:p>
        </w:tc>
        <w:tc>
          <w:tcPr>
            <w:tcW w:w="83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1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1,198,420,251.37</w:t>
            </w: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35"/>
        <w:rPr>
          <w:color w:val="auto"/>
          <w:highlight w:val="none"/>
        </w:rPr>
        <w:sectPr>
          <w:pgSz w:w="16838" w:h="11906" w:orient="landscape"/>
          <w:pgMar w:top="1797" w:right="1440" w:bottom="1797" w:left="1440" w:header="680" w:footer="992" w:gutter="0"/>
          <w:cols w:space="425" w:num="1"/>
          <w:docGrid w:type="linesAndChars" w:linePitch="312" w:charSpace="0"/>
        </w:sectPr>
      </w:pPr>
    </w:p>
    <w:p>
      <w:pPr>
        <w:pStyle w:val="35"/>
        <w:rPr>
          <w:rFonts w:eastAsiaTheme="minorEastAsia"/>
          <w:color w:val="auto"/>
          <w:highlight w:val="none"/>
        </w:rPr>
      </w:pPr>
      <w:r>
        <w:rPr>
          <w:rFonts w:hint="eastAsia"/>
          <w:b/>
          <w:color w:val="auto"/>
          <w:highlight w:val="none"/>
        </w:rPr>
        <w:t>单项计提坏账准备的其他应收款项</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"D:\\work\\20190430\\StandardTemplateTool\\template\\SASAC\\Frame\\201912\\SASACFinancialReports.xlsx" "母公司附注!母公司其他应收款2"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832"/>
        <w:gridCol w:w="1587"/>
        <w:gridCol w:w="1587"/>
        <w:gridCol w:w="1587"/>
        <w:gridCol w:w="15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283" w:hRule="atLeast"/>
          <w:tblHeader/>
        </w:trPr>
        <w:tc>
          <w:tcPr>
            <w:tcW w:w="183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6349" w:type="dxa"/>
            <w:gridSpan w:val="4"/>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832"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预期信用损失率（%）</w:t>
            </w:r>
          </w:p>
        </w:tc>
        <w:tc>
          <w:tcPr>
            <w:tcW w:w="158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贵州泰元能源有限责任公司</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984,552,540.17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983,125,484.48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99.86</w:t>
            </w:r>
          </w:p>
        </w:tc>
        <w:tc>
          <w:tcPr>
            <w:tcW w:w="158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2"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贵州钟山野马寨热电有限责任公司</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321,610,794.00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321,610,794.00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100.00</w:t>
            </w:r>
          </w:p>
        </w:tc>
        <w:tc>
          <w:tcPr>
            <w:tcW w:w="158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预计无法收回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832"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1,306,163,334.17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color w:val="auto"/>
          <w:highlight w:val="none"/>
        </w:rPr>
      </w:pPr>
      <w:r>
        <w:rPr>
          <w:rFonts w:eastAsiaTheme="minorEastAsia"/>
          <w:color w:val="auto"/>
          <w:highlight w:val="none"/>
        </w:rPr>
        <w:fldChar w:fldCharType="end"/>
      </w:r>
    </w:p>
    <w:p>
      <w:pPr>
        <w:pStyle w:val="35"/>
        <w:rPr>
          <w:color w:val="auto"/>
          <w:highlight w:val="none"/>
        </w:rPr>
      </w:pPr>
      <w:r>
        <w:rPr>
          <w:rFonts w:hint="eastAsia"/>
          <w:b/>
          <w:bCs/>
          <w:color w:val="auto"/>
          <w:highlight w:val="none"/>
        </w:rPr>
        <w:t>按信用风险特征组合计提坏账准备的其他应收款项</w:t>
      </w:r>
    </w:p>
    <w:p>
      <w:pPr>
        <w:pStyle w:val="35"/>
        <w:rPr>
          <w:rFonts w:eastAsiaTheme="minorEastAsia"/>
          <w:color w:val="auto"/>
          <w:highlight w:val="none"/>
        </w:rPr>
      </w:pPr>
      <w:r>
        <w:rPr>
          <w:rFonts w:hint="eastAsia"/>
          <w:color w:val="auto"/>
          <w:highlight w:val="none"/>
        </w:rPr>
        <w:t>①采用余额百分比法或其他组合方法计提坏账准备的其他应收款项</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"母公司其他应收款!母公司其他应收款4"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449"/>
        <w:gridCol w:w="1443"/>
        <w:gridCol w:w="976"/>
        <w:gridCol w:w="875"/>
        <w:gridCol w:w="1587"/>
        <w:gridCol w:w="976"/>
        <w:gridCol w:w="87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44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组合名称</w:t>
            </w:r>
          </w:p>
        </w:tc>
        <w:tc>
          <w:tcPr>
            <w:tcW w:w="3294"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期末数</w:t>
            </w:r>
          </w:p>
        </w:tc>
        <w:tc>
          <w:tcPr>
            <w:tcW w:w="3438" w:type="dxa"/>
            <w:gridSpan w:val="3"/>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449"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44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9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8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账面余额</w:t>
            </w:r>
          </w:p>
        </w:tc>
        <w:tc>
          <w:tcPr>
            <w:tcW w:w="97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计提比例（%）</w:t>
            </w:r>
          </w:p>
        </w:tc>
        <w:tc>
          <w:tcPr>
            <w:tcW w:w="87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4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低风险组合</w:t>
            </w: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9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c>
          <w:tcPr>
            <w:tcW w:w="9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44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44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243,624,872.99</w:t>
            </w:r>
          </w:p>
        </w:tc>
        <w:tc>
          <w:tcPr>
            <w:tcW w:w="9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1,190,990,381.33</w:t>
            </w:r>
          </w:p>
        </w:tc>
        <w:tc>
          <w:tcPr>
            <w:tcW w:w="976"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87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r>
        <w:rPr>
          <w:rFonts w:hint="eastAsia"/>
          <w:b/>
          <w:color w:val="auto"/>
          <w:highlight w:val="none"/>
        </w:rPr>
        <w:t>（</w:t>
      </w:r>
      <w:r>
        <w:rPr>
          <w:b/>
          <w:color w:val="auto"/>
          <w:highlight w:val="none"/>
        </w:rPr>
        <w:t>3</w:t>
      </w:r>
      <w:r>
        <w:rPr>
          <w:rFonts w:hint="eastAsia"/>
          <w:b/>
          <w:color w:val="auto"/>
          <w:highlight w:val="none"/>
        </w:rPr>
        <w:t>）其他应收款项坏账准备计提情况</w:t>
      </w:r>
    </w:p>
    <w:p>
      <w:pPr>
        <w:pStyle w:val="35"/>
        <w:rPr>
          <w:rFonts w:asciiTheme="minorHAnsi" w:hAnsiTheme="minorHAnsi" w:eastAsiaTheme="minorEastAsia" w:cstheme="minorBidi"/>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"D:\\work\\20190430V3\\StandardTemplateTool\\template\\SASAC\\Frame\\202112\\SASACFinancialReports.xlsx" "母公司其他应收款!母公司其他应收款5"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17"/>
        <w:gridCol w:w="1640"/>
        <w:gridCol w:w="1644"/>
        <w:gridCol w:w="1693"/>
        <w:gridCol w:w="15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1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坏账准备</w:t>
            </w:r>
          </w:p>
        </w:tc>
        <w:tc>
          <w:tcPr>
            <w:tcW w:w="16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第一阶段</w:t>
            </w:r>
          </w:p>
        </w:tc>
        <w:tc>
          <w:tcPr>
            <w:tcW w:w="164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第二阶段</w:t>
            </w:r>
          </w:p>
        </w:tc>
        <w:tc>
          <w:tcPr>
            <w:tcW w:w="169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第三阶段</w:t>
            </w:r>
          </w:p>
        </w:tc>
        <w:tc>
          <w:tcPr>
            <w:tcW w:w="1587"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1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4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未来12个月预期信用损失</w:t>
            </w:r>
          </w:p>
        </w:tc>
        <w:tc>
          <w:tcPr>
            <w:tcW w:w="164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整个存续期预期信用损失(未发生信用减值)</w:t>
            </w:r>
          </w:p>
        </w:tc>
        <w:tc>
          <w:tcPr>
            <w:tcW w:w="1693"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整个存续期预期信用损失(已发生信用减值)</w:t>
            </w:r>
          </w:p>
        </w:tc>
        <w:tc>
          <w:tcPr>
            <w:tcW w:w="1587"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1,306,236,278.48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1,306,236,278.48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期初余额在本期</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--转入第二阶段</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--转入第三阶段</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--转回第二阶段</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--转回第一阶段</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本期计提</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本期转回</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本期转销</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本期核销</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其他变动</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17"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164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93"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1,304,736,278.48</w:t>
            </w:r>
          </w:p>
        </w:tc>
      </w:tr>
    </w:tbl>
    <w:p>
      <w:pPr>
        <w:pStyle w:val="35"/>
        <w:rPr>
          <w:rFonts w:eastAsiaTheme="minorEastAsia"/>
          <w:color w:val="auto"/>
          <w:highlight w:val="none"/>
        </w:rPr>
      </w:pPr>
      <w:r>
        <w:rPr>
          <w:rFonts w:eastAsiaTheme="minorEastAsia"/>
          <w:color w:val="auto"/>
          <w:highlight w:val="none"/>
        </w:rPr>
        <w:fldChar w:fldCharType="end"/>
      </w:r>
    </w:p>
    <w:p>
      <w:pPr>
        <w:pStyle w:val="35"/>
        <w:rPr>
          <w:rFonts w:eastAsiaTheme="minorEastAsia"/>
          <w:color w:val="auto"/>
          <w:highlight w:val="none"/>
        </w:rPr>
      </w:pPr>
    </w:p>
    <w:p>
      <w:pPr>
        <w:pStyle w:val="35"/>
        <w:rPr>
          <w:b/>
          <w:color w:val="auto"/>
          <w:highlight w:val="none"/>
        </w:rPr>
      </w:pPr>
      <w:r>
        <w:rPr>
          <w:rFonts w:hint="eastAsia"/>
          <w:b/>
          <w:color w:val="auto"/>
          <w:highlight w:val="none"/>
        </w:rPr>
        <w:t>（</w:t>
      </w:r>
      <w:r>
        <w:rPr>
          <w:b/>
          <w:color w:val="auto"/>
          <w:highlight w:val="none"/>
        </w:rPr>
        <w:t>4</w:t>
      </w:r>
      <w:r>
        <w:rPr>
          <w:rFonts w:hint="eastAsia"/>
          <w:b/>
          <w:color w:val="auto"/>
          <w:highlight w:val="none"/>
        </w:rPr>
        <w:t>）收回或转回的坏账准备情况</w:t>
      </w:r>
    </w:p>
    <w:p>
      <w:pPr>
        <w:pStyle w:val="35"/>
        <w:rPr>
          <w:rFonts w:eastAsiaTheme="minorEastAsia"/>
          <w:b/>
          <w:bCs/>
          <w:color w:val="auto"/>
          <w:szCs w:val="22"/>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rFonts w:eastAsiaTheme="minorEastAsia"/>
          <w:color w:val="auto"/>
          <w:highlight w:val="none"/>
        </w:rPr>
        <w:instrText xml:space="preserve">!母公司其他应收款7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178"/>
        <w:gridCol w:w="1248"/>
        <w:gridCol w:w="2110"/>
        <w:gridCol w:w="16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1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债务人名称</w:t>
            </w:r>
          </w:p>
        </w:tc>
        <w:tc>
          <w:tcPr>
            <w:tcW w:w="124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转回或收回金额</w:t>
            </w:r>
          </w:p>
        </w:tc>
        <w:tc>
          <w:tcPr>
            <w:tcW w:w="211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转回或收回前累计已计提坏账准备金额</w:t>
            </w:r>
          </w:p>
        </w:tc>
        <w:tc>
          <w:tcPr>
            <w:tcW w:w="16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78"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贵州钟山野马寨热电有限责任公司</w:t>
            </w: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c>
          <w:tcPr>
            <w:tcW w:w="21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323,110,794.00</w:t>
            </w:r>
          </w:p>
        </w:tc>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款项已收回</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17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24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1,500,000.00</w:t>
            </w:r>
          </w:p>
        </w:tc>
        <w:tc>
          <w:tcPr>
            <w:tcW w:w="21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323,110,794.00</w:t>
            </w:r>
          </w:p>
        </w:tc>
        <w:tc>
          <w:tcPr>
            <w:tcW w:w="1645"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p>
        </w:tc>
      </w:tr>
    </w:tbl>
    <w:p>
      <w:pPr>
        <w:pStyle w:val="35"/>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长期股权投资</w:t>
      </w:r>
    </w:p>
    <w:p>
      <w:pPr>
        <w:pStyle w:val="44"/>
        <w:rPr>
          <w:color w:val="auto"/>
          <w:highlight w:val="none"/>
        </w:rPr>
      </w:pPr>
      <w:r>
        <w:rPr>
          <w:color w:val="auto"/>
          <w:highlight w:val="none"/>
        </w:rPr>
        <w:t>长期股权投资分类</w:t>
      </w:r>
    </w:p>
    <w:p>
      <w:pPr>
        <w:pStyle w:val="35"/>
        <w:rPr>
          <w:color w:val="auto"/>
          <w:highlight w:val="none"/>
        </w:rPr>
      </w:pPr>
      <w:r>
        <w:rPr>
          <w:color w:val="auto"/>
          <w:highlight w:val="none"/>
        </w:rPr>
        <w:fldChar w:fldCharType="begin"/>
      </w:r>
      <w:r>
        <w:rPr>
          <w:color w:val="auto"/>
          <w:highlight w:val="none"/>
        </w:rPr>
        <w:instrText xml:space="preserve"> LINK Excel.Sheet.12 E:\\雍\\附注排版\\2014年年报格式\\附注过渡表20150130V0910.xlsx</w:instrText>
      </w:r>
      <w:r>
        <w:rPr>
          <w:rFonts w:hint="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color w:val="auto"/>
          <w:highlight w:val="none"/>
        </w:rPr>
        <w:instrText xml:space="preserve">!母公司长期股权投资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639"/>
        <w:gridCol w:w="1684"/>
        <w:gridCol w:w="1587"/>
        <w:gridCol w:w="1587"/>
        <w:gridCol w:w="16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6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6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本期增加</w:t>
            </w:r>
          </w:p>
        </w:tc>
        <w:tc>
          <w:tcPr>
            <w:tcW w:w="1587"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本期减少</w:t>
            </w:r>
          </w:p>
        </w:tc>
        <w:tc>
          <w:tcPr>
            <w:tcW w:w="168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对子公司投资</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17,301,063,928.00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707,599,067.07</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849,992,494.65</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17,158,670,500.42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对合营企业投资</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对联营企业投资</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494,549,033.20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791,644,423.38</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621,799,882.38</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664,393,574.20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小计</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17,795,612,961.20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1,499,243,490.45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1,471,792,377.03</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17,823,064,074.62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减：长期股权投资减值准备</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3,441,613,581.40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3,441,613,581.40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63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14,353,999,379.80</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1,499,243,490.45</w:t>
            </w:r>
          </w:p>
        </w:tc>
        <w:tc>
          <w:tcPr>
            <w:tcW w:w="1587"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1,471,792,377.03</w:t>
            </w:r>
          </w:p>
        </w:tc>
        <w:tc>
          <w:tcPr>
            <w:tcW w:w="168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14,381,450,493.22</w:t>
            </w:r>
          </w:p>
        </w:tc>
      </w:tr>
    </w:tbl>
    <w:p>
      <w:pPr>
        <w:pStyle w:val="35"/>
        <w:rPr>
          <w:color w:val="auto"/>
          <w:highlight w:val="none"/>
        </w:rPr>
      </w:pPr>
      <w:r>
        <w:rPr>
          <w:color w:val="auto"/>
          <w:highlight w:val="none"/>
        </w:rPr>
        <w:fldChar w:fldCharType="end"/>
      </w:r>
    </w:p>
    <w:p>
      <w:pPr>
        <w:pStyle w:val="35"/>
        <w:rPr>
          <w:color w:val="auto"/>
          <w:highlight w:val="none"/>
        </w:rPr>
        <w:sectPr>
          <w:pgSz w:w="11906" w:h="16838"/>
          <w:pgMar w:top="1440" w:right="1800" w:bottom="1440" w:left="1800" w:header="680" w:footer="992" w:gutter="0"/>
          <w:cols w:space="425" w:num="1"/>
          <w:docGrid w:type="lines" w:linePitch="312" w:charSpace="0"/>
        </w:sectPr>
      </w:pPr>
    </w:p>
    <w:p>
      <w:pPr>
        <w:pStyle w:val="44"/>
        <w:rPr>
          <w:rFonts w:eastAsiaTheme="minorEastAsia"/>
          <w:color w:val="auto"/>
          <w:highlight w:val="none"/>
        </w:rPr>
      </w:pPr>
      <w:r>
        <w:rPr>
          <w:color w:val="auto"/>
          <w:kern w:val="0"/>
          <w:highlight w:val="none"/>
        </w:rPr>
        <w:t>长期股权投资明细</w:t>
      </w:r>
    </w:p>
    <w:p>
      <w:pPr>
        <w:pStyle w:val="35"/>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rFonts w:eastAsiaTheme="minorEastAsia"/>
          <w:color w:val="auto"/>
          <w:highlight w:val="none"/>
        </w:rPr>
        <w:instrText xml:space="preserve">!母公司长期股权投资2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2489"/>
        <w:gridCol w:w="1191"/>
        <w:gridCol w:w="1235"/>
        <w:gridCol w:w="1029"/>
        <w:gridCol w:w="503"/>
        <w:gridCol w:w="1116"/>
        <w:gridCol w:w="552"/>
        <w:gridCol w:w="801"/>
        <w:gridCol w:w="697"/>
        <w:gridCol w:w="499"/>
        <w:gridCol w:w="1114"/>
        <w:gridCol w:w="1250"/>
        <w:gridCol w:w="11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489"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被投资单位</w:t>
            </w:r>
          </w:p>
        </w:tc>
        <w:tc>
          <w:tcPr>
            <w:tcW w:w="1191"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投资成本</w:t>
            </w:r>
          </w:p>
        </w:tc>
        <w:tc>
          <w:tcPr>
            <w:tcW w:w="1235"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期初余额</w:t>
            </w:r>
          </w:p>
        </w:tc>
        <w:tc>
          <w:tcPr>
            <w:tcW w:w="6311" w:type="dxa"/>
            <w:gridSpan w:val="8"/>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本期增减变动</w:t>
            </w:r>
          </w:p>
        </w:tc>
        <w:tc>
          <w:tcPr>
            <w:tcW w:w="125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期末余额</w:t>
            </w:r>
          </w:p>
        </w:tc>
        <w:tc>
          <w:tcPr>
            <w:tcW w:w="1132"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减值准备期末余额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2489"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191"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235"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029"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追加投资</w:t>
            </w:r>
          </w:p>
        </w:tc>
        <w:tc>
          <w:tcPr>
            <w:tcW w:w="503"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减少投资</w:t>
            </w:r>
          </w:p>
        </w:tc>
        <w:tc>
          <w:tcPr>
            <w:tcW w:w="1116"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权益法下确认的投资损益</w:t>
            </w:r>
          </w:p>
        </w:tc>
        <w:tc>
          <w:tcPr>
            <w:tcW w:w="552"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其他综合收益调整</w:t>
            </w:r>
          </w:p>
        </w:tc>
        <w:tc>
          <w:tcPr>
            <w:tcW w:w="801"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其他权益变动</w:t>
            </w:r>
          </w:p>
        </w:tc>
        <w:tc>
          <w:tcPr>
            <w:tcW w:w="697"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宣告发放现金股利或利润</w:t>
            </w:r>
          </w:p>
        </w:tc>
        <w:tc>
          <w:tcPr>
            <w:tcW w:w="499"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计提减值准备</w:t>
            </w:r>
          </w:p>
        </w:tc>
        <w:tc>
          <w:tcPr>
            <w:tcW w:w="1114"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其他</w:t>
            </w:r>
          </w:p>
        </w:tc>
        <w:tc>
          <w:tcPr>
            <w:tcW w:w="1250"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c>
          <w:tcPr>
            <w:tcW w:w="1132" w:type="dxa"/>
            <w:vMerge w:val="continue"/>
            <w:shd w:val="clear" w:color="auto" w:fill="auto"/>
            <w:vAlign w:val="center"/>
          </w:tcPr>
          <w:p>
            <w:pPr>
              <w:spacing w:line="200" w:lineRule="atLeast"/>
              <w:jc w:val="both"/>
              <w:rPr>
                <w:rFonts w:ascii="Times New Roman" w:hAnsi="Times New Roman" w:eastAsia="宋体" w:cs="Times New Roman"/>
                <w:color w:val="auto"/>
                <w:sz w:val="12"/>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center"/>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合计</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19,373,923,302.87</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17,795,612,961.20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161,596,300.00</w:t>
            </w: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-613,672,687.18</w:t>
            </w: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121,045.80</w:t>
            </w: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479,406,454.80</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17,823,064,074.62</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3,441,613,581.40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17,679,327,120.49</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17,301,063,928.00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-142,393,427.58</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17,158,670,500.42</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3,337,613,581.40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国家电投集团贵州金元绥阳产业有限公司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4,049,049,173.89</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3,700,785,981.40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3,700,785,981.40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3,337,613,581.40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贵州中水能源股份有限公司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3,328,045,015.63</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3,328,045,015.63</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3,328,045,015.63</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贵州西电电力股份有限公司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3,107,631,627.26</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3,107,631,627.26</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3,107,631,627.26</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国家电投集团贵州金元威宁能源股份有限公司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2,395,000,136.00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2,395,000,136.00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677,599,067.07</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3,072,599,203.07</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融和东能（嘉兴）新能源投资合伙企业（有限合伙）</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1,360,655,428.24</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1,360,655,428.24</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1,360,655,428.24</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贵州元龙综合能源产业服务有限公司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974,372,574.76</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974,372,574.76</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974,372,574.76</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贵州金元绿链物流开发有限公司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700,000,000.00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700,000,000.00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700,000,000.00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贵州西能电力建设有限公司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674,580,670.06</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674,580,670.06</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674,580,670.06</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贵州金元智慧能源有限公司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210,000,000.00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210,000,000.00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贵州能发新能源开发有限公司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30,000,000.00</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30,000,000.00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贵州能发电力燃料开发有限公司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849,992,494.65</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849,992,494.65</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-849,992,494.65</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2．合营企业</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3．联营企业</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1,694,596,182.38</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494,549,033.20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161,596,300.00</w:t>
            </w: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-613,672,687.18</w:t>
            </w: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121,045.80</w:t>
            </w: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621,799,882.38</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664,393,574.20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104,000,000.00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贵州织金平远清洁能源有限责任公司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380,000,000.00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250,000,000.00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130,000,000.00</w:t>
            </w: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380,000,000.00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电投（贵安新区）数据中心有限公司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138,796,300.00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107,200,000.00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31,596,300.00</w:t>
            </w: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1,224,571.37</w:t>
            </w: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140,020,871.37</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贵州钟山野马寨热电有限责任公司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100,000,000.00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100,000,000.00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100,000,000.00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四川兴鼎电力有限责任公司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450,000,000.00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33,349,033.20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6,902,623.83</w:t>
            </w: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121,045.80</w:t>
            </w: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40,372,702.83</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贵州云之龙电煤运输投资有限公司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4,000,000.00</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4,000,000.00</w:t>
            </w: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4,000,000.00</w:t>
            </w: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4,000,000.00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2489" w:type="dxa"/>
            <w:shd w:val="clear" w:color="auto" w:fill="auto"/>
            <w:vAlign w:val="center"/>
          </w:tcPr>
          <w:p>
            <w:pPr>
              <w:snapToGrid w:val="0"/>
              <w:spacing w:line="200" w:lineRule="atLeast"/>
              <w:jc w:val="lef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贵州能发电力燃料开发有限公司</w:t>
            </w:r>
          </w:p>
        </w:tc>
        <w:tc>
          <w:tcPr>
            <w:tcW w:w="119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621,799,882.38</w:t>
            </w:r>
          </w:p>
        </w:tc>
        <w:tc>
          <w:tcPr>
            <w:tcW w:w="1235"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02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503"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6"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-621,799,882.38</w:t>
            </w:r>
          </w:p>
        </w:tc>
        <w:tc>
          <w:tcPr>
            <w:tcW w:w="55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801"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697"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499"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14"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r>
              <w:rPr>
                <w:rFonts w:ascii="Times New Roman" w:hAnsi="Times New Roman" w:eastAsia="宋体" w:cs="Times New Roman"/>
                <w:color w:val="auto"/>
                <w:sz w:val="12"/>
                <w:szCs w:val="13"/>
                <w:highlight w:val="none"/>
              </w:rPr>
              <w:t>621,799,882.38</w:t>
            </w:r>
          </w:p>
        </w:tc>
        <w:tc>
          <w:tcPr>
            <w:tcW w:w="1250"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c>
          <w:tcPr>
            <w:tcW w:w="1132" w:type="dxa"/>
            <w:shd w:val="clear" w:color="auto" w:fill="auto"/>
            <w:vAlign w:val="center"/>
          </w:tcPr>
          <w:p>
            <w:pPr>
              <w:snapToGrid w:val="0"/>
              <w:spacing w:line="200" w:lineRule="atLeast"/>
              <w:jc w:val="right"/>
              <w:rPr>
                <w:rFonts w:ascii="Times New Roman" w:hAnsi="Times New Roman" w:eastAsia="宋体" w:cs="Times New Roman"/>
                <w:color w:val="auto"/>
                <w:sz w:val="12"/>
                <w:szCs w:val="13"/>
                <w:highlight w:val="none"/>
              </w:rPr>
            </w:pPr>
          </w:p>
        </w:tc>
      </w:tr>
    </w:tbl>
    <w:p>
      <w:pPr>
        <w:pStyle w:val="35"/>
        <w:rPr>
          <w:rFonts w:eastAsiaTheme="minorEastAsia"/>
          <w:color w:val="auto"/>
          <w:highlight w:val="none"/>
        </w:rPr>
      </w:pPr>
      <w:r>
        <w:rPr>
          <w:rFonts w:eastAsiaTheme="minorEastAsia"/>
          <w:color w:val="auto"/>
          <w:highlight w:val="none"/>
        </w:rPr>
        <w:fldChar w:fldCharType="end"/>
      </w:r>
      <w:r>
        <w:rPr>
          <w:rFonts w:hint="eastAsia" w:eastAsiaTheme="minorEastAsia"/>
          <w:color w:val="auto"/>
          <w:highlight w:val="none"/>
        </w:rPr>
        <w:t>注：本期增减变动中，“其他”变动</w:t>
      </w:r>
      <w:r>
        <w:rPr>
          <w:rFonts w:eastAsiaTheme="minorEastAsia"/>
          <w:color w:val="auto"/>
          <w:highlight w:val="none"/>
        </w:rPr>
        <w:t>621,799,882.38</w:t>
      </w:r>
      <w:r>
        <w:rPr>
          <w:rFonts w:hint="eastAsia" w:eastAsiaTheme="minorEastAsia"/>
          <w:color w:val="auto"/>
          <w:highlight w:val="none"/>
        </w:rPr>
        <w:t>元，构成如下：</w:t>
      </w:r>
    </w:p>
    <w:p>
      <w:pPr>
        <w:pStyle w:val="35"/>
        <w:rPr>
          <w:color w:val="auto"/>
          <w:highlight w:val="none"/>
        </w:rPr>
      </w:pPr>
      <w:r>
        <w:rPr>
          <w:rFonts w:hint="eastAsia"/>
          <w:color w:val="auto"/>
          <w:highlight w:val="none"/>
        </w:rPr>
        <w:t>①本期公司对贵州能发电力燃料开发有限公司长期股权投资核算方式由成本法转为权益法，其他变动减少</w:t>
      </w:r>
      <w:r>
        <w:rPr>
          <w:color w:val="auto"/>
          <w:highlight w:val="none"/>
        </w:rPr>
        <w:t>849,992,494.65</w:t>
      </w:r>
      <w:r>
        <w:rPr>
          <w:rFonts w:hint="eastAsia"/>
          <w:color w:val="auto"/>
          <w:highlight w:val="none"/>
        </w:rPr>
        <w:t>元，增加</w:t>
      </w:r>
      <w:r>
        <w:rPr>
          <w:color w:val="auto"/>
          <w:highlight w:val="none"/>
        </w:rPr>
        <w:t>621,799,882.38</w:t>
      </w:r>
      <w:r>
        <w:rPr>
          <w:rFonts w:hint="eastAsia"/>
          <w:color w:val="auto"/>
          <w:highlight w:val="none"/>
        </w:rPr>
        <w:t>元，详见“财务报表附注七、（三）本期不再纳入合并范围的原子公司”。</w:t>
      </w:r>
    </w:p>
    <w:p>
      <w:pPr>
        <w:pStyle w:val="35"/>
        <w:rPr>
          <w:color w:val="auto"/>
          <w:highlight w:val="none"/>
        </w:rPr>
      </w:pPr>
      <w:r>
        <w:rPr>
          <w:rFonts w:hint="eastAsia"/>
          <w:color w:val="auto"/>
          <w:highlight w:val="none"/>
        </w:rPr>
        <w:t>②本期公司新增子公司贵州能发新能源开发有限公司，其他变动增加</w:t>
      </w:r>
      <w:r>
        <w:rPr>
          <w:color w:val="auto"/>
          <w:highlight w:val="none"/>
        </w:rPr>
        <w:t>30,000,000.00</w:t>
      </w:r>
      <w:r>
        <w:rPr>
          <w:rFonts w:hint="eastAsia"/>
          <w:color w:val="auto"/>
          <w:highlight w:val="none"/>
        </w:rPr>
        <w:t>元。贵州能发新能源开发有限公司原系贵州金元孙公司，于2024年提级为贵州金元直接子公司。</w:t>
      </w:r>
    </w:p>
    <w:p>
      <w:pPr>
        <w:pStyle w:val="35"/>
        <w:rPr>
          <w:rFonts w:eastAsiaTheme="minorEastAsia"/>
          <w:color w:val="auto"/>
          <w:highlight w:val="none"/>
        </w:rPr>
      </w:pPr>
    </w:p>
    <w:p>
      <w:pPr>
        <w:pStyle w:val="38"/>
        <w:rPr>
          <w:rFonts w:eastAsiaTheme="minorEastAsia"/>
          <w:color w:val="auto"/>
          <w:highlight w:val="none"/>
        </w:rPr>
        <w:sectPr>
          <w:pgSz w:w="16839" w:h="11907" w:orient="landscape"/>
          <w:pgMar w:top="1797" w:right="1440" w:bottom="1797" w:left="1440" w:header="794" w:footer="992" w:gutter="0"/>
          <w:cols w:space="425" w:num="1"/>
          <w:docGrid w:linePitch="312" w:charSpace="0"/>
        </w:sectPr>
      </w:pPr>
    </w:p>
    <w:p>
      <w:pPr>
        <w:pStyle w:val="37"/>
        <w:rPr>
          <w:rFonts w:eastAsiaTheme="minorEastAsia"/>
          <w:color w:val="auto"/>
          <w:highlight w:val="none"/>
        </w:rPr>
      </w:pPr>
      <w:r>
        <w:rPr>
          <w:rFonts w:eastAsiaTheme="minorEastAsia"/>
          <w:color w:val="auto"/>
          <w:highlight w:val="none"/>
        </w:rPr>
        <w:t>营业收入</w:t>
      </w:r>
      <w:r>
        <w:rPr>
          <w:rFonts w:hint="eastAsia" w:eastAsiaTheme="minorEastAsia"/>
          <w:color w:val="auto"/>
          <w:highlight w:val="none"/>
        </w:rPr>
        <w:t>、</w:t>
      </w:r>
      <w:r>
        <w:rPr>
          <w:rFonts w:eastAsiaTheme="minorEastAsia"/>
          <w:color w:val="auto"/>
          <w:highlight w:val="none"/>
        </w:rPr>
        <w:t>营业成本</w:t>
      </w:r>
    </w:p>
    <w:p>
      <w:pPr>
        <w:pStyle w:val="38"/>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rFonts w:eastAsiaTheme="minorEastAsia"/>
          <w:color w:val="auto"/>
          <w:highlight w:val="none"/>
        </w:rPr>
        <w:instrText xml:space="preserve">!母公司营业收入和营业成本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1799"/>
        <w:gridCol w:w="1653"/>
        <w:gridCol w:w="1655"/>
        <w:gridCol w:w="1656"/>
        <w:gridCol w:w="16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750" w:type="dxa"/>
            <w:vMerge w:val="restart"/>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3218"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本期发生额</w:t>
            </w:r>
          </w:p>
        </w:tc>
        <w:tc>
          <w:tcPr>
            <w:tcW w:w="3220" w:type="dxa"/>
            <w:gridSpan w:val="2"/>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1750" w:type="dxa"/>
            <w:vMerge w:val="continue"/>
            <w:shd w:val="clear" w:color="auto" w:fill="auto"/>
            <w:vAlign w:val="center"/>
          </w:tcPr>
          <w:p>
            <w:pPr>
              <w:spacing w:line="200" w:lineRule="atLeast"/>
              <w:jc w:val="both"/>
              <w:rPr>
                <w:rFonts w:ascii="Times New Roman" w:hAnsi="Times New Roman" w:eastAsia="宋体" w:cs="Times New Roman"/>
                <w:color w:val="auto"/>
                <w:sz w:val="16"/>
                <w:highlight w:val="none"/>
              </w:rPr>
            </w:pPr>
          </w:p>
        </w:tc>
        <w:tc>
          <w:tcPr>
            <w:tcW w:w="160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收入</w:t>
            </w:r>
          </w:p>
        </w:tc>
        <w:tc>
          <w:tcPr>
            <w:tcW w:w="161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成本</w:t>
            </w:r>
          </w:p>
        </w:tc>
        <w:tc>
          <w:tcPr>
            <w:tcW w:w="161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收入</w:t>
            </w:r>
          </w:p>
        </w:tc>
        <w:tc>
          <w:tcPr>
            <w:tcW w:w="161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成本</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1．主营业务小计</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1,899,888,153.74</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1,973,239,888.31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1,950,127,074.83</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1,839,128,517.78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售电收入</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1,898,983,351.76</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1,973,227,498.81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1,949,945,886.71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1,839,126,117.78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服务收入</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904,801.98</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12,389.50</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181,188.12</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2,400.00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2．其他业务小计</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263,341,141.91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42,328,120.30</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187,987,798.37</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49,278,436.91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电量指标交易</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7,126,036.26</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12,443,582.36</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粉煤灰销售收入</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7,759,844.56</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38,920,549.63</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13,350,834.65</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29,732,538.36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资产出租收入</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8,704,175.58</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393,288.10</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8,193,626.66</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31,133.49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239,751,085.51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3,014,282.57</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153,999,754.70</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19,514,765.06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1750"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60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2,163,229,295.65</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2,015,568,008.61</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2,138,114,873.20</w:t>
            </w:r>
          </w:p>
        </w:tc>
        <w:tc>
          <w:tcPr>
            <w:tcW w:w="1610"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1,888,406,954.69</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eastAsiaTheme="minorEastAsia"/>
          <w:color w:val="auto"/>
          <w:highlight w:val="none"/>
        </w:rPr>
        <w:t>投资收益</w:t>
      </w:r>
    </w:p>
    <w:p>
      <w:pPr>
        <w:pStyle w:val="38"/>
        <w:rPr>
          <w:rFonts w:eastAsiaTheme="minorEastAsia"/>
          <w:color w:val="auto"/>
          <w:highlight w:val="none"/>
        </w:rPr>
      </w:pPr>
      <w:r>
        <w:rPr>
          <w:rFonts w:eastAsiaTheme="minorEastAsia"/>
          <w:color w:val="auto"/>
          <w:highlight w:val="none"/>
        </w:rPr>
        <w:fldChar w:fldCharType="begin"/>
      </w:r>
      <w:r>
        <w:rPr>
          <w:rFonts w:eastAsiaTheme="minorEastAsia"/>
          <w:color w:val="auto"/>
          <w:highlight w:val="none"/>
        </w:rPr>
        <w:instrText xml:space="preserve"> LINK Excel.Sheet.12 E:\\雍\\附注排版\\2014年年报格式\\附注过渡表20150130V0910.xlsx</w:instrText>
      </w:r>
      <w:r>
        <w:rPr>
          <w:rFonts w:hint="eastAsia" w:eastAsiaTheme="minorEastAsia"/>
          <w:color w:val="auto"/>
          <w:highlight w:val="none"/>
        </w:rPr>
        <w:instrText xml:space="preserve"> </w:instrText>
      </w:r>
      <w:r>
        <w:rPr>
          <w:rFonts w:eastAsiaTheme="minorEastAsia"/>
          <w:color w:val="auto"/>
          <w:highlight w:val="none"/>
          <w:shd w:val="clear" w:color="auto" w:fill="CCFFFF"/>
        </w:rPr>
        <w:instrText xml:space="preserve">母公司</w:instrText>
      </w:r>
      <w:r>
        <w:rPr>
          <w:rFonts w:hint="eastAsia" w:eastAsiaTheme="minorEastAsia"/>
          <w:color w:val="auto"/>
          <w:highlight w:val="none"/>
          <w:shd w:val="clear" w:color="auto" w:fill="CCFFFF"/>
        </w:rPr>
        <w:instrText xml:space="preserve">附注</w:instrText>
      </w:r>
      <w:r>
        <w:rPr>
          <w:rFonts w:eastAsiaTheme="minorEastAsia"/>
          <w:color w:val="auto"/>
          <w:highlight w:val="none"/>
        </w:rPr>
        <w:instrText xml:space="preserve">!母公司投资收益 \f 4 \h \* MERGEFORMAT </w:instrText>
      </w:r>
      <w:r>
        <w:rPr>
          <w:rFonts w:eastAsiaTheme="minorEastAsia"/>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723"/>
        <w:gridCol w:w="2000"/>
        <w:gridCol w:w="169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59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1945"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本期发生额</w:t>
            </w:r>
          </w:p>
        </w:tc>
        <w:tc>
          <w:tcPr>
            <w:tcW w:w="1649"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权益法核算的长期股权投资收益</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8,127,195.20</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12,349,147.59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成本法核算的长期股权投资收益</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168,808,344.10</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44,742,370.75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处置长期股权投资产生的投资收益</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-539,104,558.06</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其他权益工具投资持有期间的投资收益</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36,232,800.00</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36,232,800.00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委托贷款利息收益</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280,205,425.16</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290,456,600.08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59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合计</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-45,730,793.60</w:t>
            </w:r>
          </w:p>
        </w:tc>
        <w:tc>
          <w:tcPr>
            <w:tcW w:w="1649"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383,780,918.42</w:t>
            </w:r>
          </w:p>
        </w:tc>
      </w:tr>
    </w:tbl>
    <w:p>
      <w:pPr>
        <w:pStyle w:val="38"/>
        <w:rPr>
          <w:rFonts w:eastAsiaTheme="minorEastAsia"/>
          <w:color w:val="auto"/>
          <w:highlight w:val="none"/>
        </w:rPr>
      </w:pPr>
      <w:r>
        <w:rPr>
          <w:rFonts w:eastAsiaTheme="minorEastAsia"/>
          <w:color w:val="auto"/>
          <w:highlight w:val="none"/>
        </w:rPr>
        <w:fldChar w:fldCharType="end"/>
      </w:r>
    </w:p>
    <w:p>
      <w:pPr>
        <w:pStyle w:val="37"/>
        <w:rPr>
          <w:rFonts w:eastAsiaTheme="minorEastAsia"/>
          <w:color w:val="auto"/>
          <w:highlight w:val="none"/>
        </w:rPr>
      </w:pPr>
      <w:r>
        <w:rPr>
          <w:rFonts w:hint="eastAsia" w:eastAsiaTheme="minorEastAsia"/>
          <w:color w:val="auto"/>
          <w:highlight w:val="none"/>
        </w:rPr>
        <w:t>现金流量表</w:t>
      </w:r>
    </w:p>
    <w:p>
      <w:pPr>
        <w:pStyle w:val="44"/>
        <w:rPr>
          <w:color w:val="auto"/>
          <w:highlight w:val="none"/>
        </w:rPr>
      </w:pPr>
      <w:r>
        <w:rPr>
          <w:rFonts w:hint="eastAsia"/>
          <w:color w:val="auto"/>
          <w:highlight w:val="none"/>
        </w:rPr>
        <w:t>将净利润调节为经营活动现金流量的信息情况</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"D:\\tonylee\\立信\\新附注排版工具\\2015央企年报格式\\中央企业财务报表和报表附注20160818V2.xlsm" "母公司附注!母公司现金流表补充资料"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4342"/>
        <w:gridCol w:w="2000"/>
        <w:gridCol w:w="20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4223"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补充资料</w:t>
            </w:r>
          </w:p>
        </w:tc>
        <w:tc>
          <w:tcPr>
            <w:tcW w:w="1945"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本期发生额</w:t>
            </w:r>
          </w:p>
        </w:tc>
        <w:tc>
          <w:tcPr>
            <w:tcW w:w="2020" w:type="dxa"/>
            <w:shd w:val="clear" w:color="auto" w:fill="auto"/>
            <w:vAlign w:val="center"/>
          </w:tcPr>
          <w:p>
            <w:pPr>
              <w:snapToGrid w:val="0"/>
              <w:spacing w:line="200" w:lineRule="atLeast"/>
              <w:jc w:val="center"/>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1、将净利润调节为经营活动现金流量：</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净利润</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-573,625,098.07</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-3,289,418,018.83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加：资产减值损失</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3,337,613,581.40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信用减值损失</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-1,500,000.00</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-287,736,112.41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固定资产折旧、油气资产折耗、生产性生物资产折旧</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89,551,095.17</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88,075,434.06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使用权资产折旧</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860,257.20</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902,611.97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无形资产摊销</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6,100,083.93</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6,081,718.36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长期待摊费用摊销</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处置固定资产、无形资产和其他长期资产的损失（收益以“－”号填列）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-2,144.29</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-9,636,566.27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固定资产报废损失（收益以“－”号填列）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48,462.81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公允价值变动损失（收益以“－”号填列）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1,315,400.00</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1,197,445.00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财务费用（收益以“－”号填列）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659,909,414.43</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927,620,049.60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投资损失（收益以“－”号填列）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45,729,438.18</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-383,780,918.42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递延所得税资产减少（增加以“－”号填列）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-246,376.73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递延所得税负债增加（减少以“－”号填列）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-52,263.88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存货的减少（增加以“－”号填列）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-879,344,906.09</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-21,781,876.84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经营性应收项目的减少（增加以“－”号填列）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1,366,087,750.16</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4,693,464,934.35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经营性应付项目的增加（减少以“－”号填列）</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-266,622,941.29</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2,600,235,994.74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 xml:space="preserve">    其他</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经营活动产生的现金流量净额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448,458,349.33</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7,662,588,098.91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2、不涉及现金收支的重大投资和筹资活动：</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债务转为资本</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一年内到期的可转换公司债券</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融资租入固定资产</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3、现金及现金等价物净变动情况：</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现金的期末余额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1,085,140,615.44</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202,944,112.13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减：现金的期初余额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202,944,112.13</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413,691,362.77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加：现金等价物的期末余额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减：现金等价物的期初余额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4223" w:type="dxa"/>
            <w:shd w:val="clear" w:color="auto" w:fill="auto"/>
            <w:vAlign w:val="center"/>
          </w:tcPr>
          <w:p>
            <w:pPr>
              <w:snapToGrid w:val="0"/>
              <w:spacing w:line="200" w:lineRule="atLeast"/>
              <w:jc w:val="lef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现金及现金等价物净增加额</w:t>
            </w:r>
          </w:p>
        </w:tc>
        <w:tc>
          <w:tcPr>
            <w:tcW w:w="1945"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882,196,503.31</w:t>
            </w:r>
          </w:p>
        </w:tc>
        <w:tc>
          <w:tcPr>
            <w:tcW w:w="2020" w:type="dxa"/>
            <w:shd w:val="clear" w:color="auto" w:fill="auto"/>
            <w:vAlign w:val="center"/>
          </w:tcPr>
          <w:p>
            <w:pPr>
              <w:snapToGrid w:val="0"/>
              <w:spacing w:line="200" w:lineRule="atLeast"/>
              <w:jc w:val="right"/>
              <w:rPr>
                <w:rFonts w:ascii="Times New Roman" w:hAnsi="Times New Roman" w:eastAsia="宋体" w:cs="Times New Roman"/>
                <w:color w:val="auto"/>
                <w:sz w:val="16"/>
                <w:szCs w:val="16"/>
                <w:highlight w:val="none"/>
              </w:rPr>
            </w:pPr>
            <w:r>
              <w:rPr>
                <w:rFonts w:ascii="Times New Roman" w:hAnsi="Times New Roman" w:eastAsia="宋体" w:cs="Times New Roman"/>
                <w:color w:val="auto"/>
                <w:sz w:val="16"/>
                <w:szCs w:val="16"/>
                <w:highlight w:val="none"/>
              </w:rPr>
              <w:t>-210,747,250.64</w:t>
            </w:r>
          </w:p>
        </w:tc>
      </w:tr>
    </w:tbl>
    <w:p>
      <w:pPr>
        <w:pStyle w:val="35"/>
        <w:rPr>
          <w:color w:val="auto"/>
          <w:highlight w:val="none"/>
        </w:rPr>
      </w:pPr>
      <w:r>
        <w:rPr>
          <w:color w:val="auto"/>
          <w:highlight w:val="none"/>
        </w:rPr>
        <w:fldChar w:fldCharType="end"/>
      </w:r>
    </w:p>
    <w:p>
      <w:pPr>
        <w:pStyle w:val="44"/>
        <w:rPr>
          <w:color w:val="auto"/>
          <w:highlight w:val="none"/>
        </w:rPr>
      </w:pPr>
      <w:r>
        <w:rPr>
          <w:color w:val="auto"/>
          <w:highlight w:val="none"/>
        </w:rPr>
        <w:t>现金和现金等价物的</w:t>
      </w:r>
      <w:r>
        <w:rPr>
          <w:rFonts w:hint="eastAsia"/>
          <w:color w:val="auto"/>
          <w:highlight w:val="none"/>
        </w:rPr>
        <w:t>构成</w:t>
      </w:r>
    </w:p>
    <w:p>
      <w:pPr>
        <w:pStyle w:val="35"/>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LINK Excel.SheetMacroEnabled.12 "D:\\tonylee\\立信\\新附注排版工具\\2015央企年报格式\\中央企业财务报表和报表附注20160818V2.xlsm" "母公司附注!母公司现金流表补充资料2" \f 4 \h \* MERGEFORMAT </w:instrText>
      </w:r>
      <w:r>
        <w:rPr>
          <w:color w:val="auto"/>
          <w:highlight w:val="none"/>
        </w:rPr>
        <w:fldChar w:fldCharType="separate"/>
      </w:r>
    </w:p>
    <w:tbl>
      <w:tblPr>
        <w:tblStyle w:val="36"/>
        <w:tblW w:w="4800" w:type="pct"/>
        <w:tblInd w:w="72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28" w:type="dxa"/>
          <w:left w:w="108" w:type="dxa"/>
          <w:bottom w:w="28" w:type="dxa"/>
          <w:right w:w="108" w:type="dxa"/>
        </w:tblCellMar>
      </w:tblPr>
      <w:tblGrid>
        <w:gridCol w:w="3893"/>
        <w:gridCol w:w="2219"/>
        <w:gridCol w:w="23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blHeader/>
        </w:trPr>
        <w:tc>
          <w:tcPr>
            <w:tcW w:w="3786"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项目</w:t>
            </w:r>
          </w:p>
        </w:tc>
        <w:tc>
          <w:tcPr>
            <w:tcW w:w="2158"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期末余额</w:t>
            </w:r>
          </w:p>
        </w:tc>
        <w:tc>
          <w:tcPr>
            <w:tcW w:w="2244" w:type="dxa"/>
            <w:shd w:val="clear" w:color="auto" w:fill="auto"/>
            <w:vAlign w:val="center"/>
          </w:tcPr>
          <w:p>
            <w:pPr>
              <w:snapToGrid w:val="0"/>
              <w:spacing w:line="200" w:lineRule="atLeast"/>
              <w:jc w:val="center"/>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一、现金</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1,085,140,615.44</w:t>
            </w: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202,944,112.13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其中：库存现金</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可随时用于支付的数字货币</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可随时用于支付的银行存款</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1,085,140,615.44</w:t>
            </w: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202,944,112.13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 xml:space="preserve">      可随时用于支付的其他货币资金</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二、现金等价物</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其中：三个月内到期的债券投资</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28" w:type="dxa"/>
            <w:left w:w="108" w:type="dxa"/>
            <w:bottom w:w="28" w:type="dxa"/>
            <w:right w:w="108" w:type="dxa"/>
          </w:tblCellMar>
        </w:tblPrEx>
        <w:trPr>
          <w:trHeight w:val="283" w:hRule="atLeast"/>
        </w:trPr>
        <w:tc>
          <w:tcPr>
            <w:tcW w:w="3786" w:type="dxa"/>
            <w:shd w:val="clear" w:color="auto" w:fill="auto"/>
            <w:vAlign w:val="center"/>
          </w:tcPr>
          <w:p>
            <w:pPr>
              <w:snapToGrid w:val="0"/>
              <w:spacing w:line="200" w:lineRule="atLeast"/>
              <w:jc w:val="lef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三、期末现金及现金等价物余额</w:t>
            </w:r>
          </w:p>
        </w:tc>
        <w:tc>
          <w:tcPr>
            <w:tcW w:w="2158"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1,085,140,615.44</w:t>
            </w:r>
          </w:p>
        </w:tc>
        <w:tc>
          <w:tcPr>
            <w:tcW w:w="2244" w:type="dxa"/>
            <w:shd w:val="clear" w:color="auto" w:fill="auto"/>
            <w:vAlign w:val="center"/>
          </w:tcPr>
          <w:p>
            <w:pPr>
              <w:snapToGrid w:val="0"/>
              <w:spacing w:line="200" w:lineRule="atLeast"/>
              <w:jc w:val="right"/>
              <w:rPr>
                <w:rFonts w:ascii="Times New Roman" w:hAnsi="Times New Roman" w:eastAsia="宋体" w:cs="Times New Roman"/>
                <w:color w:val="auto"/>
                <w:sz w:val="16"/>
                <w:szCs w:val="18"/>
                <w:highlight w:val="none"/>
              </w:rPr>
            </w:pPr>
            <w:r>
              <w:rPr>
                <w:rFonts w:ascii="Times New Roman" w:hAnsi="Times New Roman" w:eastAsia="宋体" w:cs="Times New Roman"/>
                <w:color w:val="auto"/>
                <w:sz w:val="16"/>
                <w:szCs w:val="18"/>
                <w:highlight w:val="none"/>
              </w:rPr>
              <w:t>202,944,112.13</w:t>
            </w:r>
          </w:p>
        </w:tc>
      </w:tr>
    </w:tbl>
    <w:p>
      <w:pPr>
        <w:pStyle w:val="35"/>
        <w:rPr>
          <w:color w:val="auto"/>
          <w:highlight w:val="none"/>
        </w:rPr>
      </w:pPr>
      <w:r>
        <w:rPr>
          <w:color w:val="auto"/>
          <w:highlight w:val="none"/>
        </w:rPr>
        <w:fldChar w:fldCharType="end"/>
      </w:r>
    </w:p>
    <w:p>
      <w:pPr>
        <w:rPr>
          <w:rFonts w:ascii="Times New Roman" w:hAnsi="Times New Roman" w:eastAsia="宋体" w:cs="Times New Roman"/>
          <w:color w:val="auto"/>
          <w:highlight w:val="none"/>
        </w:rPr>
      </w:pPr>
      <w:r>
        <w:rPr>
          <w:color w:val="auto"/>
          <w:highlight w:val="none"/>
        </w:rPr>
        <w:br w:type="page"/>
      </w:r>
    </w:p>
    <w:p>
      <w:pPr>
        <w:pStyle w:val="43"/>
        <w:rPr>
          <w:color w:val="auto"/>
          <w:highlight w:val="none"/>
        </w:rPr>
      </w:pPr>
      <w:r>
        <w:rPr>
          <w:color w:val="auto"/>
          <w:highlight w:val="none"/>
        </w:rPr>
        <w:t>按照有关财务会计制度应披露的其他内容</w:t>
      </w:r>
    </w:p>
    <w:p>
      <w:pPr>
        <w:pStyle w:val="38"/>
        <w:rPr>
          <w:color w:val="auto"/>
          <w:highlight w:val="none"/>
        </w:rPr>
      </w:pPr>
      <w:r>
        <w:rPr>
          <w:rFonts w:hint="eastAsia"/>
          <w:color w:val="auto"/>
          <w:highlight w:val="none"/>
        </w:rPr>
        <w:t>无。</w:t>
      </w:r>
    </w:p>
    <w:p>
      <w:pPr>
        <w:pStyle w:val="38"/>
        <w:rPr>
          <w:color w:val="auto"/>
          <w:highlight w:val="none"/>
        </w:rPr>
      </w:pPr>
    </w:p>
    <w:p>
      <w:pPr>
        <w:pStyle w:val="43"/>
        <w:rPr>
          <w:color w:val="auto"/>
          <w:highlight w:val="none"/>
        </w:rPr>
      </w:pPr>
      <w:r>
        <w:rPr>
          <w:color w:val="auto"/>
          <w:highlight w:val="none"/>
        </w:rPr>
        <w:t>财务报表的批准</w:t>
      </w:r>
    </w:p>
    <w:p>
      <w:pPr>
        <w:pStyle w:val="38"/>
        <w:rPr>
          <w:color w:val="auto"/>
          <w:highlight w:val="none"/>
        </w:rPr>
      </w:pPr>
      <w:r>
        <w:rPr>
          <w:color w:val="auto"/>
          <w:highlight w:val="none"/>
        </w:rPr>
        <w:t>本财务报表已于 202</w:t>
      </w:r>
      <w:r>
        <w:rPr>
          <w:rFonts w:hint="eastAsia"/>
          <w:color w:val="auto"/>
          <w:highlight w:val="none"/>
        </w:rPr>
        <w:t>5</w:t>
      </w:r>
      <w:r>
        <w:rPr>
          <w:color w:val="auto"/>
          <w:highlight w:val="none"/>
        </w:rPr>
        <w:t>年</w:t>
      </w:r>
      <w:r>
        <w:rPr>
          <w:rFonts w:hint="eastAsia"/>
          <w:color w:val="auto"/>
          <w:highlight w:val="none"/>
        </w:rPr>
        <w:t>4</w:t>
      </w:r>
      <w:r>
        <w:rPr>
          <w:color w:val="auto"/>
          <w:highlight w:val="none"/>
        </w:rPr>
        <w:t>月</w:t>
      </w:r>
      <w:r>
        <w:rPr>
          <w:rFonts w:hint="eastAsia"/>
          <w:color w:val="auto"/>
          <w:highlight w:val="none"/>
        </w:rPr>
        <w:t>25</w:t>
      </w:r>
      <w:r>
        <w:rPr>
          <w:color w:val="auto"/>
          <w:highlight w:val="none"/>
        </w:rPr>
        <w:t>日经本公司批准。</w:t>
      </w:r>
    </w:p>
    <w:p>
      <w:pPr>
        <w:pStyle w:val="38"/>
        <w:rPr>
          <w:color w:val="auto"/>
          <w:highlight w:val="none"/>
        </w:rPr>
      </w:pPr>
    </w:p>
    <w:p>
      <w:pPr>
        <w:pStyle w:val="38"/>
        <w:rPr>
          <w:color w:val="auto"/>
          <w:highlight w:val="none"/>
        </w:rPr>
      </w:pPr>
    </w:p>
    <w:p>
      <w:pPr>
        <w:wordWrap w:val="0"/>
        <w:adjustRightInd w:val="0"/>
        <w:snapToGrid w:val="0"/>
        <w:jc w:val="right"/>
        <w:rPr>
          <w:rFonts w:ascii="Times New Roman" w:hAnsi="Times New Roman" w:cs="Times New Roman"/>
          <w:b/>
          <w:bCs/>
          <w:color w:val="auto"/>
          <w:highlight w:val="none"/>
        </w:rPr>
      </w:pPr>
      <w:r>
        <w:rPr>
          <w:rFonts w:ascii="Times New Roman" w:hAnsi="Times New Roman" w:cs="Times New Roman"/>
          <w:b/>
          <w:color w:val="auto"/>
          <w:highlight w:val="none"/>
        </w:rPr>
        <w:fldChar w:fldCharType="begin"/>
      </w:r>
      <w:r>
        <w:rPr>
          <w:rFonts w:ascii="Times New Roman" w:hAnsi="Times New Roman" w:cs="Times New Roman"/>
          <w:b/>
          <w:color w:val="auto"/>
          <w:highlight w:val="none"/>
        </w:rPr>
        <w:instrText xml:space="preserve"> DOCVARIABLE  基本信息_企业名称  \* MERGEFORMAT </w:instrText>
      </w:r>
      <w:r>
        <w:rPr>
          <w:rFonts w:ascii="Times New Roman" w:hAnsi="Times New Roman" w:cs="Times New Roman"/>
          <w:b/>
          <w:color w:val="auto"/>
          <w:highlight w:val="none"/>
        </w:rPr>
        <w:fldChar w:fldCharType="separate"/>
      </w:r>
      <w:r>
        <w:rPr>
          <w:rFonts w:hint="eastAsia" w:ascii="Times New Roman" w:hAnsi="Times New Roman" w:cs="Times New Roman"/>
          <w:b/>
          <w:color w:val="auto"/>
          <w:highlight w:val="none"/>
        </w:rPr>
        <w:t>国家电投集团贵州金元股份有限公司</w:t>
      </w:r>
      <w:r>
        <w:rPr>
          <w:rFonts w:ascii="Times New Roman" w:hAnsi="Times New Roman" w:cs="Times New Roman"/>
          <w:b/>
          <w:color w:val="auto"/>
          <w:highlight w:val="none"/>
        </w:rPr>
        <w:fldChar w:fldCharType="end"/>
      </w:r>
    </w:p>
    <w:p>
      <w:pPr>
        <w:adjustRightInd w:val="0"/>
        <w:snapToGrid w:val="0"/>
        <w:jc w:val="right"/>
        <w:rPr>
          <w:rFonts w:ascii="Times New Roman" w:hAnsi="Times New Roman" w:cs="Times New Roman"/>
          <w:color w:val="auto"/>
          <w:spacing w:val="20"/>
          <w:highlight w:val="none"/>
        </w:rPr>
      </w:pPr>
      <w:r>
        <w:rPr>
          <w:rFonts w:hint="eastAsia" w:ascii="Times New Roman" w:hAnsi="Times New Roman" w:cs="Times New Roman"/>
          <w:b/>
          <w:bCs/>
          <w:color w:val="auto"/>
          <w:spacing w:val="20"/>
          <w:highlight w:val="none"/>
        </w:rPr>
        <w:t>20</w:t>
      </w:r>
      <w:r>
        <w:rPr>
          <w:rFonts w:ascii="Times New Roman" w:hAnsi="Times New Roman" w:cs="Times New Roman"/>
          <w:b/>
          <w:bCs/>
          <w:color w:val="auto"/>
          <w:spacing w:val="20"/>
          <w:highlight w:val="none"/>
        </w:rPr>
        <w:t>2</w:t>
      </w:r>
      <w:r>
        <w:rPr>
          <w:rFonts w:hint="eastAsia" w:ascii="Times New Roman" w:hAnsi="Times New Roman" w:cs="Times New Roman"/>
          <w:b/>
          <w:bCs/>
          <w:color w:val="auto"/>
          <w:spacing w:val="20"/>
          <w:highlight w:val="none"/>
        </w:rPr>
        <w:t>5</w:t>
      </w:r>
      <w:r>
        <w:rPr>
          <w:rFonts w:ascii="Times New Roman" w:hAnsi="Times New Roman" w:cs="Times New Roman"/>
          <w:b/>
          <w:bCs/>
          <w:color w:val="auto"/>
          <w:spacing w:val="20"/>
          <w:highlight w:val="none"/>
        </w:rPr>
        <w:t>年</w:t>
      </w:r>
      <w:r>
        <w:rPr>
          <w:rFonts w:hint="eastAsia" w:ascii="Times New Roman" w:hAnsi="Times New Roman" w:cs="Times New Roman"/>
          <w:b/>
          <w:bCs/>
          <w:color w:val="auto"/>
          <w:spacing w:val="20"/>
          <w:highlight w:val="none"/>
        </w:rPr>
        <w:t>4</w:t>
      </w:r>
      <w:r>
        <w:rPr>
          <w:rFonts w:ascii="Times New Roman" w:hAnsi="Times New Roman" w:cs="Times New Roman"/>
          <w:b/>
          <w:bCs/>
          <w:color w:val="auto"/>
          <w:spacing w:val="20"/>
          <w:highlight w:val="none"/>
        </w:rPr>
        <w:t>月</w:t>
      </w:r>
      <w:r>
        <w:rPr>
          <w:rFonts w:hint="eastAsia" w:ascii="Times New Roman" w:hAnsi="Times New Roman" w:cs="Times New Roman"/>
          <w:b/>
          <w:bCs/>
          <w:color w:val="auto"/>
          <w:spacing w:val="20"/>
          <w:highlight w:val="none"/>
        </w:rPr>
        <w:t>25</w:t>
      </w:r>
      <w:r>
        <w:rPr>
          <w:rFonts w:ascii="Times New Roman" w:hAnsi="Times New Roman" w:cs="Times New Roman"/>
          <w:b/>
          <w:bCs/>
          <w:color w:val="auto"/>
          <w:spacing w:val="20"/>
          <w:highlight w:val="none"/>
        </w:rPr>
        <w:t>日</w:t>
      </w:r>
    </w:p>
    <w:p>
      <w:pPr>
        <w:adjustRightInd w:val="0"/>
        <w:snapToGrid w:val="0"/>
        <w:ind w:firstLine="567"/>
        <w:jc w:val="both"/>
        <w:rPr>
          <w:rFonts w:ascii="Times New Roman" w:hAnsi="Times New Roman" w:eastAsia="宋体" w:cs="Times New Roman"/>
          <w:color w:val="auto"/>
          <w:sz w:val="28"/>
          <w:highlight w:val="none"/>
        </w:rPr>
      </w:pPr>
    </w:p>
    <w:p>
      <w:pPr>
        <w:rPr>
          <w:color w:val="auto"/>
          <w:highlight w:val="none"/>
        </w:rPr>
      </w:pPr>
    </w:p>
    <w:p>
      <w:pPr>
        <w:pStyle w:val="6"/>
        <w:spacing w:before="120"/>
        <w:ind w:left="0"/>
        <w:jc w:val="center"/>
        <w:outlineLvl w:val="0"/>
        <w:rPr>
          <w:rFonts w:hint="eastAsia" w:cs="宋体"/>
          <w:b/>
          <w:bCs/>
          <w:color w:val="auto"/>
          <w:highlight w:val="none"/>
          <w:lang w:val="en-US" w:eastAsia="zh-CN"/>
        </w:rPr>
      </w:pPr>
    </w:p>
    <w:p>
      <w:pPr>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5"/>
        <w:rPr>
          <w:rFonts w:hint="eastAsia" w:cs="宋体"/>
          <w:b/>
          <w:bCs/>
          <w:color w:val="auto"/>
          <w:highlight w:val="none"/>
          <w:lang w:val="en-US" w:eastAsia="zh-CN"/>
        </w:rPr>
      </w:pPr>
    </w:p>
    <w:p>
      <w:pPr>
        <w:pStyle w:val="17"/>
        <w:rPr>
          <w:rFonts w:hint="eastAsia" w:cs="宋体"/>
          <w:b/>
          <w:bCs/>
          <w:color w:val="auto"/>
          <w:highlight w:val="none"/>
          <w:lang w:val="en-US" w:eastAsia="zh-CN"/>
        </w:rPr>
      </w:pPr>
    </w:p>
    <w:p>
      <w:pPr>
        <w:rPr>
          <w:rFonts w:hint="eastAsia" w:cs="宋体"/>
          <w:b/>
          <w:bCs/>
          <w:color w:val="auto"/>
          <w:highlight w:val="none"/>
          <w:lang w:val="en-US" w:eastAsia="zh-CN"/>
        </w:rPr>
      </w:pPr>
    </w:p>
    <w:p>
      <w:pPr>
        <w:pStyle w:val="17"/>
        <w:rPr>
          <w:rFonts w:hint="eastAsia" w:cs="宋体"/>
          <w:b/>
          <w:bCs/>
          <w:color w:val="auto"/>
          <w:highlight w:val="none"/>
          <w:lang w:val="en-US" w:eastAsia="zh-CN"/>
        </w:rPr>
      </w:pPr>
    </w:p>
    <w:p>
      <w:pPr>
        <w:pStyle w:val="33"/>
        <w:spacing w:line="360" w:lineRule="auto"/>
        <w:jc w:val="both"/>
        <w:rPr>
          <w:rFonts w:hint="eastAsia" w:ascii="黑体" w:hAnsi="黑体" w:eastAsia="黑体"/>
          <w:color w:val="auto"/>
          <w:sz w:val="32"/>
          <w:szCs w:val="32"/>
          <w:highlight w:val="none"/>
          <w:lang w:val="en-US" w:eastAsia="zh-CN"/>
        </w:rPr>
        <w:sectPr>
          <w:headerReference r:id="rId26" w:type="default"/>
          <w:footerReference r:id="rId27" w:type="default"/>
          <w:pgSz w:w="11910" w:h="16840"/>
          <w:pgMar w:top="1418" w:right="1678" w:bottom="278" w:left="1678" w:header="720" w:footer="720" w:gutter="0"/>
          <w:pgNumType w:fmt="decimal" w:start="1"/>
          <w:cols w:space="720" w:num="1"/>
        </w:sectPr>
      </w:pPr>
    </w:p>
    <w:p>
      <w:pPr>
        <w:jc w:val="center"/>
        <w:outlineLvl w:val="2"/>
        <w:rPr>
          <w:rFonts w:ascii="黑体" w:hAnsi="黑体" w:eastAsia="黑体" w:cs="黑体"/>
          <w:color w:val="auto"/>
          <w:sz w:val="50"/>
          <w:szCs w:val="50"/>
          <w:highlight w:val="none"/>
        </w:rPr>
      </w:pPr>
      <w:bookmarkStart w:id="84" w:name="_GoBack"/>
      <w:bookmarkEnd w:id="84"/>
    </w:p>
    <w:p>
      <w:pPr>
        <w:jc w:val="center"/>
        <w:outlineLvl w:val="2"/>
        <w:rPr>
          <w:rFonts w:ascii="黑体" w:hAnsi="黑体" w:eastAsia="黑体" w:cs="黑体"/>
          <w:color w:val="auto"/>
          <w:sz w:val="50"/>
          <w:szCs w:val="50"/>
          <w:highlight w:val="none"/>
        </w:rPr>
      </w:pPr>
    </w:p>
    <w:p>
      <w:pPr>
        <w:jc w:val="center"/>
        <w:outlineLvl w:val="2"/>
        <w:rPr>
          <w:rFonts w:ascii="黑体" w:hAnsi="黑体" w:eastAsia="黑体" w:cs="黑体"/>
          <w:color w:val="auto"/>
          <w:sz w:val="50"/>
          <w:szCs w:val="50"/>
          <w:highlight w:val="none"/>
        </w:rPr>
      </w:pPr>
    </w:p>
    <w:p>
      <w:pPr>
        <w:jc w:val="center"/>
        <w:outlineLvl w:val="2"/>
        <w:rPr>
          <w:rFonts w:ascii="黑体" w:hAnsi="黑体" w:eastAsia="黑体" w:cs="黑体"/>
          <w:color w:val="auto"/>
          <w:sz w:val="50"/>
          <w:szCs w:val="50"/>
          <w:highlight w:val="none"/>
        </w:rPr>
      </w:pPr>
      <w:r>
        <w:rPr>
          <w:rFonts w:ascii="黑体" w:hAnsi="黑体" w:eastAsia="黑体" w:cs="黑体"/>
          <w:color w:val="auto"/>
          <w:sz w:val="50"/>
          <w:szCs w:val="50"/>
          <w:highlight w:val="none"/>
        </w:rPr>
        <w:t>国家电投集团贵州金元股份有限</w:t>
      </w:r>
      <w:r>
        <w:rPr>
          <w:rFonts w:hint="eastAsia" w:ascii="黑体" w:hAnsi="黑体" w:eastAsia="黑体" w:cs="黑体"/>
          <w:color w:val="auto"/>
          <w:sz w:val="50"/>
          <w:szCs w:val="50"/>
          <w:highlight w:val="none"/>
        </w:rPr>
        <w:t>公</w:t>
      </w:r>
      <w:r>
        <w:rPr>
          <w:rFonts w:ascii="黑体" w:hAnsi="黑体" w:eastAsia="黑体" w:cs="黑体"/>
          <w:color w:val="auto"/>
          <w:sz w:val="50"/>
          <w:szCs w:val="50"/>
          <w:highlight w:val="none"/>
        </w:rPr>
        <w:t>司</w:t>
      </w:r>
    </w:p>
    <w:p>
      <w:pPr>
        <w:jc w:val="center"/>
        <w:outlineLvl w:val="2"/>
        <w:rPr>
          <w:rFonts w:hint="eastAsia" w:ascii="黑体" w:hAnsi="黑体" w:eastAsia="黑体" w:cs="黑体"/>
          <w:color w:val="auto"/>
          <w:sz w:val="50"/>
          <w:szCs w:val="50"/>
          <w:highlight w:val="none"/>
          <w:lang w:val="en-US" w:eastAsia="zh-CN"/>
        </w:rPr>
      </w:pPr>
      <w:r>
        <w:rPr>
          <w:rFonts w:hint="eastAsia" w:ascii="黑体" w:hAnsi="黑体" w:eastAsia="黑体" w:cs="黑体"/>
          <w:color w:val="auto"/>
          <w:sz w:val="50"/>
          <w:szCs w:val="50"/>
          <w:highlight w:val="none"/>
        </w:rPr>
        <w:t>202</w:t>
      </w:r>
      <w:r>
        <w:rPr>
          <w:rFonts w:hint="eastAsia" w:ascii="黑体" w:hAnsi="黑体" w:eastAsia="黑体" w:cs="黑体"/>
          <w:color w:val="auto"/>
          <w:sz w:val="50"/>
          <w:szCs w:val="50"/>
          <w:highlight w:val="none"/>
          <w:lang w:val="en-US" w:eastAsia="zh-CN"/>
        </w:rPr>
        <w:t>4</w:t>
      </w:r>
      <w:r>
        <w:rPr>
          <w:rFonts w:hint="eastAsia" w:ascii="黑体" w:hAnsi="黑体" w:eastAsia="黑体" w:cs="黑体"/>
          <w:color w:val="auto"/>
          <w:sz w:val="50"/>
          <w:szCs w:val="50"/>
          <w:highlight w:val="none"/>
        </w:rPr>
        <w:t>年</w:t>
      </w:r>
      <w:r>
        <w:rPr>
          <w:rFonts w:hint="eastAsia" w:ascii="黑体" w:hAnsi="黑体" w:eastAsia="黑体" w:cs="黑体"/>
          <w:color w:val="auto"/>
          <w:sz w:val="50"/>
          <w:szCs w:val="50"/>
          <w:highlight w:val="none"/>
          <w:lang w:eastAsia="zh-CN"/>
        </w:rPr>
        <w:t>年</w:t>
      </w:r>
      <w:r>
        <w:rPr>
          <w:rFonts w:hint="eastAsia" w:ascii="黑体" w:hAnsi="黑体" w:eastAsia="黑体" w:cs="黑体"/>
          <w:color w:val="auto"/>
          <w:sz w:val="50"/>
          <w:szCs w:val="50"/>
          <w:highlight w:val="none"/>
        </w:rPr>
        <w:t>度报告</w:t>
      </w:r>
      <w:r>
        <w:rPr>
          <w:rFonts w:hint="eastAsia" w:ascii="黑体" w:hAnsi="黑体" w:eastAsia="黑体" w:cs="黑体"/>
          <w:color w:val="auto"/>
          <w:sz w:val="50"/>
          <w:szCs w:val="50"/>
          <w:highlight w:val="none"/>
          <w:lang w:val="en-US" w:eastAsia="zh-CN"/>
        </w:rPr>
        <w:t>摘要</w:t>
      </w: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pStyle w:val="33"/>
        <w:spacing w:line="360" w:lineRule="auto"/>
        <w:jc w:val="center"/>
        <w:rPr>
          <w:rFonts w:hint="eastAsia" w:ascii="仿宋" w:hAnsi="仿宋" w:eastAsia="仿宋" w:cs="仿宋"/>
          <w:color w:val="auto"/>
          <w:sz w:val="36"/>
          <w:szCs w:val="36"/>
          <w:highlight w:val="none"/>
        </w:rPr>
      </w:pPr>
      <w:bookmarkStart w:id="66" w:name="_Toc27772"/>
      <w:bookmarkStart w:id="67" w:name="_Toc3165"/>
      <w:r>
        <w:rPr>
          <w:rFonts w:hint="eastAsia" w:ascii="仿宋" w:hAnsi="仿宋" w:eastAsia="仿宋" w:cs="仿宋"/>
          <w:color w:val="auto"/>
          <w:sz w:val="36"/>
          <w:szCs w:val="36"/>
          <w:highlight w:val="none"/>
        </w:rPr>
        <w:t>国家电投集团贵州金元股份有限公司</w:t>
      </w:r>
      <w:bookmarkEnd w:id="66"/>
      <w:bookmarkEnd w:id="67"/>
    </w:p>
    <w:p>
      <w:pPr>
        <w:pStyle w:val="33"/>
        <w:spacing w:line="360" w:lineRule="auto"/>
        <w:jc w:val="center"/>
        <w:rPr>
          <w:rFonts w:hint="eastAsia" w:ascii="仿宋" w:hAnsi="仿宋" w:eastAsia="仿宋" w:cs="仿宋"/>
          <w:color w:val="auto"/>
          <w:sz w:val="36"/>
          <w:szCs w:val="36"/>
          <w:highlight w:val="none"/>
          <w:lang w:val="zh-CN"/>
        </w:rPr>
      </w:pPr>
      <w:bookmarkStart w:id="68" w:name="_Toc20383"/>
      <w:bookmarkStart w:id="69" w:name="_Toc14559"/>
      <w:r>
        <w:rPr>
          <w:rFonts w:hint="eastAsia" w:ascii="仿宋" w:hAnsi="仿宋" w:eastAsia="仿宋" w:cs="仿宋"/>
          <w:color w:val="auto"/>
          <w:sz w:val="36"/>
          <w:szCs w:val="36"/>
          <w:highlight w:val="none"/>
          <w:lang w:val="zh-CN"/>
        </w:rPr>
        <w:t>202</w:t>
      </w:r>
      <w:r>
        <w:rPr>
          <w:rFonts w:hint="eastAsia" w:ascii="仿宋" w:hAnsi="仿宋" w:eastAsia="仿宋" w:cs="仿宋"/>
          <w:color w:val="auto"/>
          <w:sz w:val="36"/>
          <w:szCs w:val="36"/>
          <w:highlight w:val="none"/>
          <w:lang w:val="en-US" w:eastAsia="zh-CN"/>
        </w:rPr>
        <w:t>5</w:t>
      </w:r>
      <w:r>
        <w:rPr>
          <w:rFonts w:hint="eastAsia" w:ascii="仿宋" w:hAnsi="仿宋" w:eastAsia="仿宋" w:cs="仿宋"/>
          <w:color w:val="auto"/>
          <w:sz w:val="36"/>
          <w:szCs w:val="36"/>
          <w:highlight w:val="none"/>
          <w:lang w:val="zh-CN"/>
        </w:rPr>
        <w:t>年</w:t>
      </w:r>
      <w:r>
        <w:rPr>
          <w:rFonts w:hint="eastAsia" w:ascii="仿宋" w:hAnsi="仿宋" w:eastAsia="仿宋" w:cs="仿宋"/>
          <w:color w:val="auto"/>
          <w:sz w:val="36"/>
          <w:szCs w:val="36"/>
          <w:highlight w:val="none"/>
          <w:lang w:val="en-US" w:eastAsia="zh-CN"/>
        </w:rPr>
        <w:t>5</w:t>
      </w:r>
      <w:r>
        <w:rPr>
          <w:rFonts w:hint="eastAsia" w:ascii="仿宋" w:hAnsi="仿宋" w:eastAsia="仿宋" w:cs="仿宋"/>
          <w:color w:val="auto"/>
          <w:sz w:val="36"/>
          <w:szCs w:val="36"/>
          <w:highlight w:val="none"/>
          <w:lang w:val="zh-CN"/>
        </w:rPr>
        <w:t>月</w:t>
      </w:r>
      <w:bookmarkEnd w:id="68"/>
      <w:bookmarkEnd w:id="69"/>
    </w:p>
    <w:p>
      <w:pPr>
        <w:rPr>
          <w:rFonts w:ascii="黑体" w:hAnsi="黑体" w:eastAsia="黑体"/>
          <w:color w:val="auto"/>
          <w:sz w:val="36"/>
          <w:szCs w:val="36"/>
          <w:highlight w:val="none"/>
          <w:lang w:val="zh-CN"/>
        </w:rPr>
      </w:pPr>
    </w:p>
    <w:p>
      <w:pPr>
        <w:rPr>
          <w:rFonts w:ascii="黑体" w:hAnsi="黑体" w:eastAsia="黑体"/>
          <w:color w:val="auto"/>
          <w:sz w:val="36"/>
          <w:szCs w:val="36"/>
          <w:highlight w:val="none"/>
          <w:lang w:val="zh-CN"/>
        </w:rPr>
      </w:pPr>
    </w:p>
    <w:p>
      <w:pPr>
        <w:rPr>
          <w:rFonts w:ascii="黑体" w:hAnsi="黑体" w:eastAsia="黑体"/>
          <w:color w:val="auto"/>
          <w:sz w:val="36"/>
          <w:szCs w:val="36"/>
          <w:highlight w:val="none"/>
          <w:lang w:val="zh-CN"/>
        </w:rPr>
      </w:pPr>
    </w:p>
    <w:p>
      <w:pPr>
        <w:pStyle w:val="33"/>
        <w:spacing w:line="360" w:lineRule="auto"/>
        <w:jc w:val="center"/>
        <w:rPr>
          <w:rFonts w:ascii="黑体" w:hAnsi="黑体" w:eastAsia="黑体"/>
          <w:color w:val="auto"/>
          <w:sz w:val="36"/>
          <w:szCs w:val="36"/>
          <w:highlight w:val="none"/>
          <w:lang w:val="zh-CN"/>
        </w:rPr>
      </w:pPr>
    </w:p>
    <w:p>
      <w:pPr>
        <w:pStyle w:val="33"/>
        <w:spacing w:line="360" w:lineRule="auto"/>
        <w:jc w:val="center"/>
        <w:rPr>
          <w:rFonts w:ascii="黑体" w:hAnsi="黑体" w:eastAsia="黑体"/>
          <w:color w:val="auto"/>
          <w:sz w:val="36"/>
          <w:szCs w:val="36"/>
          <w:highlight w:val="none"/>
        </w:rPr>
      </w:pPr>
      <w:bookmarkStart w:id="70" w:name="_Toc6798"/>
      <w:bookmarkStart w:id="71" w:name="_Toc17157"/>
      <w:r>
        <w:rPr>
          <w:rFonts w:ascii="黑体" w:hAnsi="黑体" w:eastAsia="黑体"/>
          <w:color w:val="auto"/>
          <w:sz w:val="36"/>
          <w:szCs w:val="36"/>
          <w:highlight w:val="none"/>
          <w:lang w:val="zh-CN"/>
        </w:rPr>
        <w:t>目录</w:t>
      </w:r>
      <w:bookmarkEnd w:id="70"/>
      <w:bookmarkEnd w:id="71"/>
    </w:p>
    <w:p>
      <w:pPr>
        <w:pStyle w:val="14"/>
        <w:tabs>
          <w:tab w:val="right" w:leader="dot" w:pos="8554"/>
        </w:tabs>
        <w:rPr>
          <w:color w:val="auto"/>
          <w:highlight w:val="none"/>
        </w:rPr>
      </w:pPr>
      <w:r>
        <w:rPr>
          <w:color w:val="auto"/>
          <w:sz w:val="28"/>
          <w:highlight w:val="none"/>
        </w:rPr>
        <w:fldChar w:fldCharType="begin"/>
      </w:r>
      <w:r>
        <w:rPr>
          <w:color w:val="auto"/>
          <w:sz w:val="28"/>
          <w:highlight w:val="none"/>
        </w:rPr>
        <w:instrText xml:space="preserve">TOC \o "1-1" \h \u </w:instrText>
      </w:r>
      <w:r>
        <w:rPr>
          <w:color w:val="auto"/>
          <w:sz w:val="28"/>
          <w:highlight w:val="none"/>
        </w:rPr>
        <w:fldChar w:fldCharType="separate"/>
      </w:r>
    </w:p>
    <w:p>
      <w:pPr>
        <w:pStyle w:val="14"/>
        <w:tabs>
          <w:tab w:val="right" w:leader="dot" w:pos="8554"/>
        </w:tabs>
        <w:rPr>
          <w:rFonts w:hint="eastAsia" w:ascii="宋体" w:hAnsi="宋体" w:eastAsia="宋体" w:cs="宋体"/>
          <w:color w:val="auto"/>
          <w:sz w:val="28"/>
          <w:szCs w:val="28"/>
          <w:highlight w:val="none"/>
        </w:rPr>
      </w:pPr>
    </w:p>
    <w:p>
      <w:pPr>
        <w:pStyle w:val="14"/>
        <w:keepNext w:val="0"/>
        <w:keepLines w:val="0"/>
        <w:pageBreakBefore w:val="0"/>
        <w:widowControl w:val="0"/>
        <w:tabs>
          <w:tab w:val="right" w:pos="2800"/>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第一节</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重要提示、目录和释义</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_Toc22552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第二节 基本情况简介</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第三节 会计数据、经营情况和管理层分析</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_Toc26211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第四节 董事、监事、高级管理人员情况</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第五节 公司治理、内部控制和投资者保护</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_Toc21832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第六节 重要事项</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pPr>
        <w:pStyle w:val="14"/>
        <w:keepNext w:val="0"/>
        <w:keepLines w:val="0"/>
        <w:pageBreakBefore w:val="0"/>
        <w:widowControl w:val="0"/>
        <w:tabs>
          <w:tab w:val="right" w:leader="dot" w:pos="85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第七节 会计财务报告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pPr>
        <w:pStyle w:val="14"/>
        <w:tabs>
          <w:tab w:val="right" w:leader="dot" w:pos="8554"/>
        </w:tabs>
        <w:rPr>
          <w:rFonts w:hint="eastAsia" w:ascii="宋体" w:hAnsi="宋体" w:eastAsia="宋体" w:cs="宋体"/>
          <w:color w:val="auto"/>
          <w:sz w:val="28"/>
          <w:szCs w:val="28"/>
          <w:highlight w:val="none"/>
        </w:rPr>
      </w:pPr>
    </w:p>
    <w:p>
      <w:pPr>
        <w:spacing w:line="360" w:lineRule="auto"/>
        <w:rPr>
          <w:color w:val="auto"/>
          <w:sz w:val="28"/>
          <w:highlight w:val="none"/>
        </w:rPr>
      </w:pPr>
      <w:r>
        <w:rPr>
          <w:color w:val="auto"/>
          <w:highlight w:val="none"/>
        </w:rPr>
        <w:fldChar w:fldCharType="end"/>
      </w: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center"/>
        <w:rPr>
          <w:b/>
          <w:bCs/>
          <w:color w:val="auto"/>
          <w:sz w:val="36"/>
          <w:szCs w:val="36"/>
          <w:highlight w:val="none"/>
        </w:rPr>
      </w:pPr>
    </w:p>
    <w:p>
      <w:pPr>
        <w:spacing w:line="360" w:lineRule="auto"/>
        <w:jc w:val="both"/>
        <w:rPr>
          <w:b/>
          <w:bCs/>
          <w:color w:val="auto"/>
          <w:sz w:val="36"/>
          <w:szCs w:val="36"/>
          <w:highlight w:val="none"/>
        </w:rPr>
      </w:pPr>
    </w:p>
    <w:p>
      <w:pPr>
        <w:spacing w:line="360" w:lineRule="auto"/>
        <w:jc w:val="center"/>
        <w:outlineLvl w:val="0"/>
        <w:rPr>
          <w:b/>
          <w:bCs/>
          <w:color w:val="auto"/>
          <w:sz w:val="36"/>
          <w:szCs w:val="36"/>
          <w:highlight w:val="none"/>
        </w:rPr>
        <w:sectPr>
          <w:footerReference r:id="rId28" w:type="default"/>
          <w:pgSz w:w="11910" w:h="16840"/>
          <w:pgMar w:top="1418" w:right="1678" w:bottom="278" w:left="1678" w:header="720" w:footer="720" w:gutter="0"/>
          <w:pgNumType w:fmt="decimal" w:start="1"/>
          <w:cols w:space="720" w:num="1"/>
        </w:sectPr>
      </w:pPr>
      <w:bookmarkStart w:id="72" w:name="_Toc29779"/>
    </w:p>
    <w:p>
      <w:pPr>
        <w:keepNext w:val="0"/>
        <w:keepLines w:val="0"/>
        <w:pageBreakBefore w:val="0"/>
        <w:kinsoku/>
        <w:overflowPunct/>
        <w:topLinePunct w:val="0"/>
        <w:bidi w:val="0"/>
        <w:spacing w:line="400" w:lineRule="exact"/>
        <w:jc w:val="center"/>
        <w:outlineLvl w:val="0"/>
        <w:rPr>
          <w:rFonts w:ascii="Times New Roman" w:eastAsia="宋体"/>
          <w:color w:val="auto"/>
          <w:spacing w:val="-5"/>
          <w:sz w:val="21"/>
          <w:szCs w:val="21"/>
          <w:highlight w:val="none"/>
        </w:rPr>
      </w:pPr>
      <w:r>
        <w:rPr>
          <w:rFonts w:hint="eastAsia" w:ascii="黑体" w:hAnsi="黑体" w:eastAsia="黑体" w:cs="黑体"/>
          <w:b/>
          <w:bCs/>
          <w:color w:val="auto"/>
          <w:sz w:val="28"/>
          <w:szCs w:val="28"/>
          <w:highlight w:val="none"/>
        </w:rPr>
        <w:t>第一节</w:t>
      </w:r>
      <w:r>
        <w:rPr>
          <w:rFonts w:hint="eastAsia" w:ascii="黑体" w:hAnsi="黑体" w:eastAsia="黑体" w:cs="黑体"/>
          <w:b/>
          <w:bCs/>
          <w:color w:val="auto"/>
          <w:sz w:val="28"/>
          <w:szCs w:val="28"/>
          <w:highlight w:val="none"/>
        </w:rPr>
        <w:tab/>
      </w:r>
      <w:r>
        <w:rPr>
          <w:rFonts w:hint="eastAsia" w:ascii="黑体" w:hAnsi="黑体" w:eastAsia="黑体" w:cs="黑体"/>
          <w:b/>
          <w:bCs/>
          <w:color w:val="auto"/>
          <w:sz w:val="28"/>
          <w:szCs w:val="28"/>
          <w:highlight w:val="none"/>
        </w:rPr>
        <w:t>重要提示、目录和释义</w:t>
      </w:r>
      <w:bookmarkEnd w:id="72"/>
    </w:p>
    <w:p>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62" w:firstLineChars="200"/>
        <w:jc w:val="left"/>
        <w:textAlignment w:val="center"/>
        <w:rPr>
          <w:rFonts w:ascii="Times New Roman" w:eastAsia="宋体"/>
          <w:b/>
          <w:bCs/>
          <w:color w:val="auto"/>
          <w:spacing w:val="-5"/>
          <w:szCs w:val="21"/>
          <w:highlight w:val="none"/>
        </w:rPr>
      </w:pPr>
      <w:r>
        <w:rPr>
          <w:rFonts w:hint="eastAsia" w:ascii="Times New Roman" w:eastAsia="宋体"/>
          <w:b/>
          <w:bCs/>
          <w:color w:val="auto"/>
          <w:spacing w:val="-5"/>
          <w:szCs w:val="21"/>
          <w:highlight w:val="none"/>
        </w:rPr>
        <w:t>【重大风险提示表】</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262"/>
        <w:gridCol w:w="5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12" w:type="pct"/>
            <w:noWrap w:val="0"/>
            <w:vAlign w:val="center"/>
          </w:tcPr>
          <w:p>
            <w:pPr>
              <w:keepNext w:val="0"/>
              <w:keepLines w:val="0"/>
              <w:pageBreakBefore w:val="0"/>
              <w:kinsoku/>
              <w:overflowPunct/>
              <w:topLinePunct w:val="0"/>
              <w:bidi w:val="0"/>
              <w:spacing w:line="400" w:lineRule="exact"/>
              <w:jc w:val="left"/>
              <w:rPr>
                <w:color w:val="auto"/>
                <w:kern w:val="0"/>
                <w:highlight w:val="none"/>
              </w:rPr>
            </w:pPr>
            <w:r>
              <w:rPr>
                <w:rFonts w:hint="eastAsia"/>
                <w:color w:val="auto"/>
                <w:kern w:val="0"/>
                <w:highlight w:val="none"/>
              </w:rPr>
              <w:t>重大风险事项名称</w:t>
            </w:r>
          </w:p>
        </w:tc>
        <w:tc>
          <w:tcPr>
            <w:tcW w:w="3087" w:type="pct"/>
            <w:noWrap w:val="0"/>
            <w:vAlign w:val="center"/>
          </w:tcPr>
          <w:p>
            <w:pPr>
              <w:keepNext w:val="0"/>
              <w:keepLines w:val="0"/>
              <w:pageBreakBefore w:val="0"/>
              <w:kinsoku/>
              <w:overflowPunct/>
              <w:topLinePunct w:val="0"/>
              <w:bidi w:val="0"/>
              <w:spacing w:line="400" w:lineRule="exact"/>
              <w:jc w:val="left"/>
              <w:rPr>
                <w:color w:val="auto"/>
                <w:kern w:val="0"/>
                <w:highlight w:val="none"/>
              </w:rPr>
            </w:pPr>
            <w:r>
              <w:rPr>
                <w:rFonts w:hint="eastAsia"/>
                <w:color w:val="auto"/>
                <w:kern w:val="0"/>
                <w:highlight w:val="none"/>
              </w:rPr>
              <w:t>重大风险事项描述及分析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12" w:type="pct"/>
            <w:noWrap w:val="0"/>
            <w:vAlign w:val="center"/>
          </w:tcPr>
          <w:p>
            <w:pPr>
              <w:keepNext w:val="0"/>
              <w:keepLines w:val="0"/>
              <w:pageBreakBefore w:val="0"/>
              <w:kinsoku/>
              <w:overflowPunct/>
              <w:topLinePunct w:val="0"/>
              <w:bidi w:val="0"/>
              <w:spacing w:line="400" w:lineRule="exact"/>
              <w:jc w:val="left"/>
              <w:rPr>
                <w:color w:val="auto"/>
                <w:kern w:val="0"/>
                <w:highlight w:val="none"/>
              </w:rPr>
            </w:pPr>
            <w:r>
              <w:rPr>
                <w:rFonts w:hint="eastAsia"/>
                <w:color w:val="auto"/>
                <w:kern w:val="0"/>
                <w:highlight w:val="none"/>
              </w:rPr>
              <w:t>本期</w:t>
            </w:r>
            <w:r>
              <w:rPr>
                <w:color w:val="auto"/>
                <w:kern w:val="0"/>
                <w:highlight w:val="none"/>
              </w:rPr>
              <w:t>重大风险是否发生重大变化</w:t>
            </w:r>
          </w:p>
        </w:tc>
        <w:tc>
          <w:tcPr>
            <w:tcW w:w="3087" w:type="pct"/>
            <w:noWrap w:val="0"/>
            <w:vAlign w:val="center"/>
          </w:tcPr>
          <w:p>
            <w:pPr>
              <w:keepNext w:val="0"/>
              <w:keepLines w:val="0"/>
              <w:pageBreakBefore w:val="0"/>
              <w:kinsoku/>
              <w:overflowPunct/>
              <w:topLinePunct w:val="0"/>
              <w:bidi w:val="0"/>
              <w:spacing w:line="400" w:lineRule="exact"/>
              <w:jc w:val="left"/>
              <w:rPr>
                <w:rFonts w:hint="eastAsia" w:eastAsia="宋体"/>
                <w:color w:val="auto"/>
                <w:kern w:val="0"/>
                <w:highlight w:val="none"/>
                <w:lang w:eastAsia="zh-CN"/>
              </w:rPr>
            </w:pPr>
            <w:r>
              <w:rPr>
                <w:rFonts w:hint="eastAsia" w:ascii="宋体" w:hAnsi="宋体" w:cs="宋体"/>
                <w:color w:val="auto"/>
                <w:kern w:val="0"/>
                <w:highlight w:val="none"/>
              </w:rPr>
              <w:t>本期重大风险未发生重大变化</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ascii="Times New Roman" w:hAnsi="Times New Roman" w:eastAsia="宋体" w:cs="Times New Roman"/>
          <w:b/>
          <w:bCs/>
          <w:color w:val="auto"/>
          <w:sz w:val="36"/>
          <w:szCs w:val="36"/>
          <w:highlight w:val="none"/>
        </w:rPr>
      </w:pPr>
    </w:p>
    <w:p>
      <w:pPr>
        <w:keepNext w:val="0"/>
        <w:keepLines w:val="0"/>
        <w:pageBreakBefore w:val="0"/>
        <w:kinsoku/>
        <w:overflowPunct/>
        <w:topLinePunct w:val="0"/>
        <w:bidi w:val="0"/>
        <w:spacing w:line="400" w:lineRule="exact"/>
        <w:jc w:val="center"/>
        <w:outlineLvl w:val="0"/>
        <w:rPr>
          <w:rFonts w:hint="eastAsia" w:ascii="黑体" w:hAnsi="黑体" w:eastAsia="黑体" w:cs="黑体"/>
          <w:b/>
          <w:bCs/>
          <w:color w:val="auto"/>
          <w:sz w:val="28"/>
          <w:szCs w:val="28"/>
          <w:highlight w:val="none"/>
        </w:rPr>
      </w:pPr>
      <w:bookmarkStart w:id="73" w:name="_Toc22552"/>
      <w:r>
        <w:rPr>
          <w:rFonts w:hint="eastAsia" w:ascii="黑体" w:hAnsi="黑体" w:eastAsia="黑体" w:cs="黑体"/>
          <w:b/>
          <w:bCs/>
          <w:color w:val="auto"/>
          <w:sz w:val="28"/>
          <w:szCs w:val="28"/>
          <w:highlight w:val="none"/>
        </w:rPr>
        <w:t>第二节 基本情况简介</w:t>
      </w:r>
      <w:bookmarkEnd w:id="7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略。</w:t>
      </w:r>
    </w:p>
    <w:p>
      <w:pPr>
        <w:pStyle w:val="15"/>
        <w:keepNext w:val="0"/>
        <w:keepLines w:val="0"/>
        <w:pageBreakBefore w:val="0"/>
        <w:kinsoku/>
        <w:overflowPunct/>
        <w:topLinePunct w:val="0"/>
        <w:bidi w:val="0"/>
        <w:spacing w:line="400" w:lineRule="exact"/>
        <w:jc w:val="left"/>
        <w:rPr>
          <w:rFonts w:hint="eastAsia"/>
          <w:color w:val="auto"/>
          <w:highlight w:val="none"/>
          <w:lang w:eastAsia="zh-CN"/>
        </w:rPr>
      </w:pPr>
    </w:p>
    <w:p>
      <w:pPr>
        <w:keepNext w:val="0"/>
        <w:keepLines w:val="0"/>
        <w:pageBreakBefore w:val="0"/>
        <w:kinsoku/>
        <w:overflowPunct/>
        <w:topLinePunct w:val="0"/>
        <w:bidi w:val="0"/>
        <w:spacing w:line="400" w:lineRule="exact"/>
        <w:jc w:val="center"/>
        <w:outlineLvl w:val="0"/>
        <w:rPr>
          <w:rFonts w:hint="eastAsia" w:ascii="黑体" w:hAnsi="黑体" w:eastAsia="黑体" w:cs="黑体"/>
          <w:b/>
          <w:bCs/>
          <w:color w:val="auto"/>
          <w:sz w:val="28"/>
          <w:szCs w:val="28"/>
          <w:highlight w:val="none"/>
          <w:lang w:eastAsia="zh-CN"/>
        </w:rPr>
      </w:pPr>
      <w:bookmarkStart w:id="74" w:name="_Toc14127"/>
      <w:r>
        <w:rPr>
          <w:rFonts w:hint="eastAsia" w:ascii="黑体" w:hAnsi="黑体" w:eastAsia="黑体" w:cs="黑体"/>
          <w:b/>
          <w:bCs/>
          <w:color w:val="auto"/>
          <w:sz w:val="28"/>
          <w:szCs w:val="28"/>
          <w:highlight w:val="none"/>
        </w:rPr>
        <w:t>第三节 会计数据、经营情况和管理层分析</w:t>
      </w:r>
      <w:bookmarkEnd w:id="74"/>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bookmarkStart w:id="75" w:name="_Toc26211"/>
      <w:r>
        <w:rPr>
          <w:rFonts w:hint="eastAsia"/>
          <w:b/>
          <w:bCs/>
          <w:color w:val="auto"/>
          <w:sz w:val="24"/>
          <w:szCs w:val="24"/>
          <w:highlight w:val="none"/>
        </w:rPr>
        <w:t>一、</w:t>
      </w:r>
      <w:r>
        <w:rPr>
          <w:b/>
          <w:bCs/>
          <w:color w:val="auto"/>
          <w:sz w:val="24"/>
          <w:szCs w:val="24"/>
          <w:highlight w:val="none"/>
        </w:rPr>
        <w:t>主要会计数据和财务指标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（一）</w:t>
      </w:r>
      <w:r>
        <w:rPr>
          <w:b/>
          <w:bCs/>
          <w:color w:val="auto"/>
          <w:sz w:val="24"/>
          <w:szCs w:val="24"/>
          <w:highlight w:val="none"/>
        </w:rPr>
        <w:t>盈利能力</w:t>
      </w:r>
    </w:p>
    <w:tbl>
      <w:tblPr>
        <w:tblStyle w:val="22"/>
        <w:tblW w:w="5227" w:type="pct"/>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64"/>
        <w:gridCol w:w="1961"/>
        <w:gridCol w:w="1971"/>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28" w:type="pct"/>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124"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129"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81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上年同期</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营业收入</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16,321,005,879.66</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17,221,240,926.74</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0"/>
                <w:szCs w:val="20"/>
                <w:highlight w:val="none"/>
                <w:u w:val="none"/>
                <w:lang w:val="en-US" w:eastAsia="zh-CN" w:bidi="ar"/>
              </w:rPr>
              <w:t>-5.23</w:t>
            </w:r>
            <w:r>
              <w:rPr>
                <w:rFonts w:hint="eastAsia" w:ascii="宋体" w:hAnsi="宋体" w:eastAsia="宋体" w:cs="宋体"/>
                <w:i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毛利率</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0"/>
                <w:szCs w:val="20"/>
                <w:highlight w:val="none"/>
                <w:u w:val="none"/>
                <w:lang w:val="en-US" w:eastAsia="zh-CN" w:bidi="ar"/>
              </w:rPr>
              <w:t>9.41</w:t>
            </w:r>
            <w:r>
              <w:rPr>
                <w:rFonts w:hint="eastAsia" w:ascii="宋体" w:hAnsi="宋体" w:eastAsia="宋体" w:cs="宋体"/>
                <w:i w:val="0"/>
                <w:color w:val="auto"/>
                <w:kern w:val="0"/>
                <w:sz w:val="20"/>
                <w:szCs w:val="20"/>
                <w:highlight w:val="none"/>
                <w:u w:val="none"/>
                <w:lang w:val="en-US" w:eastAsia="zh-CN" w:bidi="ar"/>
              </w:rPr>
              <w:t>%</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15.72%</w:t>
            </w:r>
          </w:p>
        </w:tc>
        <w:tc>
          <w:tcPr>
            <w:tcW w:w="8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r>
              <w:rPr>
                <w:rFonts w:hint="eastAsia" w:ascii="宋体" w:hAnsi="宋体" w:cs="宋体"/>
                <w:i w:val="0"/>
                <w:color w:val="auto"/>
                <w:kern w:val="0"/>
                <w:sz w:val="20"/>
                <w:szCs w:val="20"/>
                <w:highlight w:val="none"/>
                <w:u w:val="none"/>
                <w:lang w:val="en-US" w:eastAsia="zh-CN" w:bidi="ar"/>
              </w:rPr>
              <w:t>31</w:t>
            </w:r>
            <w:r>
              <w:rPr>
                <w:rFonts w:hint="eastAsia" w:ascii="宋体" w:hAnsi="宋体" w:eastAsia="宋体" w:cs="宋体"/>
                <w:i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归属于母公司股东的净利润</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-543,673,983.84</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-2,591,168,934.88 </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iCs w:val="0"/>
                <w:color w:val="auto"/>
                <w:kern w:val="0"/>
                <w:sz w:val="20"/>
                <w:szCs w:val="20"/>
                <w:highlight w:val="none"/>
                <w:u w:val="none"/>
                <w:lang w:val="en-US" w:eastAsia="zh-CN" w:bidi="ar"/>
              </w:rPr>
              <w:t>79.02</w:t>
            </w: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归属于母公司股东的扣除非经常性损益后的净利润</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-1,776,537,039.04</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-4,957,722,856.41</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iCs w:val="0"/>
                <w:color w:val="auto"/>
                <w:kern w:val="0"/>
                <w:sz w:val="20"/>
                <w:szCs w:val="20"/>
                <w:highlight w:val="none"/>
                <w:u w:val="none"/>
                <w:lang w:val="en-US" w:eastAsia="zh-CN" w:bidi="ar"/>
              </w:rPr>
              <w:t>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加权平均净资产收益率（依据归属于母公司股东的净利润计算）</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0"/>
                <w:szCs w:val="20"/>
                <w:highlight w:val="none"/>
                <w:u w:val="none"/>
                <w:lang w:val="en-US" w:eastAsia="zh-CN" w:bidi="ar"/>
              </w:rPr>
              <w:t>-3.89%</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Fonts w:hint="eastAsia" w:ascii="宋体" w:hAnsi="宋体" w:cs="宋体"/>
                <w:i w:val="0"/>
                <w:color w:val="auto"/>
                <w:kern w:val="0"/>
                <w:sz w:val="20"/>
                <w:szCs w:val="20"/>
                <w:highlight w:val="none"/>
                <w:u w:val="none"/>
                <w:lang w:val="en-US" w:eastAsia="zh-CN" w:bidi="ar"/>
              </w:rPr>
              <w:t>9.81</w:t>
            </w:r>
            <w:r>
              <w:rPr>
                <w:rFonts w:hint="eastAsia" w:ascii="宋体" w:hAnsi="宋体" w:eastAsia="宋体" w:cs="宋体"/>
                <w:i w:val="0"/>
                <w:color w:val="auto"/>
                <w:kern w:val="0"/>
                <w:sz w:val="20"/>
                <w:szCs w:val="20"/>
                <w:highlight w:val="none"/>
                <w:u w:val="none"/>
                <w:lang w:val="en-US" w:eastAsia="zh-CN" w:bidi="ar"/>
              </w:rPr>
              <w:t>%</w:t>
            </w:r>
          </w:p>
        </w:tc>
        <w:tc>
          <w:tcPr>
            <w:tcW w:w="8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加权平均净资产收益率（依据归属于母公司股东的扣除非经常性损益后的净利润计算）</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0"/>
                <w:szCs w:val="20"/>
                <w:highlight w:val="none"/>
                <w:u w:val="none"/>
                <w:lang w:val="en-US" w:eastAsia="zh-CN"/>
              </w:rPr>
              <w:t>-12.72%</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r>
              <w:rPr>
                <w:rFonts w:hint="eastAsia" w:ascii="宋体" w:hAnsi="宋体" w:cs="宋体"/>
                <w:i w:val="0"/>
                <w:color w:val="auto"/>
                <w:sz w:val="20"/>
                <w:szCs w:val="20"/>
                <w:highlight w:val="none"/>
                <w:u w:val="none"/>
                <w:lang w:val="en-US" w:eastAsia="zh-CN"/>
              </w:rPr>
              <w:t>-37.9%</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0"/>
                <w:szCs w:val="20"/>
                <w:highlight w:val="none"/>
                <w:u w:val="none"/>
                <w:lang w:val="en-US" w:eastAsia="zh-CN" w:bidi="ar"/>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基本每股收益</w:t>
            </w:r>
          </w:p>
        </w:tc>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default" w:ascii="宋体" w:hAnsi="宋体" w:eastAsia="宋体" w:cs="宋体"/>
                <w:i w:val="0"/>
                <w:color w:val="auto"/>
                <w:sz w:val="21"/>
                <w:szCs w:val="21"/>
                <w:highlight w:val="none"/>
                <w:u w:val="none"/>
                <w:lang w:val="en-US" w:eastAsia="zh-CN"/>
              </w:rPr>
            </w:pPr>
            <w:r>
              <w:rPr>
                <w:rFonts w:hint="eastAsia" w:ascii="宋体" w:hAnsi="宋体" w:cs="宋体"/>
                <w:i w:val="0"/>
                <w:iCs w:val="0"/>
                <w:color w:val="auto"/>
                <w:kern w:val="0"/>
                <w:sz w:val="20"/>
                <w:szCs w:val="20"/>
                <w:highlight w:val="none"/>
                <w:u w:val="none"/>
                <w:lang w:val="en-US" w:eastAsia="zh-CN" w:bidi="ar"/>
              </w:rPr>
              <w:t>0.0149</w:t>
            </w:r>
          </w:p>
        </w:tc>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-0.4038</w:t>
            </w:r>
          </w:p>
        </w:tc>
        <w:tc>
          <w:tcPr>
            <w:tcW w:w="8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103.69%</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（二）</w:t>
      </w:r>
      <w:r>
        <w:rPr>
          <w:b/>
          <w:bCs/>
          <w:color w:val="auto"/>
          <w:sz w:val="24"/>
          <w:szCs w:val="24"/>
          <w:highlight w:val="none"/>
        </w:rPr>
        <w:t>偿债能力</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72"/>
        <w:gridCol w:w="1815"/>
        <w:gridCol w:w="203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88"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21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151"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42" w:type="pct"/>
            <w:tcBorders>
              <w:top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1088" w:type="pct"/>
            <w:tcBorders>
              <w:top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本期期末</w:t>
            </w:r>
          </w:p>
        </w:tc>
        <w:tc>
          <w:tcPr>
            <w:tcW w:w="1217" w:type="pct"/>
            <w:tcBorders>
              <w:top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上年期末</w:t>
            </w:r>
          </w:p>
        </w:tc>
        <w:tc>
          <w:tcPr>
            <w:tcW w:w="1151" w:type="pct"/>
            <w:tcBorders>
              <w:top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资产总计</w:t>
            </w:r>
          </w:p>
        </w:tc>
        <w:tc>
          <w:tcPr>
            <w:tcW w:w="1088"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73,992,875,461.15</w:t>
            </w:r>
          </w:p>
        </w:tc>
        <w:tc>
          <w:tcPr>
            <w:tcW w:w="1217"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70,704,234,711.23</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负债总计</w:t>
            </w:r>
          </w:p>
        </w:tc>
        <w:tc>
          <w:tcPr>
            <w:tcW w:w="1088"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58,854,779,523.36</w:t>
            </w:r>
          </w:p>
        </w:tc>
        <w:tc>
          <w:tcPr>
            <w:tcW w:w="1217"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57,909,640,547.22</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归属于母公司股东的净资产</w:t>
            </w:r>
          </w:p>
        </w:tc>
        <w:tc>
          <w:tcPr>
            <w:tcW w:w="1088"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-736,770,819.87</w:t>
            </w:r>
          </w:p>
        </w:tc>
        <w:tc>
          <w:tcPr>
            <w:tcW w:w="1217"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-388,936,873.19</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归属于母公司股东的每股净资产</w:t>
            </w:r>
          </w:p>
        </w:tc>
        <w:tc>
          <w:tcPr>
            <w:tcW w:w="1088"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2"/>
                <w:sz w:val="20"/>
                <w:szCs w:val="20"/>
                <w:highlight w:val="none"/>
                <w:u w:val="none"/>
                <w:lang w:val="en-US" w:eastAsia="zh-CN" w:bidi="ar"/>
              </w:rPr>
              <w:t xml:space="preserve">-0.16 </w:t>
            </w:r>
          </w:p>
        </w:tc>
        <w:tc>
          <w:tcPr>
            <w:tcW w:w="1217" w:type="pct"/>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r>
              <w:rPr>
                <w:rFonts w:hint="eastAsia" w:ascii="宋体" w:hAnsi="宋体" w:cs="宋体"/>
                <w:i w:val="0"/>
                <w:color w:val="auto"/>
                <w:sz w:val="20"/>
                <w:szCs w:val="20"/>
                <w:highlight w:val="none"/>
                <w:u w:val="none"/>
                <w:lang w:val="en-US" w:eastAsia="zh-CN"/>
              </w:rPr>
              <w:t>-0.34</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52.94%</w:t>
            </w:r>
          </w:p>
        </w:tc>
      </w:tr>
    </w:tbl>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sectPr>
          <w:footerReference r:id="rId29" w:type="default"/>
          <w:pgSz w:w="11907" w:h="16839"/>
          <w:pgMar w:top="1440" w:right="1797" w:bottom="1440" w:left="1797" w:header="680" w:footer="992" w:gutter="0"/>
          <w:cols w:space="425" w:num="1"/>
          <w:docGrid w:linePitch="312" w:charSpace="0"/>
        </w:sectPr>
      </w:pP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72"/>
        <w:gridCol w:w="1815"/>
        <w:gridCol w:w="203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资产负债率（母公司）</w:t>
            </w:r>
          </w:p>
        </w:tc>
        <w:tc>
          <w:tcPr>
            <w:tcW w:w="1088" w:type="pct"/>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88.50%</w:t>
            </w:r>
          </w:p>
        </w:tc>
        <w:tc>
          <w:tcPr>
            <w:tcW w:w="1217"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w:t>
            </w:r>
            <w:r>
              <w:rPr>
                <w:rFonts w:hint="eastAsia" w:ascii="宋体" w:hAnsi="宋体" w:cs="宋体"/>
                <w:i w:val="0"/>
                <w:color w:val="auto"/>
                <w:kern w:val="0"/>
                <w:sz w:val="20"/>
                <w:szCs w:val="20"/>
                <w:highlight w:val="none"/>
                <w:u w:val="none"/>
                <w:lang w:val="en-US" w:eastAsia="zh-CN" w:bidi="ar"/>
              </w:rPr>
              <w:t>6.57</w:t>
            </w:r>
            <w:r>
              <w:rPr>
                <w:rFonts w:hint="eastAsia" w:ascii="宋体" w:hAnsi="宋体" w:eastAsia="宋体" w:cs="宋体"/>
                <w:i w:val="0"/>
                <w:color w:val="auto"/>
                <w:kern w:val="0"/>
                <w:sz w:val="20"/>
                <w:szCs w:val="20"/>
                <w:highlight w:val="none"/>
                <w:u w:val="none"/>
                <w:lang w:val="en-US" w:eastAsia="zh-CN" w:bidi="ar"/>
              </w:rPr>
              <w:t>%</w:t>
            </w:r>
          </w:p>
        </w:tc>
        <w:tc>
          <w:tcPr>
            <w:tcW w:w="1151"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资产负债率（合并）</w:t>
            </w:r>
          </w:p>
        </w:tc>
        <w:tc>
          <w:tcPr>
            <w:tcW w:w="1088"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79.54%</w:t>
            </w:r>
          </w:p>
        </w:tc>
        <w:tc>
          <w:tcPr>
            <w:tcW w:w="1217"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81.90%</w:t>
            </w:r>
          </w:p>
        </w:tc>
        <w:tc>
          <w:tcPr>
            <w:tcW w:w="1151"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流动比率</w:t>
            </w:r>
          </w:p>
        </w:tc>
        <w:tc>
          <w:tcPr>
            <w:tcW w:w="1088"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41.77%</w:t>
            </w:r>
          </w:p>
        </w:tc>
        <w:tc>
          <w:tcPr>
            <w:tcW w:w="1217"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39.83%</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542" w:type="pct"/>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利息保障倍数</w:t>
            </w:r>
          </w:p>
        </w:tc>
        <w:tc>
          <w:tcPr>
            <w:tcW w:w="1088"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0"/>
                <w:szCs w:val="20"/>
                <w:highlight w:val="none"/>
                <w:u w:val="none"/>
                <w:lang w:val="en-US" w:eastAsia="zh-CN" w:bidi="ar"/>
              </w:rPr>
              <w:t>1.13</w:t>
            </w:r>
          </w:p>
        </w:tc>
        <w:tc>
          <w:tcPr>
            <w:tcW w:w="1217"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-0.03</w:t>
            </w:r>
          </w:p>
        </w:tc>
        <w:tc>
          <w:tcPr>
            <w:tcW w:w="1151" w:type="pct"/>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3866.67%</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kinsoku/>
        <w:overflowPunct/>
        <w:topLinePunct w:val="0"/>
        <w:bidi w:val="0"/>
        <w:spacing w:line="400" w:lineRule="exact"/>
        <w:ind w:firstLine="482" w:firstLineChars="200"/>
        <w:jc w:val="left"/>
        <w:rPr>
          <w:color w:val="auto"/>
          <w:highlight w:val="none"/>
        </w:rPr>
      </w:pPr>
      <w:r>
        <w:rPr>
          <w:rFonts w:hint="eastAsia"/>
          <w:b/>
          <w:bCs/>
          <w:color w:val="auto"/>
          <w:sz w:val="24"/>
          <w:szCs w:val="24"/>
          <w:highlight w:val="none"/>
        </w:rPr>
        <w:t>（三）</w:t>
      </w:r>
      <w:r>
        <w:rPr>
          <w:b/>
          <w:bCs/>
          <w:color w:val="auto"/>
          <w:sz w:val="24"/>
          <w:szCs w:val="24"/>
          <w:highlight w:val="none"/>
        </w:rPr>
        <w:t>营运情况</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21"/>
        <w:gridCol w:w="2037"/>
        <w:gridCol w:w="1799"/>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91" w:type="pct"/>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221"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78"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0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bidi w:val="0"/>
              <w:spacing w:line="40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12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w:t>
            </w:r>
          </w:p>
        </w:tc>
        <w:tc>
          <w:tcPr>
            <w:tcW w:w="10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上年同期</w:t>
            </w:r>
          </w:p>
        </w:tc>
        <w:tc>
          <w:tcPr>
            <w:tcW w:w="10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经营活动产生的现金流量净额</w:t>
            </w:r>
          </w:p>
        </w:tc>
        <w:tc>
          <w:tcPr>
            <w:tcW w:w="2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5,190,784,702.52</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3,523,385,554.48</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应收账款周转率</w:t>
            </w:r>
          </w:p>
        </w:tc>
        <w:tc>
          <w:tcPr>
            <w:tcW w:w="2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color w:val="auto"/>
                <w:kern w:val="0"/>
                <w:sz w:val="20"/>
                <w:szCs w:val="20"/>
                <w:highlight w:val="none"/>
                <w:u w:val="none"/>
                <w:lang w:bidi="ar"/>
              </w:rPr>
              <w:t>3.05</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color w:val="auto"/>
                <w:kern w:val="0"/>
                <w:sz w:val="20"/>
                <w:szCs w:val="20"/>
                <w:highlight w:val="none"/>
                <w:u w:val="none"/>
                <w:lang w:bidi="ar"/>
              </w:rPr>
              <w:t>3.64</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存货周转率</w:t>
            </w:r>
          </w:p>
        </w:tc>
        <w:tc>
          <w:tcPr>
            <w:tcW w:w="2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color w:val="auto"/>
                <w:kern w:val="0"/>
                <w:sz w:val="20"/>
                <w:szCs w:val="20"/>
                <w:highlight w:val="none"/>
                <w:u w:val="none"/>
                <w:lang w:bidi="ar"/>
              </w:rPr>
              <w:t>10.36</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cs="宋体"/>
                <w:color w:val="auto"/>
                <w:kern w:val="0"/>
                <w:sz w:val="20"/>
                <w:szCs w:val="20"/>
                <w:highlight w:val="none"/>
                <w:u w:val="none"/>
                <w:lang w:bidi="ar"/>
              </w:rPr>
              <w:t>12.28</w:t>
            </w:r>
          </w:p>
        </w:tc>
        <w:tc>
          <w:tcPr>
            <w:tcW w:w="1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-15.64%</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成长情况</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9"/>
        <w:gridCol w:w="1562"/>
        <w:gridCol w:w="1965"/>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9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w:t>
            </w:r>
          </w:p>
        </w:tc>
        <w:tc>
          <w:tcPr>
            <w:tcW w:w="11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上年同期</w:t>
            </w:r>
          </w:p>
        </w:tc>
        <w:tc>
          <w:tcPr>
            <w:tcW w:w="13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总资产增长率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0"/>
                <w:szCs w:val="20"/>
                <w:highlight w:val="none"/>
                <w:u w:val="none"/>
                <w:lang w:val="en-US" w:eastAsia="zh-CN" w:bidi="ar"/>
              </w:rPr>
              <w:t>4.65%</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7.48%</w:t>
            </w:r>
          </w:p>
        </w:tc>
        <w:tc>
          <w:tcPr>
            <w:tcW w:w="21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营业收入增长率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-5.23%</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13.36%</w:t>
            </w:r>
          </w:p>
        </w:tc>
        <w:tc>
          <w:tcPr>
            <w:tcW w:w="21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营业利润增长率</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-125.30%</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-1377.67%</w:t>
            </w:r>
          </w:p>
        </w:tc>
        <w:tc>
          <w:tcPr>
            <w:tcW w:w="21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top"/>
              <w:rPr>
                <w:rFonts w:hint="default"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1252.37%</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股本情况</w:t>
      </w:r>
    </w:p>
    <w:p>
      <w:pPr>
        <w:keepNext w:val="0"/>
        <w:keepLines w:val="0"/>
        <w:pageBreakBefore w:val="0"/>
        <w:kinsoku/>
        <w:overflowPunct/>
        <w:topLinePunct w:val="0"/>
        <w:bidi w:val="0"/>
        <w:spacing w:line="400" w:lineRule="exact"/>
        <w:jc w:val="left"/>
        <w:rPr>
          <w:color w:val="auto"/>
          <w:sz w:val="22"/>
          <w:szCs w:val="44"/>
          <w:highlight w:val="none"/>
        </w:rPr>
      </w:pPr>
      <w:r>
        <w:rPr>
          <w:rFonts w:hint="eastAsia"/>
          <w:color w:val="auto"/>
          <w:highlight w:val="none"/>
        </w:rPr>
        <w:t>单位：股</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989"/>
        <w:gridCol w:w="196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7"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项目</w:t>
            </w:r>
          </w:p>
        </w:tc>
        <w:tc>
          <w:tcPr>
            <w:tcW w:w="1989"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本期期末</w:t>
            </w:r>
          </w:p>
        </w:tc>
        <w:tc>
          <w:tcPr>
            <w:tcW w:w="1964"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本期期初</w:t>
            </w:r>
          </w:p>
        </w:tc>
        <w:tc>
          <w:tcPr>
            <w:tcW w:w="1510"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增减</w:t>
            </w:r>
            <w:r>
              <w:rPr>
                <w:rFonts w:hint="eastAsia" w:ascii="宋体" w:hAnsi="宋体" w:cs="宋体"/>
                <w:color w:val="auto"/>
                <w:kern w:val="0"/>
                <w:highlight w:val="none"/>
                <w:lang w:eastAsia="zh-CN"/>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37"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普通股总股本</w:t>
            </w:r>
          </w:p>
        </w:tc>
        <w:tc>
          <w:tcPr>
            <w:tcW w:w="1989"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4,692,315,400.00</w:t>
            </w:r>
          </w:p>
        </w:tc>
        <w:tc>
          <w:tcPr>
            <w:tcW w:w="1964"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4,692,315,400.00</w:t>
            </w:r>
          </w:p>
        </w:tc>
        <w:tc>
          <w:tcPr>
            <w:tcW w:w="1510"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137"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计入权益的优先股数量</w:t>
            </w:r>
          </w:p>
        </w:tc>
        <w:tc>
          <w:tcPr>
            <w:tcW w:w="1989"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c>
          <w:tcPr>
            <w:tcW w:w="1964"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c>
          <w:tcPr>
            <w:tcW w:w="1510"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37" w:type="dxa"/>
            <w:noWrap w:val="0"/>
            <w:vAlign w:val="center"/>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计入负债的优先股数量</w:t>
            </w:r>
          </w:p>
        </w:tc>
        <w:tc>
          <w:tcPr>
            <w:tcW w:w="1989"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c>
          <w:tcPr>
            <w:tcW w:w="1964"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c>
          <w:tcPr>
            <w:tcW w:w="1510" w:type="dxa"/>
            <w:noWrap w:val="0"/>
            <w:vAlign w:val="top"/>
          </w:tcPr>
          <w:p>
            <w:pPr>
              <w:keepNext w:val="0"/>
              <w:keepLines w:val="0"/>
              <w:pageBreakBefore w:val="0"/>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0%</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b/>
          <w:bCs/>
          <w:color w:val="auto"/>
          <w:sz w:val="24"/>
          <w:szCs w:val="24"/>
          <w:highlight w:val="none"/>
        </w:rPr>
      </w:pPr>
      <w:r>
        <w:rPr>
          <w:rFonts w:hint="eastAsia"/>
          <w:b/>
          <w:bCs/>
          <w:color w:val="auto"/>
          <w:sz w:val="24"/>
          <w:szCs w:val="24"/>
          <w:highlight w:val="none"/>
        </w:rPr>
        <w:t>（六）</w:t>
      </w:r>
      <w:r>
        <w:rPr>
          <w:b/>
          <w:bCs/>
          <w:color w:val="auto"/>
          <w:sz w:val="24"/>
          <w:szCs w:val="24"/>
          <w:highlight w:val="none"/>
        </w:rPr>
        <w:t>境内外会计准则下会计数据差异</w:t>
      </w:r>
      <w:r>
        <w:rPr>
          <w:rFonts w:hint="eastAsia"/>
          <w:b/>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不适用。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（七）</w:t>
      </w:r>
      <w:r>
        <w:rPr>
          <w:b/>
          <w:bCs/>
          <w:color w:val="auto"/>
          <w:sz w:val="24"/>
          <w:szCs w:val="24"/>
          <w:highlight w:val="none"/>
        </w:rPr>
        <w:t>非经常性损益项目及金额</w:t>
      </w:r>
    </w:p>
    <w:tbl>
      <w:tblPr>
        <w:tblStyle w:val="22"/>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4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0"/>
                <w:szCs w:val="20"/>
                <w:highlight w:val="none"/>
                <w:u w:val="none"/>
              </w:rPr>
            </w:pPr>
          </w:p>
        </w:tc>
        <w:tc>
          <w:tcPr>
            <w:tcW w:w="2310"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非流动性资产处置损益，包括已计提资产减值准备的冲销部分</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130,879,954.49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计入当期损益的政府补助，但与公司正常经营业务密切相关、符合国家政策规定、按照确定的标准享有、对公司损益产生持续影响的政府补助除外</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325,473.00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对外委托贷款取得的损益</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82,684,447.91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采用公允价值模式进行后续计量的投资性房地产公允价值变动产生的损益</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-24,724,161.36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除上述各项之外的其他营业外收入和支出</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-195,990,619.24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其他符合非经常性损益定义的损益项目</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1,650,642,312.20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非经常性损益合计</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1,643,817,407.00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减：所得税影响额</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410,954,351.80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9"/>
                <w:szCs w:val="19"/>
                <w:highlight w:val="none"/>
                <w:u w:val="none"/>
                <w:lang w:val="en-US" w:eastAsia="zh-CN" w:bidi="ar"/>
              </w:rPr>
              <w:t>非经常性损益净额</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0"/>
                <w:szCs w:val="20"/>
                <w:highlight w:val="none"/>
                <w:u w:val="none"/>
              </w:rPr>
            </w:pPr>
            <w:r>
              <w:rPr>
                <w:rFonts w:ascii="宋体" w:hAnsi="宋体" w:eastAsia="宋体" w:cs="宋体"/>
                <w:i w:val="0"/>
                <w:iCs w:val="0"/>
                <w:color w:val="auto"/>
                <w:kern w:val="0"/>
                <w:sz w:val="18"/>
                <w:szCs w:val="18"/>
                <w:highlight w:val="none"/>
                <w:u w:val="none"/>
                <w:lang w:val="en-US" w:eastAsia="zh-CN" w:bidi="ar"/>
              </w:rPr>
              <w:t>1,232,863,055.20</w:t>
            </w:r>
          </w:p>
        </w:tc>
      </w:tr>
    </w:tbl>
    <w:p>
      <w:pPr>
        <w:keepNext w:val="0"/>
        <w:keepLines w:val="0"/>
        <w:pageBreakBefore w:val="0"/>
        <w:kinsoku/>
        <w:overflowPunct/>
        <w:topLinePunct w:val="0"/>
        <w:bidi w:val="0"/>
        <w:spacing w:line="400" w:lineRule="exact"/>
        <w:jc w:val="lef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二、</w:t>
      </w:r>
      <w:r>
        <w:rPr>
          <w:b/>
          <w:bCs/>
          <w:color w:val="auto"/>
          <w:sz w:val="24"/>
          <w:szCs w:val="24"/>
          <w:highlight w:val="none"/>
        </w:rPr>
        <w:t>主要经营情况回顾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b/>
          <w:bCs/>
          <w:color w:val="auto"/>
          <w:sz w:val="24"/>
          <w:szCs w:val="24"/>
          <w:highlight w:val="none"/>
        </w:rPr>
      </w:pPr>
      <w:r>
        <w:rPr>
          <w:rFonts w:hint="eastAsia"/>
          <w:b/>
          <w:bCs/>
          <w:color w:val="auto"/>
          <w:sz w:val="24"/>
          <w:szCs w:val="24"/>
          <w:highlight w:val="none"/>
        </w:rPr>
        <w:t>（一）业务概要</w:t>
      </w:r>
    </w:p>
    <w:p>
      <w:pPr>
        <w:keepNext w:val="0"/>
        <w:keepLines w:val="0"/>
        <w:pageBreakBefore w:val="0"/>
        <w:kinsoku/>
        <w:overflowPunct/>
        <w:topLinePunct w:val="0"/>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公</w:t>
      </w:r>
      <w:r>
        <w:rPr>
          <w:rFonts w:ascii="宋体" w:hAnsi="宋体"/>
          <w:color w:val="auto"/>
          <w:sz w:val="24"/>
          <w:szCs w:val="24"/>
          <w:highlight w:val="none"/>
        </w:rPr>
        <w:t>司主营业务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center"/>
        <w:rPr>
          <w:rFonts w:ascii="宋体" w:hAnsi="宋体"/>
          <w:color w:val="auto"/>
          <w:kern w:val="0"/>
          <w:sz w:val="24"/>
          <w:szCs w:val="24"/>
          <w:highlight w:val="none"/>
        </w:rPr>
      </w:pPr>
      <w:r>
        <w:rPr>
          <w:rFonts w:hint="eastAsia" w:ascii="宋体" w:hAnsi="宋体"/>
          <w:color w:val="auto"/>
          <w:kern w:val="0"/>
          <w:sz w:val="24"/>
          <w:szCs w:val="24"/>
          <w:highlight w:val="none"/>
        </w:rPr>
        <w:t>公司主要从事火电、水电、新能源发电等电力业务的</w:t>
      </w:r>
      <w:r>
        <w:rPr>
          <w:rFonts w:hint="eastAsia" w:ascii="宋体" w:hAnsi="宋体"/>
          <w:color w:val="auto"/>
          <w:kern w:val="0"/>
          <w:sz w:val="24"/>
          <w:szCs w:val="24"/>
          <w:highlight w:val="none"/>
          <w:lang w:val="en-US" w:eastAsia="zh-CN"/>
        </w:rPr>
        <w:t>投资、</w:t>
      </w:r>
      <w:r>
        <w:rPr>
          <w:rFonts w:hint="eastAsia" w:ascii="宋体" w:hAnsi="宋体"/>
          <w:color w:val="auto"/>
          <w:kern w:val="0"/>
          <w:sz w:val="24"/>
          <w:szCs w:val="24"/>
          <w:highlight w:val="none"/>
        </w:rPr>
        <w:t>运营及销售，同时涉及煤炭开采及销售、综合智慧能源、绿色交通服务、电站服务业</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物业管理等业务。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szCs w:val="24"/>
          <w:highlight w:val="none"/>
        </w:rPr>
      </w:pPr>
      <w:r>
        <w:rPr>
          <w:rFonts w:hint="eastAsia"/>
          <w:b/>
          <w:color w:val="auto"/>
          <w:sz w:val="24"/>
          <w:szCs w:val="24"/>
          <w:highlight w:val="none"/>
        </w:rPr>
        <w:t>（二）财务分析</w:t>
      </w:r>
    </w:p>
    <w:p>
      <w:pPr>
        <w:pStyle w:val="15"/>
        <w:keepNext w:val="0"/>
        <w:keepLines w:val="0"/>
        <w:pageBreakBefore w:val="0"/>
        <w:numPr>
          <w:ilvl w:val="0"/>
          <w:numId w:val="0"/>
        </w:numPr>
        <w:kinsoku/>
        <w:overflowPunct/>
        <w:topLinePunct w:val="0"/>
        <w:bidi w:val="0"/>
        <w:spacing w:line="400" w:lineRule="exact"/>
        <w:ind w:left="480" w:leftChars="0"/>
        <w:jc w:val="left"/>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1.资产负债结构分析</w:t>
      </w:r>
    </w:p>
    <w:tbl>
      <w:tblPr>
        <w:tblStyle w:val="22"/>
        <w:tblW w:w="5050" w:type="pct"/>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1"/>
        <w:gridCol w:w="1814"/>
        <w:gridCol w:w="1441"/>
        <w:gridCol w:w="1814"/>
        <w:gridCol w:w="924"/>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76"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854"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76"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548"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689"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1931"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本期期末</w:t>
            </w:r>
          </w:p>
        </w:tc>
        <w:tc>
          <w:tcPr>
            <w:tcW w:w="162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上年期末</w:t>
            </w: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75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占总资产的比重% </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占总资产的比重%</w:t>
            </w: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货币资金</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1,470,659,019.30</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1,068,115,348.52</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应收票据</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109,893,330.14</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0.15%</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21,145,366.38</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0.03%</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应收账款</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5,726,917,640.19</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7.74%</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4,851,082,613.23</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6.86%</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存货</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1,247,630,630.33</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1,513,748,065.72</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投资性房地产</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974,998,444.58</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999,945,225.79</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长期股权投资</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1,741,604,559.28</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1,340,675,272.29</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固定资产</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43,967,409,151.61</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59.42%</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41,582,044,069.31</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58.81%</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在建工程</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4,572,870,572.56</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6.18%</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5,398,525,880.53</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7.64%</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无形资产</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1,047,272,775.79</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1,403,309,875.18</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商誉</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0</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0</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短期借款</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8,301,400,836.00</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11,106,638,741.87</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长期借款</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28,488,713,773.26</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26,571,213,197.28</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资产合计</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73,992,875,461.15</w:t>
            </w:r>
          </w:p>
        </w:tc>
        <w:tc>
          <w:tcPr>
            <w:tcW w:w="8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cs="宋体"/>
                <w:i w:val="0"/>
                <w:iCs w:val="0"/>
                <w:color w:val="auto"/>
                <w:kern w:val="0"/>
                <w:sz w:val="20"/>
                <w:szCs w:val="20"/>
                <w:highlight w:val="none"/>
                <w:u w:val="none"/>
                <w:lang w:val="en-US" w:eastAsia="zh-CN" w:bidi="ar"/>
              </w:rPr>
              <w:t>100%</w:t>
            </w:r>
          </w:p>
        </w:tc>
        <w:tc>
          <w:tcPr>
            <w:tcW w:w="10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70,704,234,711.23</w:t>
            </w:r>
          </w:p>
        </w:tc>
        <w:tc>
          <w:tcPr>
            <w:tcW w:w="5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cs="宋体"/>
                <w:i w:val="0"/>
                <w:iCs w:val="0"/>
                <w:color w:val="auto"/>
                <w:kern w:val="0"/>
                <w:sz w:val="20"/>
                <w:szCs w:val="20"/>
                <w:highlight w:val="none"/>
                <w:u w:val="none"/>
                <w:lang w:val="en-US" w:eastAsia="zh-CN" w:bidi="ar"/>
              </w:rPr>
              <w:t>100%</w:t>
            </w:r>
            <w:r>
              <w:rPr>
                <w:rFonts w:hint="eastAsia" w:ascii="宋体" w:hAnsi="宋体" w:eastAsia="宋体" w:cs="宋体"/>
                <w:i w:val="0"/>
                <w:color w:val="auto"/>
                <w:kern w:val="0"/>
                <w:sz w:val="20"/>
                <w:szCs w:val="20"/>
                <w:highlight w:val="none"/>
                <w:u w:val="none"/>
                <w:lang w:val="en-US" w:eastAsia="zh-CN" w:bidi="ar"/>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4.65%</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kern w:val="0"/>
          <w:sz w:val="24"/>
          <w:szCs w:val="24"/>
          <w:highlight w:val="none"/>
        </w:rPr>
      </w:pPr>
      <w:r>
        <w:rPr>
          <w:rFonts w:hint="eastAsia"/>
          <w:color w:val="auto"/>
          <w:kern w:val="0"/>
          <w:sz w:val="24"/>
          <w:szCs w:val="24"/>
          <w:highlight w:val="none"/>
        </w:rPr>
        <w:t>项目重大变动原因：</w:t>
      </w:r>
    </w:p>
    <w:p>
      <w:pPr>
        <w:keepNext w:val="0"/>
        <w:keepLines w:val="0"/>
        <w:pageBreakBefore w:val="0"/>
        <w:numPr>
          <w:ilvl w:val="0"/>
          <w:numId w:val="0"/>
        </w:numPr>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cs="宋体"/>
          <w:b w:val="0"/>
          <w:bCs w:val="0"/>
          <w:color w:val="auto"/>
          <w:sz w:val="24"/>
          <w:szCs w:val="24"/>
          <w:highlight w:val="none"/>
          <w:lang w:val="en-US" w:eastAsia="zh-CN"/>
        </w:rPr>
        <w:t xml:space="preserve">货币资金  </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w:t>
      </w:r>
      <w:r>
        <w:rPr>
          <w:rFonts w:hint="eastAsia" w:ascii="宋体" w:hAnsi="宋体" w:cs="宋体"/>
          <w:b w:val="0"/>
          <w:bCs w:val="0"/>
          <w:color w:val="auto"/>
          <w:sz w:val="24"/>
          <w:szCs w:val="24"/>
          <w:highlight w:val="none"/>
          <w:lang w:val="en-US" w:eastAsia="zh-CN"/>
        </w:rPr>
        <w:t>货币资金</w:t>
      </w:r>
      <w:r>
        <w:rPr>
          <w:rFonts w:hint="eastAsia" w:ascii="宋体" w:hAnsi="宋体" w:eastAsia="宋体" w:cs="宋体"/>
          <w:i w:val="0"/>
          <w:iCs w:val="0"/>
          <w:color w:val="auto"/>
          <w:kern w:val="2"/>
          <w:sz w:val="24"/>
          <w:szCs w:val="24"/>
          <w:highlight w:val="none"/>
          <w:u w:val="none"/>
          <w:lang w:val="en-US" w:eastAsia="zh-CN" w:bidi="ar"/>
        </w:rPr>
        <w:t>1,470,659,019.30</w:t>
      </w:r>
      <w:r>
        <w:rPr>
          <w:rFonts w:hint="eastAsia" w:ascii="宋体" w:hAnsi="宋体" w:eastAsia="宋体" w:cs="宋体"/>
          <w:color w:val="auto"/>
          <w:kern w:val="2"/>
          <w:sz w:val="24"/>
          <w:szCs w:val="24"/>
          <w:highlight w:val="none"/>
          <w:lang w:eastAsia="zh-CN"/>
        </w:rPr>
        <w:t>元</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eastAsia="zh-CN"/>
        </w:rPr>
        <w:t>同比</w:t>
      </w:r>
      <w:r>
        <w:rPr>
          <w:rFonts w:hint="eastAsia" w:ascii="宋体" w:hAnsi="宋体" w:cs="宋体"/>
          <w:color w:val="auto"/>
          <w:kern w:val="0"/>
          <w:sz w:val="24"/>
          <w:szCs w:val="24"/>
          <w:highlight w:val="none"/>
          <w:lang w:val="en-US" w:eastAsia="zh-CN"/>
        </w:rPr>
        <w:t>增加</w:t>
      </w:r>
      <w:r>
        <w:rPr>
          <w:rFonts w:hint="eastAsia" w:ascii="宋体" w:hAnsi="宋体" w:eastAsia="宋体" w:cs="宋体"/>
          <w:color w:val="auto"/>
          <w:kern w:val="0"/>
          <w:sz w:val="24"/>
          <w:szCs w:val="24"/>
          <w:highlight w:val="none"/>
          <w:lang w:eastAsia="zh-CN"/>
        </w:rPr>
        <w:t>402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543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670.78</w:t>
      </w:r>
      <w:r>
        <w:rPr>
          <w:rFonts w:hint="eastAsia" w:ascii="宋体" w:hAnsi="宋体" w:eastAsia="宋体" w:cs="宋体"/>
          <w:color w:val="auto"/>
          <w:kern w:val="0"/>
          <w:sz w:val="24"/>
          <w:szCs w:val="24"/>
          <w:highlight w:val="none"/>
          <w:lang w:val="en-US" w:eastAsia="zh-CN"/>
        </w:rPr>
        <w:t>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val="en-US" w:eastAsia="zh-CN"/>
        </w:rPr>
        <w:t>幅</w:t>
      </w:r>
      <w:r>
        <w:rPr>
          <w:rFonts w:hint="eastAsia" w:ascii="宋体" w:hAnsi="宋体" w:cs="宋体"/>
          <w:color w:val="auto"/>
          <w:kern w:val="0"/>
          <w:sz w:val="24"/>
          <w:szCs w:val="24"/>
          <w:highlight w:val="none"/>
          <w:lang w:val="en-US" w:eastAsia="zh-CN"/>
        </w:rPr>
        <w:t>37.69</w:t>
      </w:r>
      <w:r>
        <w:rPr>
          <w:rFonts w:hint="eastAsia" w:ascii="宋体" w:hAnsi="宋体" w:eastAsia="宋体" w:cs="宋体"/>
          <w:color w:val="auto"/>
          <w:kern w:val="0"/>
          <w:sz w:val="24"/>
          <w:szCs w:val="24"/>
          <w:highlight w:val="none"/>
          <w:lang w:val="en-US" w:eastAsia="zh-CN"/>
        </w:rPr>
        <w:t>%。变动的主要原因：</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末收到百瑞信托永续债放款，货币资金增加</w:t>
      </w:r>
      <w:r>
        <w:rPr>
          <w:rFonts w:hint="eastAsia" w:ascii="宋体" w:hAnsi="宋体" w:eastAsia="宋体" w:cs="宋体"/>
          <w:color w:val="auto"/>
          <w:kern w:val="0"/>
          <w:sz w:val="24"/>
          <w:szCs w:val="24"/>
          <w:highlight w:val="none"/>
          <w:lang w:val="en-US" w:eastAsia="zh-CN"/>
        </w:rPr>
        <w:t>。</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应收票据</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bidi="ar"/>
        </w:rPr>
        <w:sectPr>
          <w:footerReference r:id="rId30" w:type="default"/>
          <w:pgSz w:w="11907" w:h="16839"/>
          <w:pgMar w:top="1440" w:right="1797" w:bottom="1440" w:left="1797" w:header="680" w:footer="992" w:gutter="0"/>
          <w:cols w:space="425" w:num="1"/>
          <w:docGrid w:linePitch="312" w:charSpace="0"/>
        </w:sect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年年末应收票据</w:t>
      </w:r>
      <w:r>
        <w:rPr>
          <w:rFonts w:hint="eastAsia" w:ascii="宋体" w:hAnsi="宋体" w:eastAsia="宋体" w:cs="宋体"/>
          <w:i w:val="0"/>
          <w:iCs w:val="0"/>
          <w:color w:val="auto"/>
          <w:kern w:val="2"/>
          <w:sz w:val="24"/>
          <w:szCs w:val="24"/>
          <w:highlight w:val="none"/>
          <w:u w:val="none"/>
          <w:lang w:val="en-US" w:eastAsia="zh-CN" w:bidi="ar"/>
        </w:rPr>
        <w:t>109,893,330.14</w:t>
      </w:r>
      <w:r>
        <w:rPr>
          <w:rFonts w:hint="eastAsia" w:ascii="宋体" w:hAnsi="宋体" w:eastAsia="宋体" w:cs="宋体"/>
          <w:color w:val="auto"/>
          <w:kern w:val="2"/>
          <w:sz w:val="24"/>
          <w:szCs w:val="24"/>
          <w:highlight w:val="none"/>
          <w:lang w:eastAsia="zh-CN" w:bidi="ar"/>
        </w:rPr>
        <w:t>元</w:t>
      </w:r>
      <w:r>
        <w:rPr>
          <w:rFonts w:hint="eastAsia" w:ascii="宋体" w:hAnsi="宋体" w:eastAsia="宋体" w:cs="宋体"/>
          <w:color w:val="auto"/>
          <w:kern w:val="0"/>
          <w:sz w:val="24"/>
          <w:szCs w:val="24"/>
          <w:highlight w:val="none"/>
          <w:lang w:eastAsia="zh-CN" w:bidi="ar"/>
        </w:rPr>
        <w:t>，同比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val="en-US" w:eastAsia="zh-CN" w:bidi="ar"/>
        </w:rPr>
        <w:t>88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747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963.76元，</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419.7</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kern w:val="0"/>
          <w:sz w:val="24"/>
          <w:szCs w:val="24"/>
          <w:highlight w:val="none"/>
          <w:lang w:val="en-US" w:eastAsia="zh-CN" w:bidi="ar"/>
        </w:rPr>
        <w:t>电煤贸易规模同比增加，应收票据增加。</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)存货</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公司202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年末</w:t>
      </w:r>
      <w:r>
        <w:rPr>
          <w:rFonts w:hint="eastAsia" w:ascii="宋体" w:hAnsi="宋体" w:eastAsia="宋体" w:cs="宋体"/>
          <w:color w:val="auto"/>
          <w:kern w:val="0"/>
          <w:sz w:val="24"/>
          <w:szCs w:val="24"/>
          <w:highlight w:val="none"/>
        </w:rPr>
        <w:t>存货</w:t>
      </w:r>
      <w:r>
        <w:rPr>
          <w:rFonts w:hint="eastAsia" w:ascii="宋体" w:hAnsi="宋体" w:eastAsia="宋体" w:cs="宋体"/>
          <w:i w:val="0"/>
          <w:iCs w:val="0"/>
          <w:color w:val="auto"/>
          <w:kern w:val="0"/>
          <w:sz w:val="24"/>
          <w:szCs w:val="24"/>
          <w:highlight w:val="none"/>
          <w:u w:val="none"/>
          <w:lang w:val="en-US" w:eastAsia="zh-CN" w:bidi="ar"/>
        </w:rPr>
        <w:t>1,247,630,630.33</w:t>
      </w:r>
      <w:r>
        <w:rPr>
          <w:rFonts w:hint="eastAsia" w:ascii="宋体" w:hAnsi="宋体" w:eastAsia="宋体" w:cs="宋体"/>
          <w:color w:val="auto"/>
          <w:kern w:val="0"/>
          <w:sz w:val="24"/>
          <w:szCs w:val="24"/>
          <w:highlight w:val="none"/>
        </w:rPr>
        <w:t>元，同比</w:t>
      </w:r>
      <w:r>
        <w:rPr>
          <w:rFonts w:hint="eastAsia" w:ascii="宋体" w:hAnsi="宋体" w:cs="宋体"/>
          <w:color w:val="auto"/>
          <w:kern w:val="0"/>
          <w:sz w:val="24"/>
          <w:szCs w:val="24"/>
          <w:highlight w:val="none"/>
          <w:lang w:val="en-US" w:eastAsia="zh-CN"/>
        </w:rPr>
        <w:t>减少</w:t>
      </w:r>
      <w:r>
        <w:rPr>
          <w:rFonts w:hint="eastAsia" w:ascii="宋体" w:hAnsi="宋体" w:eastAsia="宋体" w:cs="宋体"/>
          <w:color w:val="auto"/>
          <w:kern w:val="0"/>
          <w:sz w:val="24"/>
          <w:szCs w:val="24"/>
          <w:highlight w:val="none"/>
        </w:rPr>
        <w:t>266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117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435.39元，</w:t>
      </w:r>
      <w:r>
        <w:rPr>
          <w:rFonts w:hint="eastAsia" w:ascii="宋体" w:hAnsi="宋体" w:cs="宋体"/>
          <w:color w:val="auto"/>
          <w:kern w:val="0"/>
          <w:sz w:val="24"/>
          <w:szCs w:val="24"/>
          <w:highlight w:val="none"/>
          <w:lang w:val="en-US" w:eastAsia="zh-CN"/>
        </w:rPr>
        <w:t>降</w:t>
      </w:r>
      <w:r>
        <w:rPr>
          <w:rFonts w:hint="eastAsia" w:ascii="宋体" w:hAnsi="宋体" w:eastAsia="宋体" w:cs="宋体"/>
          <w:color w:val="auto"/>
          <w:kern w:val="0"/>
          <w:sz w:val="24"/>
          <w:szCs w:val="24"/>
          <w:highlight w:val="none"/>
          <w:lang w:eastAsia="zh-CN"/>
        </w:rPr>
        <w:t>幅</w:t>
      </w:r>
      <w:r>
        <w:rPr>
          <w:rFonts w:hint="eastAsia" w:ascii="宋体" w:hAnsi="宋体" w:cs="宋体"/>
          <w:color w:val="auto"/>
          <w:kern w:val="0"/>
          <w:sz w:val="24"/>
          <w:szCs w:val="24"/>
          <w:highlight w:val="none"/>
          <w:lang w:val="en-US" w:eastAsia="zh-CN"/>
        </w:rPr>
        <w:t>17.58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。变动的主要原因：</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火电板块负荷下降，存煤量减少</w:t>
      </w:r>
      <w:r>
        <w:rPr>
          <w:rFonts w:hint="eastAsia" w:ascii="宋体" w:hAnsi="宋体" w:cs="宋体"/>
          <w:color w:val="auto"/>
          <w:kern w:val="0"/>
          <w:sz w:val="24"/>
          <w:szCs w:val="24"/>
          <w:highlight w:val="none"/>
          <w:lang w:val="en-US" w:eastAsia="zh-CN"/>
        </w:rPr>
        <w:t>。</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投资性房地产</w:t>
      </w:r>
    </w:p>
    <w:p>
      <w:pPr>
        <w:keepNext w:val="0"/>
        <w:keepLines w:val="0"/>
        <w:pageBreakBefore w:val="0"/>
        <w:numPr>
          <w:ilvl w:val="0"/>
          <w:numId w:val="0"/>
        </w:numPr>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年年末投资性房地产</w:t>
      </w:r>
      <w:r>
        <w:rPr>
          <w:rFonts w:hint="eastAsia" w:ascii="宋体" w:hAnsi="宋体" w:eastAsia="宋体" w:cs="宋体"/>
          <w:i w:val="0"/>
          <w:iCs w:val="0"/>
          <w:color w:val="auto"/>
          <w:kern w:val="0"/>
          <w:sz w:val="24"/>
          <w:szCs w:val="24"/>
          <w:highlight w:val="none"/>
          <w:u w:val="none"/>
          <w:lang w:val="en-US" w:eastAsia="zh-CN" w:bidi="ar"/>
        </w:rPr>
        <w:t>974,998,444.58</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eastAsia="zh-CN" w:bidi="ar"/>
        </w:rPr>
        <w:t>24</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946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781.2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2.49</w:t>
      </w:r>
      <w:r>
        <w:rPr>
          <w:rFonts w:hint="eastAsia" w:ascii="宋体" w:hAnsi="宋体" w:eastAsia="宋体" w:cs="宋体"/>
          <w:color w:val="auto"/>
          <w:kern w:val="0"/>
          <w:sz w:val="24"/>
          <w:szCs w:val="24"/>
          <w:highlight w:val="none"/>
          <w:lang w:val="en-US" w:eastAsia="zh-CN" w:bidi="ar"/>
        </w:rPr>
        <w:t>%。变动</w:t>
      </w:r>
      <w:r>
        <w:rPr>
          <w:rFonts w:hint="eastAsia" w:ascii="宋体" w:hAnsi="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val="en-US" w:eastAsia="zh-CN" w:bidi="ar"/>
        </w:rPr>
        <w:t>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投资性房地产评估值降低</w:t>
      </w:r>
      <w:r>
        <w:rPr>
          <w:rFonts w:hint="eastAsia" w:ascii="宋体" w:hAnsi="宋体" w:eastAsia="宋体" w:cs="宋体"/>
          <w:color w:val="auto"/>
          <w:kern w:val="0"/>
          <w:sz w:val="24"/>
          <w:szCs w:val="24"/>
          <w:highlight w:val="none"/>
          <w:lang w:val="en-US" w:eastAsia="zh-CN" w:bidi="ar"/>
        </w:rPr>
        <w:t>。</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)长期股权投资</w:t>
      </w:r>
    </w:p>
    <w:p>
      <w:pPr>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年年末</w:t>
      </w:r>
      <w:r>
        <w:rPr>
          <w:rFonts w:hint="eastAsia" w:ascii="宋体" w:hAnsi="宋体" w:eastAsia="宋体" w:cs="宋体"/>
          <w:color w:val="auto"/>
          <w:kern w:val="0"/>
          <w:sz w:val="24"/>
          <w:szCs w:val="24"/>
          <w:highlight w:val="none"/>
          <w:lang w:eastAsia="zh-CN"/>
        </w:rPr>
        <w:t>长期股权</w:t>
      </w:r>
      <w:r>
        <w:rPr>
          <w:rFonts w:hint="eastAsia" w:ascii="宋体" w:hAnsi="宋体" w:eastAsia="宋体" w:cs="宋体"/>
          <w:color w:val="auto"/>
          <w:kern w:val="0"/>
          <w:sz w:val="24"/>
          <w:szCs w:val="24"/>
          <w:highlight w:val="none"/>
          <w:lang w:val="en-US" w:eastAsia="zh-CN"/>
        </w:rPr>
        <w:t>投资</w:t>
      </w:r>
      <w:r>
        <w:rPr>
          <w:rFonts w:hint="eastAsia" w:ascii="宋体" w:hAnsi="宋体" w:eastAsia="宋体" w:cs="宋体"/>
          <w:i w:val="0"/>
          <w:iCs w:val="0"/>
          <w:color w:val="auto"/>
          <w:kern w:val="0"/>
          <w:sz w:val="24"/>
          <w:szCs w:val="24"/>
          <w:highlight w:val="none"/>
          <w:u w:val="none"/>
          <w:lang w:val="en-US" w:eastAsia="zh-CN" w:bidi="ar"/>
        </w:rPr>
        <w:t>1,741,604,559.28</w:t>
      </w:r>
      <w:r>
        <w:rPr>
          <w:rFonts w:hint="eastAsia" w:ascii="宋体" w:hAnsi="宋体" w:eastAsia="宋体" w:cs="宋体"/>
          <w:color w:val="auto"/>
          <w:kern w:val="0"/>
          <w:sz w:val="24"/>
          <w:szCs w:val="24"/>
          <w:highlight w:val="none"/>
          <w:lang w:eastAsia="zh-CN"/>
        </w:rPr>
        <w:t>元</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同比</w:t>
      </w:r>
      <w:r>
        <w:rPr>
          <w:rFonts w:hint="eastAsia" w:ascii="宋体" w:hAnsi="宋体" w:cs="宋体"/>
          <w:color w:val="auto"/>
          <w:kern w:val="0"/>
          <w:sz w:val="24"/>
          <w:szCs w:val="24"/>
          <w:highlight w:val="none"/>
          <w:lang w:val="en-US" w:eastAsia="zh-CN"/>
        </w:rPr>
        <w:t>增加</w:t>
      </w:r>
      <w:r>
        <w:rPr>
          <w:rFonts w:hint="eastAsia" w:ascii="宋体" w:hAnsi="宋体" w:eastAsia="宋体" w:cs="宋体"/>
          <w:color w:val="auto"/>
          <w:kern w:val="0"/>
          <w:sz w:val="24"/>
          <w:szCs w:val="24"/>
          <w:highlight w:val="none"/>
          <w:lang w:eastAsia="zh-CN"/>
        </w:rPr>
        <w:t>400</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929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286.99元，</w:t>
      </w:r>
      <w:r>
        <w:rPr>
          <w:rFonts w:hint="eastAsia" w:ascii="宋体" w:hAnsi="宋体" w:cs="宋体"/>
          <w:color w:val="auto"/>
          <w:kern w:val="0"/>
          <w:sz w:val="24"/>
          <w:szCs w:val="24"/>
          <w:highlight w:val="none"/>
          <w:lang w:val="en-US" w:eastAsia="zh-CN"/>
        </w:rPr>
        <w:t>增</w:t>
      </w:r>
      <w:r>
        <w:rPr>
          <w:rFonts w:hint="eastAsia" w:ascii="宋体" w:hAnsi="宋体" w:eastAsia="宋体" w:cs="宋体"/>
          <w:color w:val="auto"/>
          <w:kern w:val="0"/>
          <w:sz w:val="24"/>
          <w:szCs w:val="24"/>
          <w:highlight w:val="none"/>
          <w:lang w:eastAsia="zh-CN"/>
        </w:rPr>
        <w:t>幅</w:t>
      </w:r>
      <w:r>
        <w:rPr>
          <w:rFonts w:hint="eastAsia" w:ascii="宋体" w:hAnsi="宋体" w:cs="宋体"/>
          <w:color w:val="auto"/>
          <w:kern w:val="0"/>
          <w:sz w:val="24"/>
          <w:szCs w:val="24"/>
          <w:highlight w:val="none"/>
          <w:lang w:val="en-US" w:eastAsia="zh-CN"/>
        </w:rPr>
        <w:t>29.91</w:t>
      </w:r>
      <w:r>
        <w:rPr>
          <w:rFonts w:hint="eastAsia" w:ascii="宋体" w:hAnsi="宋体" w:eastAsia="宋体" w:cs="宋体"/>
          <w:color w:val="auto"/>
          <w:kern w:val="0"/>
          <w:sz w:val="24"/>
          <w:szCs w:val="24"/>
          <w:highlight w:val="none"/>
          <w:lang w:val="en-US" w:eastAsia="zh-CN"/>
        </w:rPr>
        <w:t>%。变动</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主要原因：202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b w:val="0"/>
          <w:bCs w:val="0"/>
          <w:color w:val="auto"/>
          <w:kern w:val="0"/>
          <w:sz w:val="24"/>
          <w:szCs w:val="24"/>
          <w:highlight w:val="none"/>
          <w:lang w:val="en-US" w:eastAsia="zh-CN"/>
        </w:rPr>
        <w:t>贵州金元对能发燃料公司由成本法转权益法核算，</w:t>
      </w:r>
      <w:r>
        <w:rPr>
          <w:rFonts w:hint="eastAsia" w:ascii="宋体" w:hAnsi="宋体" w:cs="宋体"/>
          <w:b w:val="0"/>
          <w:bCs w:val="0"/>
          <w:color w:val="auto"/>
          <w:kern w:val="0"/>
          <w:sz w:val="24"/>
          <w:szCs w:val="24"/>
          <w:highlight w:val="none"/>
          <w:lang w:val="en-US" w:eastAsia="zh-CN"/>
        </w:rPr>
        <w:t>长期股权投资增加</w:t>
      </w:r>
      <w:r>
        <w:rPr>
          <w:rFonts w:hint="eastAsia" w:ascii="宋体" w:hAnsi="宋体" w:eastAsia="宋体" w:cs="宋体"/>
          <w:color w:val="auto"/>
          <w:kern w:val="0"/>
          <w:sz w:val="24"/>
          <w:szCs w:val="24"/>
          <w:highlight w:val="none"/>
          <w:lang w:val="en-US" w:eastAsia="zh-CN"/>
        </w:rPr>
        <w:t>。</w:t>
      </w:r>
    </w:p>
    <w:p>
      <w:pPr>
        <w:keepNext w:val="0"/>
        <w:keepLines w:val="0"/>
        <w:pageBreakBefore w:val="0"/>
        <w:numPr>
          <w:ilvl w:val="0"/>
          <w:numId w:val="0"/>
        </w:numPr>
        <w:kinsoku/>
        <w:overflowPunct/>
        <w:topLinePunct w:val="0"/>
        <w:bidi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在建工程</w:t>
      </w:r>
    </w:p>
    <w:p>
      <w:pPr>
        <w:keepNext w:val="0"/>
        <w:keepLines w:val="0"/>
        <w:pageBreakBefore w:val="0"/>
        <w:numPr>
          <w:ilvl w:val="0"/>
          <w:numId w:val="0"/>
        </w:numPr>
        <w:kinsoku/>
        <w:overflowPunct/>
        <w:topLinePunct w:val="0"/>
        <w:bidi w:val="0"/>
        <w:spacing w:line="400" w:lineRule="exact"/>
        <w:ind w:firstLine="480" w:firstLineChars="200"/>
        <w:jc w:val="left"/>
        <w:rPr>
          <w:rFonts w:hint="eastAsia"/>
          <w:color w:val="auto"/>
          <w:highlight w:val="none"/>
          <w:lang w:val="en-US" w:eastAsia="zh-CN"/>
        </w:rPr>
      </w:pP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在建工程</w:t>
      </w:r>
      <w:r>
        <w:rPr>
          <w:rFonts w:hint="eastAsia" w:ascii="宋体" w:hAnsi="宋体" w:eastAsia="宋体" w:cs="宋体"/>
          <w:i w:val="0"/>
          <w:iCs w:val="0"/>
          <w:color w:val="auto"/>
          <w:kern w:val="0"/>
          <w:sz w:val="24"/>
          <w:szCs w:val="24"/>
          <w:highlight w:val="none"/>
          <w:u w:val="none"/>
          <w:lang w:val="en-US" w:eastAsia="zh-CN" w:bidi="ar"/>
        </w:rPr>
        <w:t>4,572,870,572.56</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825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307.97</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15.29%</w:t>
      </w:r>
      <w:r>
        <w:rPr>
          <w:rFonts w:hint="eastAsia" w:ascii="宋体" w:hAnsi="宋体" w:eastAsia="宋体" w:cs="宋体"/>
          <w:color w:val="auto"/>
          <w:kern w:val="0"/>
          <w:sz w:val="24"/>
          <w:szCs w:val="24"/>
          <w:highlight w:val="none"/>
          <w:lang w:val="en-US" w:eastAsia="zh-CN" w:bidi="ar"/>
        </w:rPr>
        <w:t>。变动</w:t>
      </w:r>
      <w:r>
        <w:rPr>
          <w:rFonts w:hint="eastAsia" w:ascii="宋体" w:hAnsi="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val="en-US" w:eastAsia="zh-CN" w:bidi="ar"/>
        </w:rPr>
        <w:t>主要原因：</w:t>
      </w:r>
      <w:r>
        <w:rPr>
          <w:rFonts w:hint="eastAsia" w:ascii="宋体" w:hAnsi="宋体" w:cs="宋体"/>
          <w:color w:val="auto"/>
          <w:kern w:val="0"/>
          <w:sz w:val="24"/>
          <w:szCs w:val="24"/>
          <w:highlight w:val="none"/>
          <w:lang w:val="en-US" w:eastAsia="zh-CN" w:bidi="ar"/>
        </w:rPr>
        <w:t>新能源在建项目陆续并网</w:t>
      </w:r>
      <w:r>
        <w:rPr>
          <w:rFonts w:hint="eastAsia" w:ascii="宋体" w:hAnsi="宋体" w:eastAsia="宋体" w:cs="宋体"/>
          <w:color w:val="auto"/>
          <w:kern w:val="0"/>
          <w:sz w:val="24"/>
          <w:szCs w:val="24"/>
          <w:highlight w:val="none"/>
          <w:lang w:val="en-US" w:eastAsia="zh-CN" w:bidi="ar"/>
        </w:rPr>
        <w:t>。</w:t>
      </w:r>
    </w:p>
    <w:p>
      <w:pPr>
        <w:pStyle w:val="15"/>
        <w:keepNext w:val="0"/>
        <w:keepLines w:val="0"/>
        <w:pageBreakBefore w:val="0"/>
        <w:widowControl/>
        <w:numPr>
          <w:ilvl w:val="0"/>
          <w:numId w:val="0"/>
        </w:numPr>
        <w:kinsoku/>
        <w:wordWrap/>
        <w:overflowPunct/>
        <w:topLinePunct w:val="0"/>
        <w:autoSpaceDE/>
        <w:autoSpaceDN/>
        <w:bidi w:val="0"/>
        <w:adjustRightInd/>
        <w:snapToGrid w:val="0"/>
        <w:spacing w:line="400" w:lineRule="exact"/>
        <w:ind w:left="482" w:leftChars="0"/>
        <w:jc w:val="left"/>
        <w:textAlignment w:val="auto"/>
        <w:rPr>
          <w:rFonts w:hint="default" w:ascii="宋体" w:hAnsi="宋体" w:cs="宋体"/>
          <w:b w:val="0"/>
          <w:color w:val="auto"/>
          <w:sz w:val="24"/>
          <w:szCs w:val="24"/>
          <w:highlight w:val="none"/>
          <w:lang w:val="en-US" w:eastAsia="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color w:val="auto"/>
          <w:sz w:val="24"/>
          <w:szCs w:val="24"/>
          <w:highlight w:val="none"/>
          <w:lang w:val="en-US" w:eastAsia="zh-CN"/>
        </w:rPr>
        <w:t>营业情况分析</w:t>
      </w:r>
    </w:p>
    <w:p>
      <w:pPr>
        <w:keepNext w:val="0"/>
        <w:keepLines w:val="0"/>
        <w:pageBreakBefore w:val="0"/>
        <w:kinsoku/>
        <w:overflowPunct/>
        <w:topLinePunct w:val="0"/>
        <w:bidi w:val="0"/>
        <w:spacing w:line="40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(1)利润构成</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89"/>
        <w:gridCol w:w="1780"/>
        <w:gridCol w:w="913"/>
        <w:gridCol w:w="1780"/>
        <w:gridCol w:w="731"/>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6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54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106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438"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4"/>
                <w:szCs w:val="24"/>
                <w:highlight w:val="none"/>
                <w:u w:val="none"/>
              </w:rPr>
            </w:pPr>
          </w:p>
        </w:tc>
        <w:tc>
          <w:tcPr>
            <w:tcW w:w="627"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5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161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本期</w:t>
            </w:r>
          </w:p>
        </w:tc>
        <w:tc>
          <w:tcPr>
            <w:tcW w:w="150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上年同期</w:t>
            </w:r>
          </w:p>
        </w:tc>
        <w:tc>
          <w:tcPr>
            <w:tcW w:w="62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25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占营业收入的比重%</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占营业收入的比重%</w:t>
            </w:r>
          </w:p>
        </w:tc>
        <w:tc>
          <w:tcPr>
            <w:tcW w:w="62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400" w:lineRule="exact"/>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营业收入</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16,321,005,879.66</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17,221,240,926.74</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营业成本</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14,784,571,562.56</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90.59%</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14,514,214,513.67</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84.28%</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毛利率</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9.41%</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0.00%</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15.72%</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销售费用</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94,656,503.60</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0.58%</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128,454,513.79</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0.75%</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管理费用</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650,624,212.18</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703,880,076.46</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研发费用</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129,579,443.34</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0.79%</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285,646,093.45</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财务费用</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1,535,209,467.94</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9.41%</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1,695,369,528.27</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9.84%</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信用减值损失</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-12,183,109.32</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-0.07%</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1,163,625,490.25</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6.76%</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资产减值损失</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-502,902,323.36</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-3,498,021,961.79</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-20.31%</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其他收益</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86,415,816.01</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0.53%</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246,081,713.17</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投资收益</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1,813,604,233.62</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11.11%</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657,804,783.43</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175.71%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公允价值变动收益</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-24,724,161.36</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-0.15%</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-16,471,236.91</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-0.10%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资产处置收益</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130,879,954.49</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0.80%</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161,133,607.26</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0.94%</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汇兑收益</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营业利润</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405,339,170.12</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-1,602,410,001.80</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-9.30%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营业外收入</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55,977,443.16</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0.34%</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24,054,067.13</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0.14%</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营业外支出</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251,642,589.40</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140,086,772.31</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0.81%</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净利润</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70,098,978.14</w:t>
            </w:r>
          </w:p>
        </w:tc>
        <w:tc>
          <w:tcPr>
            <w:tcW w:w="5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0.43%</w:t>
            </w:r>
          </w:p>
        </w:tc>
        <w:tc>
          <w:tcPr>
            <w:tcW w:w="10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-1,894,699,948.82</w:t>
            </w:r>
          </w:p>
        </w:tc>
        <w:tc>
          <w:tcPr>
            <w:tcW w:w="4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-11.00%</w:t>
            </w:r>
          </w:p>
        </w:tc>
        <w:tc>
          <w:tcPr>
            <w:tcW w:w="6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103.70%</w:t>
            </w:r>
          </w:p>
        </w:tc>
      </w:tr>
    </w:tbl>
    <w:p>
      <w:pPr>
        <w:keepNext w:val="0"/>
        <w:keepLines w:val="0"/>
        <w:pageBreakBefore w:val="0"/>
        <w:kinsoku/>
        <w:overflowPunct/>
        <w:topLinePunct w:val="0"/>
        <w:bidi w:val="0"/>
        <w:spacing w:line="40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项目重大变动原因：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1 \* GB3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kern w:val="0"/>
          <w:sz w:val="24"/>
          <w:szCs w:val="24"/>
          <w:highlight w:val="none"/>
          <w:lang w:eastAsia="zh-CN" w:bidi="ar"/>
        </w:rPr>
        <w:t>营业成本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color w:val="auto"/>
          <w:sz w:val="24"/>
          <w:highlight w:val="none"/>
          <w:lang w:val="en-US" w:eastAsia="zh-CN"/>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年营业成本</w:t>
      </w:r>
      <w:r>
        <w:rPr>
          <w:rFonts w:hint="eastAsia" w:ascii="宋体" w:hAnsi="宋体" w:eastAsia="宋体" w:cs="宋体"/>
          <w:i w:val="0"/>
          <w:iCs w:val="0"/>
          <w:color w:val="auto"/>
          <w:kern w:val="0"/>
          <w:sz w:val="24"/>
          <w:szCs w:val="24"/>
          <w:highlight w:val="none"/>
          <w:u w:val="none"/>
          <w:lang w:val="en-US" w:eastAsia="zh-CN" w:bidi="ar"/>
        </w:rPr>
        <w:t>14,784,571,562.56</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val="en-US" w:eastAsia="zh-CN" w:bidi="ar"/>
        </w:rPr>
        <w:t>270</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357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048.89元，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1.86</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eastAsia="宋体" w:cs="宋体"/>
          <w:b w:val="0"/>
          <w:bCs w:val="0"/>
          <w:color w:val="auto"/>
          <w:kern w:val="0"/>
          <w:sz w:val="24"/>
          <w:szCs w:val="24"/>
          <w:highlight w:val="none"/>
          <w:u w:val="none"/>
          <w:lang w:val="en-US" w:eastAsia="zh-CN" w:bidi="ar"/>
        </w:rPr>
        <w:t>贵州能源对能发燃料公司定向增发，在控股权转让过程中，合作双方对涉及会计估计差异及前期煤炭销售热值差异进行调整，</w:t>
      </w:r>
      <w:r>
        <w:rPr>
          <w:rFonts w:hint="eastAsia" w:ascii="宋体" w:hAnsi="宋体" w:eastAsia="宋体" w:cs="宋体"/>
          <w:color w:val="auto"/>
          <w:kern w:val="0"/>
          <w:sz w:val="24"/>
          <w:szCs w:val="24"/>
          <w:highlight w:val="none"/>
          <w:u w:val="none"/>
          <w:lang w:val="en-US" w:eastAsia="zh-CN" w:bidi="ar"/>
        </w:rPr>
        <w:t>营业成本同比增加。</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2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val="en-US" w:eastAsia="zh-CN" w:bidi="ar"/>
        </w:rPr>
        <w:t>销售费用</w:t>
      </w:r>
    </w:p>
    <w:p>
      <w:pPr>
        <w:keepNext w:val="0"/>
        <w:keepLines w:val="0"/>
        <w:pageBreakBefore w:val="0"/>
        <w:widowControl w:val="0"/>
        <w:kinsoku/>
        <w:wordWrap/>
        <w:overflowPunct/>
        <w:topLinePunct w:val="0"/>
        <w:bidi w:val="0"/>
        <w:snapToGrid/>
        <w:spacing w:line="400" w:lineRule="exact"/>
        <w:ind w:firstLine="480" w:firstLineChars="20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年销售费用</w:t>
      </w:r>
      <w:r>
        <w:rPr>
          <w:rFonts w:hint="eastAsia" w:ascii="宋体" w:hAnsi="宋体" w:eastAsia="宋体" w:cs="宋体"/>
          <w:i w:val="0"/>
          <w:iCs w:val="0"/>
          <w:color w:val="auto"/>
          <w:kern w:val="0"/>
          <w:sz w:val="24"/>
          <w:szCs w:val="24"/>
          <w:highlight w:val="none"/>
          <w:u w:val="none"/>
          <w:lang w:val="en-US" w:eastAsia="zh-CN" w:bidi="ar"/>
        </w:rPr>
        <w:t>94,656,503.60</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减少33,798,010.19</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26.31%</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煤炭板块产量下降导致销售费用减少</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③</w:t>
      </w:r>
      <w:r>
        <w:rPr>
          <w:rFonts w:hint="eastAsia" w:ascii="宋体" w:hAnsi="宋体" w:eastAsia="宋体" w:cs="宋体"/>
          <w:color w:val="auto"/>
          <w:kern w:val="0"/>
          <w:sz w:val="24"/>
          <w:szCs w:val="24"/>
          <w:highlight w:val="none"/>
          <w:lang w:val="en-US" w:eastAsia="zh-CN" w:bidi="ar"/>
        </w:rPr>
        <w:t>研发费用</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年研发费用</w:t>
      </w:r>
      <w:r>
        <w:rPr>
          <w:rFonts w:hint="eastAsia" w:ascii="宋体" w:hAnsi="宋体" w:eastAsia="宋体" w:cs="宋体"/>
          <w:i w:val="0"/>
          <w:iCs w:val="0"/>
          <w:color w:val="auto"/>
          <w:kern w:val="0"/>
          <w:sz w:val="24"/>
          <w:szCs w:val="24"/>
          <w:highlight w:val="none"/>
          <w:u w:val="none"/>
          <w:lang w:val="en-US" w:eastAsia="zh-CN" w:bidi="ar"/>
        </w:rPr>
        <w:t>129,579,443.34</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156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066</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650.11</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54.64</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年费用</w:t>
      </w:r>
      <w:r>
        <w:rPr>
          <w:rFonts w:hint="eastAsia" w:ascii="宋体" w:hAnsi="宋体" w:cs="宋体"/>
          <w:color w:val="auto"/>
          <w:kern w:val="0"/>
          <w:sz w:val="24"/>
          <w:szCs w:val="24"/>
          <w:highlight w:val="none"/>
          <w:lang w:val="en-US" w:eastAsia="zh-CN" w:bidi="ar"/>
        </w:rPr>
        <w:t>化研发投入减少</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4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bidi="ar"/>
        </w:rPr>
        <w:t>④</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cs="宋体"/>
          <w:color w:val="auto"/>
          <w:kern w:val="0"/>
          <w:sz w:val="24"/>
          <w:szCs w:val="24"/>
          <w:highlight w:val="none"/>
        </w:rPr>
        <w:t>资产减值损失</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公司202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年资产减值损失</w:t>
      </w:r>
      <w:r>
        <w:rPr>
          <w:rFonts w:hint="eastAsia" w:ascii="宋体" w:hAnsi="宋体" w:eastAsia="宋体" w:cs="宋体"/>
          <w:i w:val="0"/>
          <w:iCs w:val="0"/>
          <w:color w:val="auto"/>
          <w:kern w:val="0"/>
          <w:sz w:val="24"/>
          <w:szCs w:val="24"/>
          <w:highlight w:val="none"/>
          <w:u w:val="none"/>
          <w:lang w:val="en-US" w:eastAsia="zh-CN" w:bidi="ar"/>
        </w:rPr>
        <w:t>-502,902,323.36</w:t>
      </w:r>
      <w:r>
        <w:rPr>
          <w:rFonts w:hint="eastAsia" w:ascii="宋体" w:hAnsi="宋体" w:eastAsia="宋体" w:cs="宋体"/>
          <w:color w:val="auto"/>
          <w:kern w:val="0"/>
          <w:sz w:val="24"/>
          <w:szCs w:val="24"/>
          <w:highlight w:val="none"/>
          <w:lang w:val="en-US"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995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119</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638.43 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val="en-US" w:eastAsia="zh-CN" w:bidi="ar"/>
        </w:rPr>
        <w:t>幅</w:t>
      </w:r>
      <w:r>
        <w:rPr>
          <w:rFonts w:hint="eastAsia" w:ascii="宋体" w:hAnsi="宋体" w:cs="宋体"/>
          <w:color w:val="auto"/>
          <w:kern w:val="0"/>
          <w:sz w:val="24"/>
          <w:szCs w:val="24"/>
          <w:highlight w:val="none"/>
          <w:lang w:val="en-US" w:eastAsia="zh-CN" w:bidi="ar"/>
        </w:rPr>
        <w:t>85.62</w:t>
      </w:r>
      <w:r>
        <w:rPr>
          <w:rFonts w:hint="eastAsia" w:ascii="宋体" w:hAnsi="宋体" w:eastAsia="宋体" w:cs="宋体"/>
          <w:color w:val="auto"/>
          <w:kern w:val="0"/>
          <w:sz w:val="24"/>
          <w:szCs w:val="24"/>
          <w:highlight w:val="none"/>
          <w:lang w:val="en-US" w:eastAsia="zh-CN" w:bidi="ar"/>
        </w:rPr>
        <w:t>%。变动的主要原因：2023年</w:t>
      </w:r>
      <w:r>
        <w:rPr>
          <w:rFonts w:hint="eastAsia" w:ascii="宋体" w:hAnsi="宋体" w:cs="宋体"/>
          <w:color w:val="auto"/>
          <w:kern w:val="0"/>
          <w:sz w:val="24"/>
          <w:szCs w:val="24"/>
          <w:highlight w:val="none"/>
          <w:lang w:val="en-US" w:eastAsia="zh-CN" w:bidi="ar"/>
        </w:rPr>
        <w:t>贵州金元收购绥阳产业，</w:t>
      </w:r>
      <w:r>
        <w:rPr>
          <w:rFonts w:hint="eastAsia" w:ascii="宋体" w:hAnsi="宋体" w:eastAsia="宋体" w:cs="宋体"/>
          <w:color w:val="auto"/>
          <w:kern w:val="0"/>
          <w:sz w:val="24"/>
          <w:szCs w:val="24"/>
          <w:highlight w:val="none"/>
          <w:lang w:val="en-US" w:eastAsia="zh-CN" w:bidi="ar"/>
        </w:rPr>
        <w:t>计提</w:t>
      </w:r>
      <w:r>
        <w:rPr>
          <w:rFonts w:hint="eastAsia" w:ascii="宋体" w:hAnsi="宋体" w:cs="宋体"/>
          <w:color w:val="auto"/>
          <w:kern w:val="0"/>
          <w:sz w:val="24"/>
          <w:szCs w:val="24"/>
          <w:highlight w:val="none"/>
          <w:lang w:val="en-US" w:eastAsia="zh-CN" w:bidi="ar"/>
        </w:rPr>
        <w:t>大额商誉</w:t>
      </w:r>
      <w:r>
        <w:rPr>
          <w:rFonts w:hint="eastAsia" w:ascii="宋体" w:hAnsi="宋体" w:eastAsia="宋体" w:cs="宋体"/>
          <w:color w:val="auto"/>
          <w:kern w:val="0"/>
          <w:sz w:val="24"/>
          <w:szCs w:val="24"/>
          <w:highlight w:val="none"/>
          <w:lang w:val="en-US" w:eastAsia="zh-CN" w:bidi="ar"/>
        </w:rPr>
        <w:t>减值</w:t>
      </w:r>
      <w:r>
        <w:rPr>
          <w:rFonts w:hint="eastAsia" w:ascii="宋体" w:hAnsi="宋体" w:cs="宋体"/>
          <w:color w:val="auto"/>
          <w:kern w:val="0"/>
          <w:sz w:val="24"/>
          <w:szCs w:val="24"/>
          <w:highlight w:val="none"/>
          <w:lang w:val="en-US" w:eastAsia="zh-CN" w:bidi="ar"/>
        </w:rPr>
        <w:t>，2024年贵州能源对能发公司定向增发，在控股权转让过程中对存在减值迹象的</w:t>
      </w:r>
      <w:r>
        <w:rPr>
          <w:rFonts w:hint="eastAsia" w:ascii="宋体" w:hAnsi="宋体" w:eastAsia="宋体" w:cs="宋体"/>
          <w:b w:val="0"/>
          <w:bCs w:val="0"/>
          <w:color w:val="auto"/>
          <w:kern w:val="0"/>
          <w:sz w:val="24"/>
          <w:szCs w:val="24"/>
          <w:highlight w:val="none"/>
          <w:lang w:val="en-US" w:eastAsia="zh-CN" w:bidi="ar"/>
        </w:rPr>
        <w:t>资产进行</w:t>
      </w:r>
      <w:r>
        <w:rPr>
          <w:rFonts w:hint="eastAsia" w:ascii="宋体" w:hAnsi="宋体" w:cs="宋体"/>
          <w:color w:val="auto"/>
          <w:kern w:val="0"/>
          <w:sz w:val="24"/>
          <w:szCs w:val="24"/>
          <w:highlight w:val="none"/>
          <w:lang w:val="en-US" w:eastAsia="zh-CN" w:bidi="ar"/>
        </w:rPr>
        <w:t>减值测试</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根据减值测试报告，</w:t>
      </w:r>
      <w:r>
        <w:rPr>
          <w:rFonts w:hint="eastAsia" w:ascii="宋体" w:hAnsi="宋体" w:eastAsia="宋体" w:cs="宋体"/>
          <w:color w:val="auto"/>
          <w:kern w:val="0"/>
          <w:sz w:val="24"/>
          <w:szCs w:val="24"/>
          <w:highlight w:val="none"/>
          <w:lang w:val="en-US" w:eastAsia="zh-CN" w:bidi="ar"/>
        </w:rPr>
        <w:t>确认减值损失</w:t>
      </w:r>
      <w:r>
        <w:rPr>
          <w:rFonts w:hint="eastAsia" w:ascii="宋体" w:hAnsi="宋体" w:cs="宋体"/>
          <w:color w:val="auto"/>
          <w:kern w:val="0"/>
          <w:sz w:val="24"/>
          <w:szCs w:val="24"/>
          <w:highlight w:val="none"/>
          <w:lang w:val="en-US" w:eastAsia="zh-CN" w:bidi="ar"/>
        </w:rPr>
        <w:t>5.09亿元。</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5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资产处置收益</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年资产处置收益</w:t>
      </w:r>
      <w:r>
        <w:rPr>
          <w:rFonts w:hint="eastAsia" w:ascii="宋体" w:hAnsi="宋体" w:eastAsia="宋体" w:cs="宋体"/>
          <w:i w:val="0"/>
          <w:iCs w:val="0"/>
          <w:color w:val="auto"/>
          <w:kern w:val="0"/>
          <w:sz w:val="24"/>
          <w:szCs w:val="24"/>
          <w:highlight w:val="none"/>
          <w:u w:val="none"/>
          <w:lang w:val="en-US" w:eastAsia="zh-CN" w:bidi="ar"/>
        </w:rPr>
        <w:t>130,879,954.49</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eastAsia="zh-CN" w:bidi="ar"/>
        </w:rPr>
        <w:t>减少</w:t>
      </w:r>
      <w:r>
        <w:rPr>
          <w:rFonts w:hint="eastAsia" w:ascii="宋体" w:hAnsi="宋体" w:eastAsia="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253</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652.77</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18.78</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处置小水电资产，确认资产处置收益1.31亿元</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⑥公允价值变动收益</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年公允价值变动收益</w:t>
      </w:r>
      <w:r>
        <w:rPr>
          <w:rFonts w:hint="eastAsia" w:ascii="宋体" w:hAnsi="宋体" w:eastAsia="宋体" w:cs="宋体"/>
          <w:i w:val="0"/>
          <w:iCs w:val="0"/>
          <w:color w:val="auto"/>
          <w:kern w:val="0"/>
          <w:sz w:val="24"/>
          <w:szCs w:val="24"/>
          <w:highlight w:val="none"/>
          <w:u w:val="none"/>
          <w:lang w:val="en-US" w:eastAsia="zh-CN" w:bidi="ar"/>
        </w:rPr>
        <w:t>-24,724,161.36</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减少</w:t>
      </w:r>
      <w:r>
        <w:rPr>
          <w:rFonts w:hint="eastAsia" w:ascii="宋体" w:hAnsi="宋体" w:eastAsia="宋体" w:cs="宋体"/>
          <w:color w:val="auto"/>
          <w:kern w:val="0"/>
          <w:sz w:val="24"/>
          <w:szCs w:val="24"/>
          <w:highlight w:val="none"/>
          <w:lang w:bidi="ar"/>
        </w:rPr>
        <w:t>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 xml:space="preserve">924.45 </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降</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50.11</w:t>
      </w:r>
      <w:r>
        <w:rPr>
          <w:rFonts w:hint="eastAsia" w:ascii="宋体" w:hAnsi="宋体" w:eastAsia="宋体" w:cs="宋体"/>
          <w:color w:val="auto"/>
          <w:kern w:val="0"/>
          <w:sz w:val="24"/>
          <w:szCs w:val="24"/>
          <w:highlight w:val="none"/>
          <w:lang w:val="en-US" w:eastAsia="zh-CN" w:bidi="ar"/>
        </w:rPr>
        <w:t>%。变动的主要原因：202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投资性房地产评估价值降低</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⑦营业外支出</w:t>
      </w:r>
    </w:p>
    <w:p>
      <w:pPr>
        <w:keepNext w:val="0"/>
        <w:keepLines w:val="0"/>
        <w:pageBreakBefore w:val="0"/>
        <w:widowControl w:val="0"/>
        <w:kinsoku/>
        <w:wordWrap/>
        <w:overflowPunct/>
        <w:topLinePunct w:val="0"/>
        <w:bidi w:val="0"/>
        <w:snapToGrid/>
        <w:spacing w:line="400" w:lineRule="exact"/>
        <w:ind w:firstLine="480" w:firstLineChars="200"/>
        <w:jc w:val="left"/>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eastAsia="zh-CN" w:bidi="ar"/>
        </w:rPr>
        <w:t>公司</w:t>
      </w:r>
      <w:r>
        <w:rPr>
          <w:rFonts w:hint="eastAsia" w:ascii="宋体" w:hAnsi="宋体" w:eastAsia="宋体" w:cs="宋体"/>
          <w:b w:val="0"/>
          <w:bCs w:val="0"/>
          <w:color w:val="auto"/>
          <w:kern w:val="0"/>
          <w:sz w:val="24"/>
          <w:szCs w:val="24"/>
          <w:highlight w:val="none"/>
          <w:lang w:val="en-US" w:eastAsia="zh-CN" w:bidi="ar"/>
        </w:rPr>
        <w:t>202</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年营业外支出</w:t>
      </w:r>
      <w:r>
        <w:rPr>
          <w:rFonts w:hint="eastAsia" w:ascii="宋体" w:hAnsi="宋体" w:eastAsia="宋体" w:cs="宋体"/>
          <w:i w:val="0"/>
          <w:iCs w:val="0"/>
          <w:color w:val="auto"/>
          <w:kern w:val="0"/>
          <w:sz w:val="20"/>
          <w:szCs w:val="20"/>
          <w:highlight w:val="none"/>
          <w:u w:val="none"/>
          <w:lang w:val="en-US" w:eastAsia="zh-CN" w:bidi="ar"/>
        </w:rPr>
        <w:t>251,642,589.40</w:t>
      </w:r>
      <w:r>
        <w:rPr>
          <w:rFonts w:hint="eastAsia" w:ascii="宋体" w:hAnsi="宋体" w:eastAsia="宋体" w:cs="宋体"/>
          <w:color w:val="auto"/>
          <w:kern w:val="0"/>
          <w:sz w:val="24"/>
          <w:szCs w:val="24"/>
          <w:highlight w:val="none"/>
          <w:lang w:eastAsia="zh-CN"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111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555</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817.09</w:t>
      </w:r>
      <w:r>
        <w:rPr>
          <w:rFonts w:hint="eastAsia" w:ascii="宋体" w:hAnsi="宋体" w:eastAsia="宋体" w:cs="宋体"/>
          <w:color w:val="auto"/>
          <w:kern w:val="0"/>
          <w:sz w:val="24"/>
          <w:szCs w:val="24"/>
          <w:highlight w:val="none"/>
          <w:lang w:eastAsia="zh-CN" w:bidi="ar"/>
        </w:rPr>
        <w:t>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79.63</w:t>
      </w:r>
      <w:r>
        <w:rPr>
          <w:rFonts w:hint="eastAsia" w:ascii="宋体" w:hAnsi="宋体" w:eastAsia="宋体" w:cs="宋体"/>
          <w:color w:val="auto"/>
          <w:kern w:val="0"/>
          <w:sz w:val="24"/>
          <w:szCs w:val="24"/>
          <w:highlight w:val="none"/>
          <w:lang w:val="en-US" w:eastAsia="zh-CN" w:bidi="ar"/>
        </w:rPr>
        <w:t>%。变动的主要原因：</w:t>
      </w:r>
      <w:r>
        <w:rPr>
          <w:rFonts w:hint="eastAsia" w:ascii="宋体" w:hAnsi="宋体" w:cs="宋体"/>
          <w:color w:val="auto"/>
          <w:kern w:val="0"/>
          <w:sz w:val="24"/>
          <w:szCs w:val="24"/>
          <w:highlight w:val="none"/>
          <w:lang w:val="en-US" w:eastAsia="zh-CN" w:bidi="ar"/>
        </w:rPr>
        <w:t>火电碳排放履约费用增加。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⑧营业利润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年营业利润405,339,170.12元，同比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007</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749</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171.92元，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25.3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val="en-US" w:eastAsia="zh-CN"/>
        </w:rPr>
        <w:t>同期剔除一次性事项（</w:t>
      </w:r>
      <w:r>
        <w:rPr>
          <w:rFonts w:hint="eastAsia" w:ascii="宋体" w:hAnsi="宋体" w:cs="宋体"/>
          <w:b w:val="0"/>
          <w:bCs w:val="0"/>
          <w:color w:val="auto"/>
          <w:kern w:val="0"/>
          <w:sz w:val="24"/>
          <w:szCs w:val="24"/>
          <w:highlight w:val="none"/>
          <w:lang w:val="en-US" w:eastAsia="zh-CN"/>
        </w:rPr>
        <w:t>2023年</w:t>
      </w:r>
      <w:r>
        <w:rPr>
          <w:rFonts w:hint="eastAsia" w:ascii="宋体" w:hAnsi="宋体" w:eastAsia="宋体" w:cs="宋体"/>
          <w:b w:val="0"/>
          <w:bCs w:val="0"/>
          <w:color w:val="auto"/>
          <w:kern w:val="0"/>
          <w:sz w:val="24"/>
          <w:szCs w:val="24"/>
          <w:highlight w:val="none"/>
          <w:lang w:val="en-US" w:eastAsia="zh-CN"/>
        </w:rPr>
        <w:t>收购绥阳公司股权损失8.13亿元及计提泰元公司减值13.5亿元）后</w:t>
      </w:r>
      <w:r>
        <w:rPr>
          <w:rFonts w:hint="eastAsia" w:ascii="宋体" w:hAnsi="宋体" w:eastAsia="宋体" w:cs="宋体"/>
          <w:color w:val="auto"/>
          <w:kern w:val="0"/>
          <w:sz w:val="24"/>
          <w:szCs w:val="24"/>
          <w:highlight w:val="none"/>
          <w:lang w:bidi="ar"/>
        </w:rPr>
        <w:t>营业利润</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cs="宋体"/>
          <w:b w:val="0"/>
          <w:bCs w:val="0"/>
          <w:color w:val="auto"/>
          <w:kern w:val="0"/>
          <w:sz w:val="24"/>
          <w:szCs w:val="24"/>
          <w:highlight w:val="none"/>
          <w:lang w:val="en-US" w:eastAsia="zh-CN"/>
        </w:rPr>
        <w:t>5.61</w:t>
      </w:r>
      <w:r>
        <w:rPr>
          <w:rFonts w:hint="eastAsia" w:ascii="宋体" w:hAnsi="宋体" w:eastAsia="宋体" w:cs="宋体"/>
          <w:b w:val="0"/>
          <w:bCs w:val="0"/>
          <w:color w:val="auto"/>
          <w:kern w:val="0"/>
          <w:sz w:val="24"/>
          <w:szCs w:val="24"/>
          <w:highlight w:val="none"/>
          <w:lang w:val="en-US" w:eastAsia="zh-CN"/>
        </w:rPr>
        <w:t>亿元，同比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70" w:firstLineChars="196"/>
        <w:jc w:val="left"/>
        <w:textAlignment w:val="auto"/>
        <w:rPr>
          <w:rFonts w:hint="eastAsia"/>
        </w:rPr>
      </w:pPr>
      <w:r>
        <w:rPr>
          <w:rFonts w:hint="eastAsia" w:ascii="宋体" w:hAnsi="宋体" w:cs="宋体"/>
          <w:b w:val="0"/>
          <w:bCs w:val="0"/>
          <w:color w:val="auto"/>
          <w:kern w:val="0"/>
          <w:sz w:val="24"/>
          <w:szCs w:val="24"/>
          <w:highlight w:val="none"/>
          <w:lang w:val="en-US" w:eastAsia="zh-CN"/>
        </w:rPr>
        <w:t>营业利润</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eastAsia="宋体" w:cs="宋体"/>
          <w:color w:val="auto"/>
          <w:kern w:val="0"/>
          <w:sz w:val="24"/>
          <w:szCs w:val="24"/>
          <w:highlight w:val="none"/>
        </w:rPr>
        <w:t>的主要原因：</w:t>
      </w:r>
      <w:r>
        <w:rPr>
          <w:rFonts w:hint="eastAsia" w:ascii="宋体" w:hAnsi="宋体" w:cs="宋体"/>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绥阳公司</w:t>
      </w:r>
      <w:r>
        <w:rPr>
          <w:rFonts w:hint="eastAsia" w:ascii="宋体" w:hAnsi="宋体" w:cs="宋体"/>
          <w:b w:val="0"/>
          <w:bCs w:val="0"/>
          <w:color w:val="auto"/>
          <w:kern w:val="0"/>
          <w:sz w:val="24"/>
          <w:szCs w:val="24"/>
          <w:highlight w:val="none"/>
          <w:lang w:val="en-US" w:eastAsia="zh-CN"/>
        </w:rPr>
        <w:t>因铁合金市场低迷，售价降低779.77元/吨，</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增亏2.07</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；二是由于</w:t>
      </w:r>
      <w:r>
        <w:rPr>
          <w:rFonts w:hint="eastAsia" w:ascii="宋体" w:hAnsi="宋体" w:eastAsia="宋体" w:cs="宋体"/>
          <w:b w:val="0"/>
          <w:bCs w:val="0"/>
          <w:color w:val="auto"/>
          <w:kern w:val="0"/>
          <w:sz w:val="24"/>
          <w:szCs w:val="24"/>
          <w:highlight w:val="none"/>
          <w:lang w:val="en-US" w:eastAsia="zh-CN"/>
        </w:rPr>
        <w:t>能发公司</w:t>
      </w:r>
      <w:r>
        <w:rPr>
          <w:rFonts w:hint="eastAsia" w:ascii="宋体" w:hAnsi="宋体" w:cs="宋体"/>
          <w:b w:val="0"/>
          <w:bCs w:val="0"/>
          <w:color w:val="auto"/>
          <w:kern w:val="0"/>
          <w:sz w:val="24"/>
          <w:szCs w:val="24"/>
          <w:highlight w:val="none"/>
          <w:lang w:val="en-US" w:eastAsia="zh-CN"/>
        </w:rPr>
        <w:t>股权转让，贵州金元对债权进行重估，造成暂时性损失2.99</w:t>
      </w:r>
      <w:r>
        <w:rPr>
          <w:rFonts w:hint="eastAsia" w:ascii="宋体" w:hAnsi="宋体" w:eastAsia="宋体" w:cs="宋体"/>
          <w:color w:val="auto"/>
          <w:kern w:val="0"/>
          <w:sz w:val="24"/>
          <w:szCs w:val="24"/>
          <w:highlight w:val="none"/>
          <w:lang w:val="en-US" w:eastAsia="zh-CN" w:bidi="ar-SA"/>
        </w:rPr>
        <w:t>亿元</w:t>
      </w:r>
      <w:r>
        <w:rPr>
          <w:rFonts w:hint="eastAsia" w:ascii="宋体" w:hAnsi="宋体" w:cs="宋体"/>
          <w:color w:val="auto"/>
          <w:kern w:val="0"/>
          <w:sz w:val="24"/>
          <w:szCs w:val="24"/>
          <w:highlight w:val="none"/>
          <w:lang w:val="en-US" w:eastAsia="zh-CN" w:bidi="ar-SA"/>
        </w:rPr>
        <w:t>，待债权收回后逐年转回损失。</w:t>
      </w:r>
      <w:r>
        <w:rPr>
          <w:rFonts w:hint="eastAsia" w:ascii="宋体" w:hAnsi="宋体" w:eastAsia="宋体" w:cs="宋体"/>
          <w:color w:val="auto"/>
          <w:kern w:val="0"/>
          <w:sz w:val="24"/>
          <w:szCs w:val="24"/>
          <w:highlight w:val="none"/>
          <w:lang w:val="en-US" w:eastAsia="zh-CN" w:bidi="ar-SA"/>
        </w:rPr>
        <w:t>基于以上</w:t>
      </w:r>
      <w:r>
        <w:rPr>
          <w:rFonts w:hint="eastAsia" w:ascii="宋体" w:hAnsi="宋体" w:cs="宋体"/>
          <w:color w:val="auto"/>
          <w:kern w:val="0"/>
          <w:sz w:val="24"/>
          <w:szCs w:val="24"/>
          <w:highlight w:val="none"/>
          <w:lang w:val="en-US" w:eastAsia="zh-CN" w:bidi="ar-SA"/>
        </w:rPr>
        <w:t>因素合计减利5.06亿元，</w:t>
      </w:r>
      <w:r>
        <w:rPr>
          <w:rFonts w:hint="eastAsia" w:ascii="宋体" w:hAnsi="宋体" w:eastAsia="宋体" w:cs="宋体"/>
          <w:color w:val="auto"/>
          <w:kern w:val="0"/>
          <w:sz w:val="24"/>
          <w:szCs w:val="24"/>
          <w:highlight w:val="none"/>
          <w:lang w:val="en-US" w:eastAsia="zh-CN" w:bidi="ar-SA"/>
        </w:rPr>
        <w:t>贵州金元2024年千方百计抢抓发电量</w:t>
      </w:r>
      <w:r>
        <w:rPr>
          <w:rFonts w:hint="eastAsia" w:ascii="宋体" w:hAnsi="宋体" w:cs="宋体"/>
          <w:color w:val="auto"/>
          <w:kern w:val="0"/>
          <w:sz w:val="24"/>
          <w:szCs w:val="24"/>
          <w:highlight w:val="none"/>
          <w:lang w:val="en-US" w:eastAsia="zh-CN" w:bidi="ar-SA"/>
        </w:rPr>
        <w:t>、通过压降成本、处置低效无效资产等措施，共计增加营业利润4.35亿元，其中：一是</w:t>
      </w:r>
      <w:r>
        <w:rPr>
          <w:rFonts w:hint="eastAsia" w:ascii="宋体" w:hAnsi="宋体" w:eastAsia="宋体" w:cs="宋体"/>
          <w:i w:val="0"/>
          <w:iCs w:val="0"/>
          <w:caps w:val="0"/>
          <w:color w:val="auto"/>
          <w:spacing w:val="0"/>
          <w:kern w:val="0"/>
          <w:sz w:val="24"/>
          <w:szCs w:val="24"/>
          <w:highlight w:val="none"/>
          <w:shd w:val="clear"/>
          <w:lang w:val="en-US" w:eastAsia="zh-CN"/>
        </w:rPr>
        <w:t>水电板块</w:t>
      </w:r>
      <w:r>
        <w:rPr>
          <w:rFonts w:hint="eastAsia" w:ascii="宋体" w:hAnsi="宋体" w:cs="宋体"/>
          <w:i w:val="0"/>
          <w:iCs w:val="0"/>
          <w:caps w:val="0"/>
          <w:color w:val="auto"/>
          <w:spacing w:val="0"/>
          <w:kern w:val="0"/>
          <w:sz w:val="24"/>
          <w:szCs w:val="24"/>
          <w:highlight w:val="none"/>
          <w:shd w:val="clear"/>
          <w:lang w:val="en-US" w:eastAsia="zh-CN"/>
        </w:rPr>
        <w:t>通过</w:t>
      </w:r>
      <w:r>
        <w:rPr>
          <w:rFonts w:hint="eastAsia" w:ascii="宋体" w:hAnsi="宋体" w:eastAsia="宋体" w:cs="宋体"/>
          <w:i w:val="0"/>
          <w:iCs w:val="0"/>
          <w:caps w:val="0"/>
          <w:color w:val="auto"/>
          <w:spacing w:val="0"/>
          <w:kern w:val="0"/>
          <w:sz w:val="24"/>
          <w:szCs w:val="24"/>
          <w:highlight w:val="none"/>
          <w:shd w:val="clear"/>
          <w:lang w:val="en-US" w:eastAsia="zh-CN"/>
        </w:rPr>
        <w:t>增发电量</w:t>
      </w:r>
      <w:r>
        <w:rPr>
          <w:rFonts w:hint="eastAsia" w:ascii="宋体" w:hAnsi="宋体" w:cs="宋体"/>
          <w:i w:val="0"/>
          <w:iCs w:val="0"/>
          <w:caps w:val="0"/>
          <w:color w:val="auto"/>
          <w:spacing w:val="0"/>
          <w:kern w:val="0"/>
          <w:sz w:val="24"/>
          <w:szCs w:val="24"/>
          <w:highlight w:val="none"/>
          <w:shd w:val="clear"/>
          <w:lang w:val="en-US" w:eastAsia="zh-CN"/>
        </w:rPr>
        <w:t>、</w:t>
      </w:r>
      <w:r>
        <w:rPr>
          <w:rFonts w:hint="eastAsia" w:ascii="宋体" w:hAnsi="宋体" w:eastAsia="宋体" w:cs="宋体"/>
          <w:i w:val="0"/>
          <w:iCs w:val="0"/>
          <w:caps w:val="0"/>
          <w:color w:val="auto"/>
          <w:spacing w:val="0"/>
          <w:kern w:val="0"/>
          <w:sz w:val="24"/>
          <w:szCs w:val="24"/>
          <w:highlight w:val="none"/>
          <w:shd w:val="clear"/>
          <w:lang w:val="en-US" w:eastAsia="zh-CN"/>
        </w:rPr>
        <w:t>控降成本费用，</w:t>
      </w:r>
      <w:r>
        <w:rPr>
          <w:rFonts w:hint="eastAsia" w:ascii="宋体" w:hAnsi="宋体" w:eastAsia="宋体" w:cs="宋体"/>
          <w:b w:val="0"/>
          <w:snapToGrid/>
          <w:color w:val="auto"/>
          <w:kern w:val="0"/>
          <w:sz w:val="24"/>
          <w:szCs w:val="24"/>
          <w:highlight w:val="none"/>
          <w:lang w:val="en-US" w:eastAsia="zh-CN"/>
        </w:rPr>
        <w:t>新能源板块克服市场化交易带来的电价下行，通过控降三项费用、财务费用等措施</w:t>
      </w:r>
      <w:r>
        <w:rPr>
          <w:rFonts w:hint="eastAsia" w:ascii="宋体" w:hAnsi="宋体" w:cs="宋体"/>
          <w:b w:val="0"/>
          <w:snapToGrid/>
          <w:color w:val="auto"/>
          <w:kern w:val="0"/>
          <w:sz w:val="24"/>
          <w:szCs w:val="24"/>
          <w:highlight w:val="none"/>
          <w:lang w:val="en-US" w:eastAsia="zh-CN"/>
        </w:rPr>
        <w:t>，共计提升</w:t>
      </w:r>
      <w:r>
        <w:rPr>
          <w:rFonts w:hint="eastAsia" w:ascii="宋体" w:hAnsi="宋体" w:cs="宋体"/>
          <w:i w:val="0"/>
          <w:iCs w:val="0"/>
          <w:caps w:val="0"/>
          <w:color w:val="auto"/>
          <w:spacing w:val="0"/>
          <w:kern w:val="0"/>
          <w:sz w:val="24"/>
          <w:szCs w:val="24"/>
          <w:highlight w:val="none"/>
          <w:shd w:val="clear"/>
          <w:lang w:val="en-US" w:eastAsia="zh-CN"/>
        </w:rPr>
        <w:t>售电单位利润21.12</w:t>
      </w:r>
      <w:r>
        <w:rPr>
          <w:rFonts w:hint="eastAsia" w:ascii="宋体" w:hAnsi="宋体" w:eastAsia="宋体" w:cs="宋体"/>
          <w:i w:val="0"/>
          <w:iCs w:val="0"/>
          <w:caps w:val="0"/>
          <w:color w:val="auto"/>
          <w:spacing w:val="0"/>
          <w:kern w:val="0"/>
          <w:sz w:val="24"/>
          <w:szCs w:val="24"/>
          <w:highlight w:val="none"/>
          <w:shd w:val="clear"/>
          <w:lang w:val="en-US" w:eastAsia="zh-CN"/>
        </w:rPr>
        <w:t>元/千千瓦时，</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营业利润3.05</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snapToGrid/>
          <w:color w:val="auto"/>
          <w:kern w:val="0"/>
          <w:sz w:val="24"/>
          <w:szCs w:val="24"/>
          <w:highlight w:val="none"/>
          <w:lang w:val="en-US" w:eastAsia="zh-CN"/>
        </w:rPr>
        <w:t>二是通过</w:t>
      </w:r>
      <w:r>
        <w:rPr>
          <w:rFonts w:hint="eastAsia" w:ascii="宋体" w:hAnsi="宋体" w:eastAsia="宋体" w:cs="宋体"/>
          <w:b w:val="0"/>
          <w:snapToGrid/>
          <w:color w:val="auto"/>
          <w:kern w:val="0"/>
          <w:sz w:val="24"/>
          <w:szCs w:val="24"/>
          <w:highlight w:val="none"/>
        </w:rPr>
        <w:t>积极开展</w:t>
      </w:r>
      <w:r>
        <w:rPr>
          <w:rFonts w:hint="eastAsia" w:ascii="宋体" w:hAnsi="宋体" w:eastAsia="宋体" w:cs="宋体"/>
          <w:b w:val="0"/>
          <w:snapToGrid/>
          <w:color w:val="auto"/>
          <w:kern w:val="0"/>
          <w:sz w:val="24"/>
          <w:szCs w:val="24"/>
          <w:highlight w:val="none"/>
          <w:lang w:val="en-US" w:eastAsia="zh-CN"/>
        </w:rPr>
        <w:t>小水电</w:t>
      </w:r>
      <w:r>
        <w:rPr>
          <w:rFonts w:hint="eastAsia" w:ascii="宋体" w:hAnsi="宋体" w:eastAsia="宋体" w:cs="宋体"/>
          <w:b w:val="0"/>
          <w:snapToGrid/>
          <w:color w:val="auto"/>
          <w:kern w:val="0"/>
          <w:sz w:val="24"/>
          <w:szCs w:val="24"/>
          <w:highlight w:val="none"/>
        </w:rPr>
        <w:t>资产处置</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snapToGrid/>
          <w:color w:val="auto"/>
          <w:kern w:val="0"/>
          <w:sz w:val="24"/>
          <w:szCs w:val="24"/>
          <w:highlight w:val="none"/>
          <w:lang w:val="en-US" w:eastAsia="zh-CN"/>
        </w:rPr>
        <w:t>并</w:t>
      </w:r>
      <w:r>
        <w:rPr>
          <w:rFonts w:hint="eastAsia" w:ascii="宋体" w:hAnsi="宋体" w:eastAsia="宋体" w:cs="宋体"/>
          <w:b w:val="0"/>
          <w:snapToGrid/>
          <w:color w:val="auto"/>
          <w:kern w:val="0"/>
          <w:sz w:val="24"/>
          <w:szCs w:val="24"/>
          <w:highlight w:val="none"/>
        </w:rPr>
        <w:t>与政府协商</w:t>
      </w:r>
      <w:r>
        <w:rPr>
          <w:rFonts w:hint="eastAsia" w:ascii="宋体" w:hAnsi="宋体" w:eastAsia="宋体" w:cs="宋体"/>
          <w:b w:val="0"/>
          <w:snapToGrid/>
          <w:color w:val="auto"/>
          <w:kern w:val="0"/>
          <w:sz w:val="24"/>
          <w:szCs w:val="24"/>
          <w:highlight w:val="none"/>
          <w:lang w:val="en-US" w:eastAsia="zh-CN"/>
        </w:rPr>
        <w:t>获取</w:t>
      </w:r>
      <w:r>
        <w:rPr>
          <w:rFonts w:hint="eastAsia" w:ascii="宋体" w:hAnsi="宋体" w:eastAsia="宋体" w:cs="宋体"/>
          <w:b w:val="0"/>
          <w:bCs w:val="0"/>
          <w:color w:val="auto"/>
          <w:kern w:val="0"/>
          <w:sz w:val="24"/>
          <w:szCs w:val="24"/>
          <w:highlight w:val="none"/>
          <w:lang w:val="en-US" w:eastAsia="zh-CN"/>
        </w:rPr>
        <w:t>明英电站赔偿款</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⑨</w:t>
      </w:r>
      <w:r>
        <w:rPr>
          <w:rFonts w:hint="eastAsia" w:ascii="宋体" w:hAnsi="宋体" w:cs="宋体"/>
          <w:color w:val="auto"/>
          <w:kern w:val="0"/>
          <w:sz w:val="24"/>
          <w:szCs w:val="24"/>
          <w:highlight w:val="none"/>
          <w:lang w:val="en-US" w:eastAsia="zh-CN" w:bidi="ar"/>
        </w:rPr>
        <w:t>净利润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bidi="ar"/>
        </w:rPr>
        <w:t>公司</w:t>
      </w:r>
      <w:r>
        <w:rPr>
          <w:rFonts w:hint="eastAsia" w:ascii="宋体" w:hAnsi="宋体" w:eastAsia="宋体" w:cs="宋体"/>
          <w:color w:val="auto"/>
          <w:kern w:val="0"/>
          <w:sz w:val="24"/>
          <w:szCs w:val="24"/>
          <w:highlight w:val="none"/>
          <w:lang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年净利润</w:t>
      </w:r>
      <w:r>
        <w:rPr>
          <w:rFonts w:hint="eastAsia" w:ascii="宋体" w:hAnsi="宋体" w:eastAsia="宋体" w:cs="宋体"/>
          <w:i w:val="0"/>
          <w:iCs w:val="0"/>
          <w:color w:val="auto"/>
          <w:kern w:val="0"/>
          <w:sz w:val="24"/>
          <w:szCs w:val="24"/>
          <w:highlight w:val="none"/>
          <w:u w:val="none"/>
          <w:lang w:val="en-US" w:eastAsia="zh-CN" w:bidi="ar"/>
        </w:rPr>
        <w:t>70,098,978.14</w:t>
      </w:r>
      <w:r>
        <w:rPr>
          <w:rFonts w:hint="eastAsia" w:ascii="宋体" w:hAnsi="宋体" w:eastAsia="宋体" w:cs="宋体"/>
          <w:color w:val="auto"/>
          <w:kern w:val="0"/>
          <w:sz w:val="24"/>
          <w:szCs w:val="24"/>
          <w:highlight w:val="none"/>
          <w:lang w:bidi="ar"/>
        </w:rPr>
        <w:t>元，同比</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964</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798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926.96元，</w:t>
      </w:r>
      <w:r>
        <w:rPr>
          <w:rFonts w:hint="eastAsia" w:ascii="宋体" w:hAnsi="宋体" w:cs="宋体"/>
          <w:color w:val="auto"/>
          <w:kern w:val="0"/>
          <w:sz w:val="24"/>
          <w:szCs w:val="24"/>
          <w:highlight w:val="none"/>
          <w:lang w:val="en-US" w:eastAsia="zh-CN" w:bidi="ar"/>
        </w:rPr>
        <w:t>增</w:t>
      </w:r>
      <w:r>
        <w:rPr>
          <w:rFonts w:hint="eastAsia" w:ascii="宋体" w:hAnsi="宋体" w:eastAsia="宋体" w:cs="宋体"/>
          <w:color w:val="auto"/>
          <w:kern w:val="0"/>
          <w:sz w:val="24"/>
          <w:szCs w:val="24"/>
          <w:highlight w:val="none"/>
          <w:lang w:eastAsia="zh-CN" w:bidi="ar"/>
        </w:rPr>
        <w:t>幅</w:t>
      </w:r>
      <w:r>
        <w:rPr>
          <w:rFonts w:hint="eastAsia" w:ascii="宋体" w:hAnsi="宋体" w:cs="宋体"/>
          <w:color w:val="auto"/>
          <w:kern w:val="0"/>
          <w:sz w:val="24"/>
          <w:szCs w:val="24"/>
          <w:highlight w:val="none"/>
          <w:lang w:val="en-US" w:eastAsia="zh-CN" w:bidi="ar"/>
        </w:rPr>
        <w:t>103.7</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val="en-US" w:eastAsia="zh-CN"/>
        </w:rPr>
        <w:t>同期剔除一次性事项（</w:t>
      </w:r>
      <w:r>
        <w:rPr>
          <w:rFonts w:hint="eastAsia" w:ascii="宋体" w:hAnsi="宋体" w:cs="宋体"/>
          <w:b w:val="0"/>
          <w:bCs w:val="0"/>
          <w:color w:val="auto"/>
          <w:kern w:val="0"/>
          <w:sz w:val="24"/>
          <w:szCs w:val="24"/>
          <w:highlight w:val="none"/>
          <w:lang w:val="en-US" w:eastAsia="zh-CN"/>
        </w:rPr>
        <w:t>2023年</w:t>
      </w:r>
      <w:r>
        <w:rPr>
          <w:rFonts w:hint="eastAsia" w:ascii="宋体" w:hAnsi="宋体" w:eastAsia="宋体" w:cs="宋体"/>
          <w:b w:val="0"/>
          <w:bCs w:val="0"/>
          <w:color w:val="auto"/>
          <w:kern w:val="0"/>
          <w:sz w:val="24"/>
          <w:szCs w:val="24"/>
          <w:highlight w:val="none"/>
          <w:lang w:val="en-US" w:eastAsia="zh-CN"/>
        </w:rPr>
        <w:t>收购绥阳公司股权损失8.13亿元及计提泰元公司减值13.5亿元）后</w:t>
      </w:r>
      <w:r>
        <w:rPr>
          <w:rFonts w:hint="eastAsia" w:ascii="宋体" w:hAnsi="宋体" w:cs="宋体"/>
          <w:b w:val="0"/>
          <w:bCs w:val="0"/>
          <w:color w:val="auto"/>
          <w:kern w:val="0"/>
          <w:sz w:val="24"/>
          <w:szCs w:val="24"/>
          <w:highlight w:val="none"/>
          <w:lang w:val="en-US" w:eastAsia="zh-CN"/>
        </w:rPr>
        <w:t>净利润</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cs="宋体"/>
          <w:b w:val="0"/>
          <w:bCs w:val="0"/>
          <w:color w:val="auto"/>
          <w:kern w:val="0"/>
          <w:sz w:val="24"/>
          <w:szCs w:val="24"/>
          <w:highlight w:val="none"/>
          <w:lang w:val="en-US" w:eastAsia="zh-CN"/>
        </w:rPr>
        <w:t>2.68</w:t>
      </w:r>
      <w:r>
        <w:rPr>
          <w:rFonts w:hint="eastAsia" w:ascii="宋体" w:hAnsi="宋体" w:eastAsia="宋体" w:cs="宋体"/>
          <w:b w:val="0"/>
          <w:bCs w:val="0"/>
          <w:color w:val="auto"/>
          <w:kern w:val="0"/>
          <w:sz w:val="24"/>
          <w:szCs w:val="24"/>
          <w:highlight w:val="none"/>
          <w:lang w:val="en-US" w:eastAsia="zh-CN"/>
        </w:rPr>
        <w:t>亿元，同比</w:t>
      </w:r>
      <w:r>
        <w:rPr>
          <w:rFonts w:hint="eastAsia" w:ascii="宋体" w:hAnsi="宋体" w:cs="宋体"/>
          <w:b w:val="0"/>
          <w:bCs w:val="0"/>
          <w:color w:val="auto"/>
          <w:kern w:val="0"/>
          <w:sz w:val="24"/>
          <w:szCs w:val="24"/>
          <w:highlight w:val="none"/>
          <w:lang w:val="en-US" w:eastAsia="zh-CN"/>
        </w:rPr>
        <w:t>减利1.98</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70" w:firstLineChars="196"/>
        <w:jc w:val="left"/>
        <w:textAlignment w:val="auto"/>
        <w:rPr>
          <w:rFonts w:hint="eastAsia" w:ascii="宋体" w:hAnsi="宋体" w:cs="宋体"/>
          <w:color w:val="auto"/>
          <w:kern w:val="0"/>
          <w:sz w:val="24"/>
          <w:highlight w:val="none"/>
        </w:rPr>
      </w:pPr>
      <w:r>
        <w:rPr>
          <w:rFonts w:hint="eastAsia" w:ascii="宋体" w:hAnsi="宋体" w:cs="宋体"/>
          <w:b w:val="0"/>
          <w:bCs w:val="0"/>
          <w:color w:val="auto"/>
          <w:kern w:val="0"/>
          <w:sz w:val="24"/>
          <w:szCs w:val="24"/>
          <w:highlight w:val="none"/>
          <w:lang w:val="en-US" w:eastAsia="zh-CN"/>
        </w:rPr>
        <w:t>净利润</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减利1.56</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eastAsia="宋体" w:cs="宋体"/>
          <w:color w:val="auto"/>
          <w:kern w:val="0"/>
          <w:sz w:val="24"/>
          <w:szCs w:val="24"/>
          <w:highlight w:val="none"/>
        </w:rPr>
        <w:t>的主要原因：</w:t>
      </w:r>
      <w:r>
        <w:rPr>
          <w:rFonts w:hint="eastAsia" w:ascii="宋体" w:hAnsi="宋体" w:cs="宋体"/>
          <w:color w:val="auto"/>
          <w:kern w:val="0"/>
          <w:sz w:val="24"/>
          <w:szCs w:val="24"/>
          <w:highlight w:val="none"/>
          <w:lang w:val="en-US" w:eastAsia="zh-CN"/>
        </w:rPr>
        <w:t>一是</w:t>
      </w:r>
      <w:r>
        <w:rPr>
          <w:rFonts w:hint="eastAsia" w:ascii="宋体" w:hAnsi="宋体" w:eastAsia="宋体" w:cs="宋体"/>
          <w:b w:val="0"/>
          <w:bCs w:val="0"/>
          <w:color w:val="auto"/>
          <w:kern w:val="0"/>
          <w:sz w:val="24"/>
          <w:szCs w:val="24"/>
          <w:highlight w:val="none"/>
          <w:lang w:val="en-US" w:eastAsia="zh-CN"/>
        </w:rPr>
        <w:t>绥阳公司</w:t>
      </w:r>
      <w:r>
        <w:rPr>
          <w:rFonts w:hint="eastAsia" w:ascii="宋体" w:hAnsi="宋体" w:cs="宋体"/>
          <w:b w:val="0"/>
          <w:bCs w:val="0"/>
          <w:color w:val="auto"/>
          <w:kern w:val="0"/>
          <w:sz w:val="24"/>
          <w:szCs w:val="24"/>
          <w:highlight w:val="none"/>
          <w:lang w:val="en-US" w:eastAsia="zh-CN"/>
        </w:rPr>
        <w:t>因铁合金市场低迷，售价降低779.77元/吨，</w:t>
      </w:r>
      <w:r>
        <w:rPr>
          <w:rFonts w:hint="eastAsia" w:ascii="宋体" w:hAnsi="宋体" w:eastAsia="宋体" w:cs="宋体"/>
          <w:b w:val="0"/>
          <w:bCs w:val="0"/>
          <w:color w:val="auto"/>
          <w:kern w:val="0"/>
          <w:sz w:val="24"/>
          <w:szCs w:val="24"/>
          <w:highlight w:val="none"/>
          <w:lang w:val="en-US" w:eastAsia="zh-CN"/>
        </w:rPr>
        <w:t>同比</w:t>
      </w:r>
      <w:r>
        <w:rPr>
          <w:rFonts w:hint="eastAsia" w:ascii="宋体" w:hAnsi="宋体" w:cs="宋体"/>
          <w:b w:val="0"/>
          <w:bCs w:val="0"/>
          <w:color w:val="auto"/>
          <w:kern w:val="0"/>
          <w:sz w:val="24"/>
          <w:szCs w:val="24"/>
          <w:highlight w:val="none"/>
          <w:lang w:val="en-US" w:eastAsia="zh-CN"/>
        </w:rPr>
        <w:t>增亏2.39</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；二是由于</w:t>
      </w:r>
      <w:r>
        <w:rPr>
          <w:rFonts w:hint="eastAsia" w:ascii="宋体" w:hAnsi="宋体" w:eastAsia="宋体" w:cs="宋体"/>
          <w:b w:val="0"/>
          <w:bCs w:val="0"/>
          <w:color w:val="auto"/>
          <w:kern w:val="0"/>
          <w:sz w:val="24"/>
          <w:szCs w:val="24"/>
          <w:highlight w:val="none"/>
          <w:lang w:val="en-US" w:eastAsia="zh-CN"/>
        </w:rPr>
        <w:t>能发公司</w:t>
      </w:r>
      <w:r>
        <w:rPr>
          <w:rFonts w:hint="eastAsia" w:ascii="宋体" w:hAnsi="宋体" w:cs="宋体"/>
          <w:b w:val="0"/>
          <w:bCs w:val="0"/>
          <w:color w:val="auto"/>
          <w:kern w:val="0"/>
          <w:sz w:val="24"/>
          <w:szCs w:val="24"/>
          <w:highlight w:val="none"/>
          <w:lang w:val="en-US" w:eastAsia="zh-CN"/>
        </w:rPr>
        <w:t>股权转让，贵州金元对债权进行重估，造成暂时性损失2.99</w:t>
      </w:r>
      <w:r>
        <w:rPr>
          <w:rFonts w:hint="eastAsia" w:ascii="宋体" w:hAnsi="宋体" w:eastAsia="宋体" w:cs="宋体"/>
          <w:color w:val="auto"/>
          <w:kern w:val="0"/>
          <w:sz w:val="24"/>
          <w:szCs w:val="24"/>
          <w:highlight w:val="none"/>
          <w:lang w:val="en-US" w:eastAsia="zh-CN" w:bidi="ar-SA"/>
        </w:rPr>
        <w:t>亿元</w:t>
      </w:r>
      <w:r>
        <w:rPr>
          <w:rFonts w:hint="eastAsia" w:ascii="宋体" w:hAnsi="宋体" w:cs="宋体"/>
          <w:color w:val="auto"/>
          <w:kern w:val="0"/>
          <w:sz w:val="24"/>
          <w:szCs w:val="24"/>
          <w:highlight w:val="none"/>
          <w:lang w:val="en-US" w:eastAsia="zh-CN" w:bidi="ar-SA"/>
        </w:rPr>
        <w:t>，待债权收回后逐年转回损失。</w:t>
      </w:r>
      <w:r>
        <w:rPr>
          <w:rFonts w:hint="eastAsia" w:ascii="宋体" w:hAnsi="宋体" w:eastAsia="宋体" w:cs="宋体"/>
          <w:color w:val="auto"/>
          <w:kern w:val="0"/>
          <w:sz w:val="24"/>
          <w:szCs w:val="24"/>
          <w:highlight w:val="none"/>
          <w:lang w:val="en-US" w:eastAsia="zh-CN" w:bidi="ar-SA"/>
        </w:rPr>
        <w:t>基于以上</w:t>
      </w:r>
      <w:r>
        <w:rPr>
          <w:rFonts w:hint="eastAsia" w:ascii="宋体" w:hAnsi="宋体" w:cs="宋体"/>
          <w:color w:val="auto"/>
          <w:kern w:val="0"/>
          <w:sz w:val="24"/>
          <w:szCs w:val="24"/>
          <w:highlight w:val="none"/>
          <w:lang w:val="en-US" w:eastAsia="zh-CN" w:bidi="ar-SA"/>
        </w:rPr>
        <w:t>因素合计减利5.38亿元，</w:t>
      </w:r>
      <w:r>
        <w:rPr>
          <w:rFonts w:hint="eastAsia" w:ascii="宋体" w:hAnsi="宋体" w:eastAsia="宋体" w:cs="宋体"/>
          <w:color w:val="auto"/>
          <w:kern w:val="0"/>
          <w:sz w:val="24"/>
          <w:szCs w:val="24"/>
          <w:highlight w:val="none"/>
          <w:lang w:val="en-US" w:eastAsia="zh-CN" w:bidi="ar-SA"/>
        </w:rPr>
        <w:t>贵州金元2024年千方百计抢抓发电量</w:t>
      </w:r>
      <w:r>
        <w:rPr>
          <w:rFonts w:hint="eastAsia" w:ascii="宋体" w:hAnsi="宋体" w:cs="宋体"/>
          <w:color w:val="auto"/>
          <w:kern w:val="0"/>
          <w:sz w:val="24"/>
          <w:szCs w:val="24"/>
          <w:highlight w:val="none"/>
          <w:lang w:val="en-US" w:eastAsia="zh-CN" w:bidi="ar-SA"/>
        </w:rPr>
        <w:t>、通过压降成本、处置低效无效资产等措施，共计增加营业利润3.84亿元，其中：一是</w:t>
      </w:r>
      <w:r>
        <w:rPr>
          <w:rFonts w:hint="eastAsia" w:ascii="宋体" w:hAnsi="宋体" w:eastAsia="宋体" w:cs="宋体"/>
          <w:i w:val="0"/>
          <w:iCs w:val="0"/>
          <w:caps w:val="0"/>
          <w:color w:val="auto"/>
          <w:spacing w:val="0"/>
          <w:kern w:val="0"/>
          <w:sz w:val="24"/>
          <w:szCs w:val="24"/>
          <w:highlight w:val="none"/>
          <w:shd w:val="clear"/>
          <w:lang w:val="en-US" w:eastAsia="zh-CN"/>
        </w:rPr>
        <w:t>水电板块</w:t>
      </w:r>
      <w:r>
        <w:rPr>
          <w:rFonts w:hint="eastAsia" w:ascii="宋体" w:hAnsi="宋体" w:cs="宋体"/>
          <w:i w:val="0"/>
          <w:iCs w:val="0"/>
          <w:caps w:val="0"/>
          <w:color w:val="auto"/>
          <w:spacing w:val="0"/>
          <w:kern w:val="0"/>
          <w:sz w:val="24"/>
          <w:szCs w:val="24"/>
          <w:highlight w:val="none"/>
          <w:shd w:val="clear"/>
          <w:lang w:val="en-US" w:eastAsia="zh-CN"/>
        </w:rPr>
        <w:t>通过</w:t>
      </w:r>
      <w:r>
        <w:rPr>
          <w:rFonts w:hint="eastAsia" w:ascii="宋体" w:hAnsi="宋体" w:eastAsia="宋体" w:cs="宋体"/>
          <w:i w:val="0"/>
          <w:iCs w:val="0"/>
          <w:caps w:val="0"/>
          <w:color w:val="auto"/>
          <w:spacing w:val="0"/>
          <w:kern w:val="0"/>
          <w:sz w:val="24"/>
          <w:szCs w:val="24"/>
          <w:highlight w:val="none"/>
          <w:shd w:val="clear"/>
          <w:lang w:val="en-US" w:eastAsia="zh-CN"/>
        </w:rPr>
        <w:t>增发电量</w:t>
      </w:r>
      <w:r>
        <w:rPr>
          <w:rFonts w:hint="eastAsia" w:ascii="宋体" w:hAnsi="宋体" w:cs="宋体"/>
          <w:i w:val="0"/>
          <w:iCs w:val="0"/>
          <w:caps w:val="0"/>
          <w:color w:val="auto"/>
          <w:spacing w:val="0"/>
          <w:kern w:val="0"/>
          <w:sz w:val="24"/>
          <w:szCs w:val="24"/>
          <w:highlight w:val="none"/>
          <w:shd w:val="clear"/>
          <w:lang w:val="en-US" w:eastAsia="zh-CN"/>
        </w:rPr>
        <w:t>、</w:t>
      </w:r>
      <w:r>
        <w:rPr>
          <w:rFonts w:hint="eastAsia" w:ascii="宋体" w:hAnsi="宋体" w:eastAsia="宋体" w:cs="宋体"/>
          <w:i w:val="0"/>
          <w:iCs w:val="0"/>
          <w:caps w:val="0"/>
          <w:color w:val="auto"/>
          <w:spacing w:val="0"/>
          <w:kern w:val="0"/>
          <w:sz w:val="24"/>
          <w:szCs w:val="24"/>
          <w:highlight w:val="none"/>
          <w:shd w:val="clear"/>
          <w:lang w:val="en-US" w:eastAsia="zh-CN"/>
        </w:rPr>
        <w:t>控降成本费用，</w:t>
      </w:r>
      <w:r>
        <w:rPr>
          <w:rFonts w:hint="eastAsia" w:ascii="宋体" w:hAnsi="宋体" w:eastAsia="宋体" w:cs="宋体"/>
          <w:b w:val="0"/>
          <w:snapToGrid/>
          <w:color w:val="auto"/>
          <w:kern w:val="0"/>
          <w:sz w:val="24"/>
          <w:szCs w:val="24"/>
          <w:highlight w:val="none"/>
          <w:lang w:val="en-US" w:eastAsia="zh-CN"/>
        </w:rPr>
        <w:t>新能源板块克服市场化交易带来的电价下行，通过控降三项费用、财务费用等措施</w:t>
      </w:r>
      <w:r>
        <w:rPr>
          <w:rFonts w:hint="eastAsia" w:ascii="宋体" w:hAnsi="宋体" w:cs="宋体"/>
          <w:b w:val="0"/>
          <w:snapToGrid/>
          <w:color w:val="auto"/>
          <w:kern w:val="0"/>
          <w:sz w:val="24"/>
          <w:szCs w:val="24"/>
          <w:highlight w:val="none"/>
          <w:lang w:val="en-US" w:eastAsia="zh-CN"/>
        </w:rPr>
        <w:t>，共计提升</w:t>
      </w:r>
      <w:r>
        <w:rPr>
          <w:rFonts w:hint="eastAsia" w:ascii="宋体" w:hAnsi="宋体" w:cs="宋体"/>
          <w:i w:val="0"/>
          <w:iCs w:val="0"/>
          <w:caps w:val="0"/>
          <w:color w:val="auto"/>
          <w:spacing w:val="0"/>
          <w:kern w:val="0"/>
          <w:sz w:val="24"/>
          <w:szCs w:val="24"/>
          <w:highlight w:val="none"/>
          <w:shd w:val="clear"/>
          <w:lang w:val="en-US" w:eastAsia="zh-CN"/>
        </w:rPr>
        <w:t>售电单位利润21.12</w:t>
      </w:r>
      <w:r>
        <w:rPr>
          <w:rFonts w:hint="eastAsia" w:ascii="宋体" w:hAnsi="宋体" w:eastAsia="宋体" w:cs="宋体"/>
          <w:i w:val="0"/>
          <w:iCs w:val="0"/>
          <w:caps w:val="0"/>
          <w:color w:val="auto"/>
          <w:spacing w:val="0"/>
          <w:kern w:val="0"/>
          <w:sz w:val="24"/>
          <w:szCs w:val="24"/>
          <w:highlight w:val="none"/>
          <w:shd w:val="clear"/>
          <w:lang w:val="en-US" w:eastAsia="zh-CN"/>
        </w:rPr>
        <w:t>元/千千瓦时，</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b w:val="0"/>
          <w:bCs w:val="0"/>
          <w:color w:val="auto"/>
          <w:kern w:val="0"/>
          <w:sz w:val="24"/>
          <w:szCs w:val="24"/>
          <w:highlight w:val="none"/>
          <w:lang w:val="en-US" w:eastAsia="zh-CN"/>
        </w:rPr>
        <w:t>净利润</w:t>
      </w:r>
      <w:r>
        <w:rPr>
          <w:rFonts w:hint="eastAsia" w:ascii="宋体" w:hAnsi="宋体" w:cs="宋体"/>
          <w:color w:val="auto"/>
          <w:kern w:val="0"/>
          <w:sz w:val="24"/>
          <w:szCs w:val="24"/>
          <w:highlight w:val="none"/>
          <w:lang w:val="en-US" w:eastAsia="zh-CN" w:bidi="ar-SA"/>
        </w:rPr>
        <w:t>2.54</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snapToGrid/>
          <w:color w:val="auto"/>
          <w:kern w:val="0"/>
          <w:sz w:val="24"/>
          <w:szCs w:val="24"/>
          <w:highlight w:val="none"/>
          <w:lang w:val="en-US" w:eastAsia="zh-CN"/>
        </w:rPr>
        <w:t>二是通过</w:t>
      </w:r>
      <w:r>
        <w:rPr>
          <w:rFonts w:hint="eastAsia" w:ascii="宋体" w:hAnsi="宋体" w:eastAsia="宋体" w:cs="宋体"/>
          <w:b w:val="0"/>
          <w:snapToGrid/>
          <w:color w:val="auto"/>
          <w:kern w:val="0"/>
          <w:sz w:val="24"/>
          <w:szCs w:val="24"/>
          <w:highlight w:val="none"/>
        </w:rPr>
        <w:t>积极开展</w:t>
      </w:r>
      <w:r>
        <w:rPr>
          <w:rFonts w:hint="eastAsia" w:ascii="宋体" w:hAnsi="宋体" w:eastAsia="宋体" w:cs="宋体"/>
          <w:b w:val="0"/>
          <w:snapToGrid/>
          <w:color w:val="auto"/>
          <w:kern w:val="0"/>
          <w:sz w:val="24"/>
          <w:szCs w:val="24"/>
          <w:highlight w:val="none"/>
          <w:lang w:val="en-US" w:eastAsia="zh-CN"/>
        </w:rPr>
        <w:t>小水电</w:t>
      </w:r>
      <w:r>
        <w:rPr>
          <w:rFonts w:hint="eastAsia" w:ascii="宋体" w:hAnsi="宋体" w:eastAsia="宋体" w:cs="宋体"/>
          <w:b w:val="0"/>
          <w:snapToGrid/>
          <w:color w:val="auto"/>
          <w:kern w:val="0"/>
          <w:sz w:val="24"/>
          <w:szCs w:val="24"/>
          <w:highlight w:val="none"/>
        </w:rPr>
        <w:t>资产处置</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snapToGrid/>
          <w:color w:val="auto"/>
          <w:kern w:val="0"/>
          <w:sz w:val="24"/>
          <w:szCs w:val="24"/>
          <w:highlight w:val="none"/>
          <w:lang w:val="en-US" w:eastAsia="zh-CN"/>
        </w:rPr>
        <w:t>并</w:t>
      </w:r>
      <w:r>
        <w:rPr>
          <w:rFonts w:hint="eastAsia" w:ascii="宋体" w:hAnsi="宋体" w:eastAsia="宋体" w:cs="宋体"/>
          <w:b w:val="0"/>
          <w:snapToGrid/>
          <w:color w:val="auto"/>
          <w:kern w:val="0"/>
          <w:sz w:val="24"/>
          <w:szCs w:val="24"/>
          <w:highlight w:val="none"/>
        </w:rPr>
        <w:t>与政府协商</w:t>
      </w:r>
      <w:r>
        <w:rPr>
          <w:rFonts w:hint="eastAsia" w:ascii="宋体" w:hAnsi="宋体" w:eastAsia="宋体" w:cs="宋体"/>
          <w:b w:val="0"/>
          <w:snapToGrid/>
          <w:color w:val="auto"/>
          <w:kern w:val="0"/>
          <w:sz w:val="24"/>
          <w:szCs w:val="24"/>
          <w:highlight w:val="none"/>
          <w:lang w:val="en-US" w:eastAsia="zh-CN"/>
        </w:rPr>
        <w:t>获取</w:t>
      </w:r>
      <w:r>
        <w:rPr>
          <w:rFonts w:hint="eastAsia" w:ascii="宋体" w:hAnsi="宋体" w:eastAsia="宋体" w:cs="宋体"/>
          <w:b w:val="0"/>
          <w:bCs w:val="0"/>
          <w:color w:val="auto"/>
          <w:kern w:val="0"/>
          <w:sz w:val="24"/>
          <w:szCs w:val="24"/>
          <w:highlight w:val="none"/>
          <w:lang w:val="en-US" w:eastAsia="zh-CN"/>
        </w:rPr>
        <w:t>明英电站赔偿款</w:t>
      </w:r>
      <w:r>
        <w:rPr>
          <w:rFonts w:hint="eastAsia" w:ascii="宋体" w:hAnsi="宋体" w:eastAsia="宋体" w:cs="宋体"/>
          <w:b w:val="0"/>
          <w:snapToGrid/>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增加</w:t>
      </w:r>
      <w:r>
        <w:rPr>
          <w:rFonts w:hint="eastAsia" w:ascii="宋体" w:hAnsi="宋体" w:cs="宋体"/>
          <w:color w:val="auto"/>
          <w:kern w:val="0"/>
          <w:sz w:val="24"/>
          <w:szCs w:val="24"/>
          <w:highlight w:val="none"/>
          <w:lang w:val="en-US" w:eastAsia="zh-CN" w:bidi="ar-SA"/>
        </w:rPr>
        <w:t>营业利润</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亿元</w:t>
      </w:r>
      <w:r>
        <w:rPr>
          <w:rFonts w:hint="eastAsia" w:ascii="宋体" w:hAnsi="宋体" w:cs="宋体"/>
          <w:b w:val="0"/>
          <w:bCs w:val="0"/>
          <w:color w:val="auto"/>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收入</w:t>
      </w:r>
      <w:r>
        <w:rPr>
          <w:rFonts w:hint="eastAsia" w:ascii="宋体" w:hAnsi="宋体" w:cs="宋体"/>
          <w:b w:val="0"/>
          <w:bCs w:val="0"/>
          <w:color w:val="auto"/>
          <w:sz w:val="24"/>
          <w:szCs w:val="24"/>
          <w:highlight w:val="none"/>
          <w:lang w:eastAsia="zh-CN"/>
        </w:rPr>
        <w:t>、成本</w:t>
      </w:r>
      <w:r>
        <w:rPr>
          <w:rFonts w:hint="eastAsia" w:ascii="宋体" w:hAnsi="宋体" w:cs="宋体"/>
          <w:b w:val="0"/>
          <w:bCs w:val="0"/>
          <w:color w:val="auto"/>
          <w:sz w:val="24"/>
          <w:szCs w:val="24"/>
          <w:highlight w:val="none"/>
        </w:rPr>
        <w:t>构成</w:t>
      </w:r>
    </w:p>
    <w:p>
      <w:pPr>
        <w:pStyle w:val="15"/>
        <w:keepNext w:val="0"/>
        <w:keepLines w:val="0"/>
        <w:pageBreakBefore w:val="0"/>
        <w:numPr>
          <w:ilvl w:val="0"/>
          <w:numId w:val="0"/>
        </w:numPr>
        <w:kinsoku/>
        <w:overflowPunct/>
        <w:topLinePunct w:val="0"/>
        <w:bidi w:val="0"/>
        <w:spacing w:line="400" w:lineRule="exact"/>
        <w:ind w:leftChars="0"/>
        <w:jc w:val="left"/>
        <w:rPr>
          <w:rFonts w:hint="default" w:eastAsia="宋体"/>
          <w:b w:val="0"/>
          <w:bCs/>
          <w:color w:val="auto"/>
          <w:highlight w:val="none"/>
          <w:lang w:val="en-US" w:eastAsia="zh-CN"/>
        </w:rPr>
      </w:pPr>
      <w:r>
        <w:rPr>
          <w:rFonts w:hint="eastAsia" w:ascii="宋体" w:hAnsi="宋体" w:eastAsia="宋体" w:cs="宋体"/>
          <w:b w:val="0"/>
          <w:color w:val="auto"/>
          <w:kern w:val="0"/>
          <w:sz w:val="24"/>
          <w:szCs w:val="24"/>
          <w:highlight w:val="none"/>
          <w:lang w:val="en-US" w:eastAsia="zh-CN" w:bidi="ar-SA"/>
        </w:rPr>
        <w:t>单位：元</w:t>
      </w:r>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2225"/>
        <w:gridCol w:w="2133"/>
        <w:gridCol w:w="21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项目</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本期金额</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上期金额</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增减</w:t>
            </w:r>
            <w:r>
              <w:rPr>
                <w:rFonts w:hint="eastAsia" w:ascii="宋体" w:hAnsi="宋体" w:cs="宋体"/>
                <w:b w:val="0"/>
                <w:bCs w:val="0"/>
                <w:color w:val="auto"/>
                <w:kern w:val="0"/>
                <w:highlight w:val="none"/>
                <w:lang w:eastAsia="zh-CN"/>
              </w:rPr>
              <w:t>变动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主营业务收入</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15,338,363,901.00</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16,216,652,633.18</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-5.42%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其他业务收入</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982,641,978.66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1,004,588,293.56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-2.18%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主营业务成本</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13,922,336,128.69</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13,598,972,464.36</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2.38%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其他业务成本</w:t>
            </w:r>
          </w:p>
        </w:tc>
        <w:tc>
          <w:tcPr>
            <w:tcW w:w="22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862,235,433.87</w:t>
            </w:r>
          </w:p>
        </w:tc>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915,242,049.31</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2"/>
                <w:szCs w:val="22"/>
                <w:highlight w:val="none"/>
                <w:u w:val="none"/>
                <w:lang w:val="en-US" w:eastAsia="zh-CN" w:bidi="ar"/>
              </w:rPr>
              <w:t>-5.79%</w:t>
            </w:r>
          </w:p>
        </w:tc>
      </w:tr>
    </w:tbl>
    <w:p>
      <w:pPr>
        <w:keepNext w:val="0"/>
        <w:keepLines w:val="0"/>
        <w:pageBreakBefore w:val="0"/>
        <w:kinsoku/>
        <w:overflowPunct/>
        <w:topLinePunct w:val="0"/>
        <w:bidi w:val="0"/>
        <w:spacing w:line="400" w:lineRule="exact"/>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项目重大变动原因：</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1 \* GB3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cs="宋体"/>
          <w:bCs w:val="0"/>
          <w:color w:val="auto"/>
          <w:kern w:val="0"/>
          <w:sz w:val="24"/>
          <w:szCs w:val="24"/>
          <w:highlight w:val="none"/>
          <w:lang w:val="en-US" w:eastAsia="zh-CN" w:bidi="ar"/>
        </w:rPr>
        <w:t>主营</w:t>
      </w:r>
      <w:r>
        <w:rPr>
          <w:rFonts w:hint="eastAsia" w:ascii="宋体" w:hAnsi="宋体" w:eastAsia="宋体" w:cs="宋体"/>
          <w:bCs/>
          <w:color w:val="auto"/>
          <w:sz w:val="24"/>
          <w:szCs w:val="24"/>
          <w:highlight w:val="none"/>
        </w:rPr>
        <w:t>业务收入</w:t>
      </w:r>
    </w:p>
    <w:p>
      <w:pPr>
        <w:pStyle w:val="5"/>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eastAsia="zh-CN" w:bidi="ar"/>
        </w:rPr>
        <w:t>公司</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主营</w:t>
      </w:r>
      <w:r>
        <w:rPr>
          <w:rFonts w:hint="eastAsia" w:ascii="宋体" w:hAnsi="宋体" w:cs="宋体"/>
          <w:bCs/>
          <w:color w:val="auto"/>
          <w:sz w:val="24"/>
          <w:szCs w:val="24"/>
          <w:highlight w:val="none"/>
        </w:rPr>
        <w:t>业务收入</w:t>
      </w:r>
      <w:r>
        <w:rPr>
          <w:rFonts w:hint="eastAsia" w:ascii="宋体" w:hAnsi="宋体" w:eastAsia="宋体" w:cs="宋体"/>
          <w:bCs/>
          <w:i w:val="0"/>
          <w:iCs w:val="0"/>
          <w:color w:val="auto"/>
          <w:kern w:val="2"/>
          <w:sz w:val="24"/>
          <w:szCs w:val="24"/>
          <w:highlight w:val="none"/>
          <w:u w:val="none"/>
          <w:lang w:val="en-US" w:eastAsia="zh-CN" w:bidi="ar"/>
        </w:rPr>
        <w:t>15,338,363,901.00</w:t>
      </w:r>
      <w:r>
        <w:rPr>
          <w:rFonts w:hint="eastAsia" w:ascii="宋体" w:hAnsi="宋体" w:cs="宋体"/>
          <w:color w:val="auto"/>
          <w:sz w:val="24"/>
          <w:szCs w:val="24"/>
          <w:highlight w:val="none"/>
        </w:rPr>
        <w:t>元，同比</w:t>
      </w:r>
      <w:r>
        <w:rPr>
          <w:rFonts w:hint="eastAsia" w:ascii="宋体" w:hAnsi="宋体" w:cs="宋体"/>
          <w:color w:val="auto"/>
          <w:sz w:val="24"/>
          <w:szCs w:val="24"/>
          <w:highlight w:val="none"/>
          <w:lang w:val="en-US" w:eastAsia="zh-CN"/>
        </w:rPr>
        <w:t>减少</w:t>
      </w:r>
      <w:r>
        <w:rPr>
          <w:rFonts w:hint="eastAsia" w:ascii="宋体" w:hAnsi="宋体" w:cs="宋体"/>
          <w:color w:val="auto"/>
          <w:sz w:val="24"/>
          <w:szCs w:val="24"/>
          <w:highlight w:val="none"/>
        </w:rPr>
        <w:t>878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288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732.18元，</w:t>
      </w:r>
      <w:r>
        <w:rPr>
          <w:rFonts w:hint="eastAsia" w:ascii="宋体" w:hAnsi="宋体" w:cs="宋体"/>
          <w:color w:val="auto"/>
          <w:sz w:val="24"/>
          <w:szCs w:val="24"/>
          <w:highlight w:val="none"/>
          <w:lang w:val="en-US" w:eastAsia="zh-CN"/>
        </w:rPr>
        <w:t>降</w:t>
      </w:r>
      <w:r>
        <w:rPr>
          <w:rFonts w:hint="eastAsia" w:ascii="宋体" w:hAnsi="宋体" w:cs="宋体"/>
          <w:color w:val="auto"/>
          <w:sz w:val="24"/>
          <w:szCs w:val="24"/>
          <w:highlight w:val="none"/>
          <w:lang w:eastAsia="zh-CN"/>
        </w:rPr>
        <w:t>幅</w:t>
      </w:r>
      <w:r>
        <w:rPr>
          <w:rFonts w:hint="eastAsia" w:ascii="宋体" w:hAnsi="宋体" w:cs="宋体"/>
          <w:color w:val="auto"/>
          <w:sz w:val="24"/>
          <w:szCs w:val="24"/>
          <w:highlight w:val="none"/>
          <w:lang w:val="en-US" w:eastAsia="zh-CN"/>
        </w:rPr>
        <w:t>5.42%</w:t>
      </w:r>
      <w:r>
        <w:rPr>
          <w:rFonts w:hint="eastAsia" w:ascii="宋体" w:hAnsi="宋体" w:cs="宋体"/>
          <w:color w:val="auto"/>
          <w:sz w:val="24"/>
          <w:szCs w:val="24"/>
          <w:highlight w:val="none"/>
        </w:rPr>
        <w:t>。变动的主要原因：</w:t>
      </w:r>
      <w:r>
        <w:rPr>
          <w:rFonts w:hint="eastAsia" w:ascii="宋体" w:hAnsi="宋体" w:cs="宋体"/>
          <w:color w:val="auto"/>
          <w:sz w:val="24"/>
          <w:szCs w:val="24"/>
          <w:highlight w:val="none"/>
          <w:lang w:val="en-US" w:eastAsia="zh-CN"/>
        </w:rPr>
        <w:t>火电板块负荷率同比下降</w:t>
      </w:r>
      <w:r>
        <w:rPr>
          <w:rFonts w:hint="eastAsia" w:ascii="宋体" w:hAnsi="宋体" w:cs="宋体"/>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2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bidi="ar"/>
        </w:rPr>
        <w:fldChar w:fldCharType="end"/>
      </w:r>
      <w:r>
        <w:rPr>
          <w:rFonts w:hint="eastAsia" w:ascii="宋体" w:hAnsi="宋体" w:cs="宋体"/>
          <w:bCs w:val="0"/>
          <w:color w:val="auto"/>
          <w:kern w:val="0"/>
          <w:sz w:val="24"/>
          <w:szCs w:val="24"/>
          <w:highlight w:val="none"/>
          <w:lang w:val="en-US" w:eastAsia="zh-CN" w:bidi="ar"/>
        </w:rPr>
        <w:t>主营</w:t>
      </w:r>
      <w:r>
        <w:rPr>
          <w:rFonts w:hint="eastAsia" w:ascii="宋体" w:hAnsi="宋体" w:eastAsia="宋体" w:cs="宋体"/>
          <w:bCs/>
          <w:color w:val="auto"/>
          <w:sz w:val="24"/>
          <w:szCs w:val="24"/>
          <w:highlight w:val="none"/>
        </w:rPr>
        <w:t>业务成本</w:t>
      </w:r>
    </w:p>
    <w:p>
      <w:pPr>
        <w:pStyle w:val="5"/>
        <w:keepNext w:val="0"/>
        <w:keepLines w:val="0"/>
        <w:pageBreakBefore w:val="0"/>
        <w:kinsoku/>
        <w:overflowPunct/>
        <w:topLinePunct w:val="0"/>
        <w:bidi w:val="0"/>
        <w:spacing w:line="40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4"/>
          <w:highlight w:val="none"/>
          <w:lang w:eastAsia="zh-CN" w:bidi="ar"/>
        </w:rPr>
        <w:t>公司</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kern w:val="2"/>
          <w:sz w:val="24"/>
          <w:szCs w:val="24"/>
          <w:highlight w:val="none"/>
          <w:lang w:val="en-US" w:eastAsia="zh-CN" w:bidi="ar"/>
        </w:rPr>
        <w:t>主营</w:t>
      </w:r>
      <w:r>
        <w:rPr>
          <w:rFonts w:hint="eastAsia" w:ascii="宋体" w:hAnsi="宋体" w:eastAsia="宋体" w:cs="宋体"/>
          <w:bCs/>
          <w:color w:val="auto"/>
          <w:sz w:val="24"/>
          <w:szCs w:val="24"/>
          <w:highlight w:val="none"/>
        </w:rPr>
        <w:t>业务成本</w:t>
      </w:r>
      <w:r>
        <w:rPr>
          <w:rFonts w:hint="eastAsia" w:ascii="宋体" w:hAnsi="宋体" w:eastAsia="宋体" w:cs="宋体"/>
          <w:bCs/>
          <w:i w:val="0"/>
          <w:iCs w:val="0"/>
          <w:color w:val="auto"/>
          <w:kern w:val="2"/>
          <w:sz w:val="24"/>
          <w:szCs w:val="24"/>
          <w:highlight w:val="none"/>
          <w:u w:val="none"/>
          <w:lang w:val="en-US" w:eastAsia="zh-CN" w:bidi="ar"/>
        </w:rPr>
        <w:t>13,922,336,128.69</w:t>
      </w:r>
      <w:r>
        <w:rPr>
          <w:rFonts w:hint="eastAsia" w:ascii="宋体" w:hAnsi="宋体" w:cs="宋体"/>
          <w:bCs/>
          <w:color w:val="auto"/>
          <w:sz w:val="24"/>
          <w:szCs w:val="24"/>
          <w:highlight w:val="none"/>
        </w:rPr>
        <w:t>元。同比</w:t>
      </w:r>
      <w:r>
        <w:rPr>
          <w:rFonts w:hint="eastAsia" w:ascii="宋体" w:hAnsi="宋体" w:cs="宋体"/>
          <w:bCs/>
          <w:color w:val="auto"/>
          <w:sz w:val="24"/>
          <w:szCs w:val="24"/>
          <w:highlight w:val="none"/>
          <w:lang w:val="en-US" w:eastAsia="zh-CN"/>
        </w:rPr>
        <w:t>增加</w:t>
      </w:r>
      <w:r>
        <w:rPr>
          <w:rFonts w:hint="eastAsia" w:ascii="宋体" w:hAnsi="宋体" w:cs="宋体"/>
          <w:bCs/>
          <w:color w:val="auto"/>
          <w:sz w:val="24"/>
          <w:szCs w:val="24"/>
          <w:highlight w:val="none"/>
        </w:rPr>
        <w:t>323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363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664.33元，</w:t>
      </w:r>
      <w:r>
        <w:rPr>
          <w:rFonts w:hint="eastAsia" w:ascii="宋体" w:hAnsi="宋体" w:cs="宋体"/>
          <w:bCs/>
          <w:color w:val="auto"/>
          <w:sz w:val="24"/>
          <w:szCs w:val="24"/>
          <w:highlight w:val="none"/>
          <w:lang w:val="en-US" w:eastAsia="zh-CN"/>
        </w:rPr>
        <w:t>增</w:t>
      </w:r>
      <w:r>
        <w:rPr>
          <w:rFonts w:hint="eastAsia" w:ascii="宋体" w:hAnsi="宋体" w:cs="宋体"/>
          <w:bCs/>
          <w:color w:val="auto"/>
          <w:sz w:val="24"/>
          <w:szCs w:val="24"/>
          <w:highlight w:val="none"/>
          <w:lang w:eastAsia="zh-CN"/>
        </w:rPr>
        <w:t>幅</w:t>
      </w:r>
      <w:r>
        <w:rPr>
          <w:rFonts w:hint="eastAsia" w:ascii="宋体" w:hAnsi="宋体" w:cs="宋体"/>
          <w:bCs/>
          <w:color w:val="auto"/>
          <w:kern w:val="2"/>
          <w:sz w:val="24"/>
          <w:szCs w:val="24"/>
          <w:highlight w:val="none"/>
          <w:lang w:val="en-US" w:eastAsia="zh-CN" w:bidi="ar"/>
        </w:rPr>
        <w:t>2.38%</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shd w:val="clear"/>
        </w:rPr>
        <w:t>变动的主要原因：</w:t>
      </w:r>
      <w:r>
        <w:rPr>
          <w:rFonts w:hint="eastAsia" w:ascii="宋体" w:hAnsi="宋体" w:eastAsia="宋体" w:cs="宋体"/>
          <w:b w:val="0"/>
          <w:bCs/>
          <w:color w:val="auto"/>
          <w:kern w:val="2"/>
          <w:sz w:val="24"/>
          <w:szCs w:val="24"/>
          <w:highlight w:val="none"/>
          <w:u w:val="none"/>
          <w:lang w:val="en-US" w:eastAsia="zh-CN" w:bidi="ar"/>
        </w:rPr>
        <w:t>贵州能源对能发燃料公司定向增发，在控股权转让过程中，合作双方对涉及会计估计差异及前期煤炭销售热值差异进行调整，</w:t>
      </w:r>
      <w:r>
        <w:rPr>
          <w:rFonts w:hint="eastAsia" w:ascii="宋体" w:hAnsi="宋体" w:eastAsia="宋体" w:cs="宋体"/>
          <w:bCs/>
          <w:color w:val="auto"/>
          <w:kern w:val="2"/>
          <w:sz w:val="24"/>
          <w:szCs w:val="24"/>
          <w:highlight w:val="none"/>
          <w:u w:val="none"/>
          <w:lang w:val="en-US" w:eastAsia="zh-CN" w:bidi="ar"/>
        </w:rPr>
        <w:t>营业成本同比增加。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现金流量状况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单位</w:t>
      </w:r>
      <w:r>
        <w:rPr>
          <w:color w:val="auto"/>
          <w:highlight w:val="none"/>
        </w:rPr>
        <w:t>：</w:t>
      </w:r>
      <w:r>
        <w:rPr>
          <w:rFonts w:hint="eastAsia"/>
          <w:color w:val="auto"/>
          <w:highlight w:val="none"/>
        </w:rPr>
        <w:t>元</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2183"/>
        <w:gridCol w:w="2033"/>
        <w:gridCol w:w="1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top w:val="single" w:color="auto" w:sz="4" w:space="0"/>
              <w:left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项目</w:t>
            </w:r>
          </w:p>
        </w:tc>
        <w:tc>
          <w:tcPr>
            <w:tcW w:w="2183" w:type="dxa"/>
            <w:tcBorders>
              <w:top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本期金额</w:t>
            </w:r>
          </w:p>
        </w:tc>
        <w:tc>
          <w:tcPr>
            <w:tcW w:w="2033" w:type="dxa"/>
            <w:tcBorders>
              <w:top w:val="single" w:color="auto" w:sz="4" w:space="0"/>
            </w:tcBorders>
            <w:noWrap w:val="0"/>
            <w:vAlign w:val="center"/>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上期金额</w:t>
            </w:r>
          </w:p>
        </w:tc>
        <w:tc>
          <w:tcPr>
            <w:tcW w:w="1290" w:type="dxa"/>
            <w:tcBorders>
              <w:top w:val="single" w:color="auto" w:sz="4" w:space="0"/>
              <w:right w:val="single" w:color="auto" w:sz="4" w:space="0"/>
            </w:tcBorders>
            <w:noWrap w:val="0"/>
            <w:vAlign w:val="top"/>
          </w:tcPr>
          <w:p>
            <w:pPr>
              <w:keepNext w:val="0"/>
              <w:keepLines w:val="0"/>
              <w:pageBreakBefore w:val="0"/>
              <w:tabs>
                <w:tab w:val="left" w:pos="5140"/>
              </w:tabs>
              <w:kinsoku/>
              <w:overflowPunct/>
              <w:topLinePunct w:val="0"/>
              <w:bidi w:val="0"/>
              <w:spacing w:line="400" w:lineRule="exact"/>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增减</w:t>
            </w:r>
            <w:r>
              <w:rPr>
                <w:rFonts w:hint="eastAsia" w:ascii="宋体" w:hAnsi="宋体" w:cs="宋体"/>
                <w:b w:val="0"/>
                <w:bCs w:val="0"/>
                <w:color w:val="auto"/>
                <w:kern w:val="0"/>
                <w:highlight w:val="none"/>
                <w:lang w:eastAsia="zh-CN"/>
              </w:rPr>
              <w:t>变动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经营活动产生的现金流量净额</w:t>
            </w:r>
          </w:p>
        </w:tc>
        <w:tc>
          <w:tcPr>
            <w:tcW w:w="2183" w:type="dxa"/>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5,190,784,702.52</w:t>
            </w:r>
          </w:p>
        </w:tc>
        <w:tc>
          <w:tcPr>
            <w:tcW w:w="2033" w:type="dxa"/>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3,523,385,554.48</w:t>
            </w:r>
          </w:p>
        </w:tc>
        <w:tc>
          <w:tcPr>
            <w:tcW w:w="1290" w:type="dxa"/>
            <w:tcBorders>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47.32%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投资活动产生的现金流量净额</w:t>
            </w:r>
          </w:p>
        </w:tc>
        <w:tc>
          <w:tcPr>
            <w:tcW w:w="2183" w:type="dxa"/>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-5,587,553,763.03</w:t>
            </w:r>
          </w:p>
        </w:tc>
        <w:tc>
          <w:tcPr>
            <w:tcW w:w="2033" w:type="dxa"/>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-7,018,623,832.53</w:t>
            </w:r>
          </w:p>
        </w:tc>
        <w:tc>
          <w:tcPr>
            <w:tcW w:w="1290" w:type="dxa"/>
            <w:tcBorders>
              <w:right w:val="single" w:color="auto" w:sz="4" w:space="0"/>
            </w:tcBorders>
            <w:noWrap w:val="0"/>
            <w:vAlign w:val="top"/>
          </w:tcPr>
          <w:p>
            <w:pPr>
              <w:keepNext w:val="0"/>
              <w:keepLines w:val="0"/>
              <w:pageBreakBefore w:val="0"/>
              <w:widowControl/>
              <w:suppressLineNumbers w:val="0"/>
              <w:kinsoku/>
              <w:overflowPunct/>
              <w:topLinePunct w:val="0"/>
              <w:bidi w:val="0"/>
              <w:spacing w:line="400" w:lineRule="exact"/>
              <w:jc w:val="left"/>
              <w:textAlignment w:val="top"/>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-20.39%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21" w:type="dxa"/>
            <w:tcBorders>
              <w:left w:val="single" w:color="auto" w:sz="4" w:space="0"/>
              <w:bottom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筹资活动产生的现金流量净额</w:t>
            </w:r>
          </w:p>
        </w:tc>
        <w:tc>
          <w:tcPr>
            <w:tcW w:w="2183" w:type="dxa"/>
            <w:tcBorders>
              <w:bottom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cs="宋体"/>
                <w:color w:val="auto"/>
                <w:kern w:val="0"/>
                <w:sz w:val="20"/>
                <w:szCs w:val="20"/>
                <w:highlight w:val="none"/>
                <w:u w:val="none"/>
                <w:lang w:bidi="ar"/>
              </w:rPr>
              <w:t>913,678,994.29</w:t>
            </w:r>
          </w:p>
        </w:tc>
        <w:tc>
          <w:tcPr>
            <w:tcW w:w="2033" w:type="dxa"/>
            <w:tcBorders>
              <w:bottom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cs="宋体"/>
                <w:color w:val="auto"/>
                <w:kern w:val="0"/>
                <w:sz w:val="20"/>
                <w:szCs w:val="20"/>
                <w:highlight w:val="none"/>
                <w:u w:val="none"/>
                <w:lang w:bidi="ar"/>
              </w:rPr>
              <w:t>1,044,180,158.89</w:t>
            </w:r>
          </w:p>
        </w:tc>
        <w:tc>
          <w:tcPr>
            <w:tcW w:w="1290" w:type="dxa"/>
            <w:tcBorders>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0"/>
                <w:szCs w:val="20"/>
                <w:highlight w:val="none"/>
                <w:u w:val="none"/>
                <w:lang w:val="en-US" w:eastAsia="zh-CN" w:bidi="ar"/>
              </w:rPr>
              <w:t>-12.50%</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Cs/>
          <w:color w:val="auto"/>
          <w:sz w:val="24"/>
          <w:szCs w:val="24"/>
          <w:highlight w:val="none"/>
        </w:rPr>
      </w:pPr>
    </w:p>
    <w:p>
      <w:pPr>
        <w:pStyle w:val="6"/>
        <w:keepNext w:val="0"/>
        <w:keepLines w:val="0"/>
        <w:pageBreakBefore w:val="0"/>
        <w:kinsoku/>
        <w:overflowPunct/>
        <w:topLinePunct w:val="0"/>
        <w:bidi w:val="0"/>
        <w:spacing w:line="400" w:lineRule="exact"/>
        <w:ind w:left="0"/>
        <w:jc w:val="center"/>
        <w:outlineLvl w:val="0"/>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fldChar w:fldCharType="begin"/>
      </w:r>
      <w:r>
        <w:rPr>
          <w:rFonts w:hint="eastAsia" w:ascii="黑体" w:hAnsi="黑体" w:eastAsia="黑体" w:cs="黑体"/>
          <w:b/>
          <w:bCs/>
          <w:color w:val="auto"/>
          <w:kern w:val="2"/>
          <w:sz w:val="28"/>
          <w:szCs w:val="28"/>
          <w:highlight w:val="none"/>
          <w:lang w:val="en-US" w:eastAsia="zh-CN" w:bidi="ar-SA"/>
        </w:rPr>
        <w:instrText xml:space="preserve"> HYPERLINK \l "_Toc129711704" </w:instrText>
      </w:r>
      <w:r>
        <w:rPr>
          <w:rFonts w:hint="eastAsia" w:ascii="黑体" w:hAnsi="黑体" w:eastAsia="黑体" w:cs="黑体"/>
          <w:b/>
          <w:bCs/>
          <w:color w:val="auto"/>
          <w:kern w:val="2"/>
          <w:sz w:val="28"/>
          <w:szCs w:val="28"/>
          <w:highlight w:val="none"/>
          <w:lang w:val="en-US" w:eastAsia="zh-CN" w:bidi="ar-SA"/>
        </w:rPr>
        <w:fldChar w:fldCharType="separate"/>
      </w:r>
      <w:r>
        <w:rPr>
          <w:rFonts w:hint="eastAsia" w:ascii="黑体" w:hAnsi="黑体" w:eastAsia="黑体" w:cs="黑体"/>
          <w:b/>
          <w:bCs/>
          <w:color w:val="auto"/>
          <w:kern w:val="2"/>
          <w:sz w:val="28"/>
          <w:szCs w:val="28"/>
          <w:highlight w:val="none"/>
          <w:lang w:val="en-US" w:eastAsia="zh-CN" w:bidi="ar-SA"/>
        </w:rPr>
        <w:t>第四节 董事、监事、高级管理人员情况</w:t>
      </w:r>
      <w:r>
        <w:rPr>
          <w:rFonts w:hint="eastAsia" w:ascii="黑体" w:hAnsi="黑体" w:eastAsia="黑体" w:cs="黑体"/>
          <w:b/>
          <w:bCs/>
          <w:color w:val="auto"/>
          <w:kern w:val="2"/>
          <w:sz w:val="28"/>
          <w:szCs w:val="28"/>
          <w:highlight w:val="none"/>
          <w:lang w:val="en-US" w:eastAsia="zh-CN" w:bidi="ar-SA"/>
        </w:rPr>
        <w:fldChar w:fldCharType="end"/>
      </w:r>
      <w:bookmarkEnd w:id="7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eastAsia="宋体"/>
          <w:b/>
          <w:color w:val="auto"/>
          <w:sz w:val="24"/>
          <w:szCs w:val="24"/>
          <w:highlight w:val="none"/>
          <w:lang w:eastAsia="zh-CN"/>
        </w:rPr>
      </w:pPr>
      <w:r>
        <w:rPr>
          <w:rFonts w:hint="eastAsia"/>
          <w:b w:val="0"/>
          <w:bCs/>
          <w:color w:val="auto"/>
          <w:sz w:val="24"/>
          <w:szCs w:val="24"/>
          <w:highlight w:val="none"/>
        </w:rPr>
        <w:t>略</w:t>
      </w:r>
      <w:r>
        <w:rPr>
          <w:rFonts w:hint="eastAsia"/>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color w:val="auto"/>
          <w:sz w:val="24"/>
          <w:highlight w:val="none"/>
        </w:rPr>
      </w:pPr>
    </w:p>
    <w:p>
      <w:pPr>
        <w:pStyle w:val="6"/>
        <w:keepNext w:val="0"/>
        <w:keepLines w:val="0"/>
        <w:pageBreakBefore w:val="0"/>
        <w:kinsoku/>
        <w:overflowPunct/>
        <w:topLinePunct w:val="0"/>
        <w:bidi w:val="0"/>
        <w:spacing w:line="400" w:lineRule="exact"/>
        <w:ind w:left="0"/>
        <w:jc w:val="center"/>
        <w:outlineLvl w:val="0"/>
        <w:rPr>
          <w:rFonts w:hint="eastAsia" w:ascii="黑体" w:hAnsi="黑体" w:eastAsia="黑体" w:cs="黑体"/>
          <w:b/>
          <w:bCs/>
          <w:color w:val="auto"/>
          <w:kern w:val="2"/>
          <w:sz w:val="28"/>
          <w:szCs w:val="28"/>
          <w:highlight w:val="none"/>
          <w:lang w:val="en-US" w:eastAsia="zh-CN" w:bidi="ar-SA"/>
        </w:rPr>
      </w:pPr>
      <w:bookmarkStart w:id="76" w:name="_Toc28744"/>
      <w:r>
        <w:rPr>
          <w:rFonts w:hint="eastAsia" w:ascii="黑体" w:hAnsi="黑体" w:eastAsia="黑体" w:cs="黑体"/>
          <w:b/>
          <w:bCs/>
          <w:color w:val="auto"/>
          <w:kern w:val="2"/>
          <w:sz w:val="28"/>
          <w:szCs w:val="28"/>
          <w:highlight w:val="none"/>
          <w:lang w:val="en-US" w:eastAsia="zh-CN" w:bidi="ar-SA"/>
        </w:rPr>
        <w:fldChar w:fldCharType="begin"/>
      </w:r>
      <w:r>
        <w:rPr>
          <w:rFonts w:hint="eastAsia" w:ascii="黑体" w:hAnsi="黑体" w:eastAsia="黑体" w:cs="黑体"/>
          <w:b/>
          <w:bCs/>
          <w:color w:val="auto"/>
          <w:kern w:val="2"/>
          <w:sz w:val="28"/>
          <w:szCs w:val="28"/>
          <w:highlight w:val="none"/>
          <w:lang w:val="en-US" w:eastAsia="zh-CN" w:bidi="ar-SA"/>
        </w:rPr>
        <w:instrText xml:space="preserve"> HYPERLINK \l "_Toc129711705" </w:instrText>
      </w:r>
      <w:r>
        <w:rPr>
          <w:rFonts w:hint="eastAsia" w:ascii="黑体" w:hAnsi="黑体" w:eastAsia="黑体" w:cs="黑体"/>
          <w:b/>
          <w:bCs/>
          <w:color w:val="auto"/>
          <w:kern w:val="2"/>
          <w:sz w:val="28"/>
          <w:szCs w:val="28"/>
          <w:highlight w:val="none"/>
          <w:lang w:val="en-US" w:eastAsia="zh-CN" w:bidi="ar-SA"/>
        </w:rPr>
        <w:fldChar w:fldCharType="separate"/>
      </w:r>
      <w:r>
        <w:rPr>
          <w:rFonts w:hint="eastAsia" w:ascii="黑体" w:hAnsi="黑体" w:eastAsia="黑体" w:cs="黑体"/>
          <w:b/>
          <w:bCs/>
          <w:color w:val="auto"/>
          <w:kern w:val="2"/>
          <w:sz w:val="28"/>
          <w:szCs w:val="28"/>
          <w:highlight w:val="none"/>
          <w:lang w:val="en-US" w:eastAsia="zh-CN" w:bidi="ar-SA"/>
        </w:rPr>
        <w:t>第五节 公司治理、内部控制和投资者保护</w:t>
      </w:r>
      <w:r>
        <w:rPr>
          <w:rFonts w:hint="eastAsia" w:ascii="黑体" w:hAnsi="黑体" w:eastAsia="黑体" w:cs="黑体"/>
          <w:b/>
          <w:bCs/>
          <w:color w:val="auto"/>
          <w:kern w:val="2"/>
          <w:sz w:val="28"/>
          <w:szCs w:val="28"/>
          <w:highlight w:val="none"/>
          <w:lang w:val="en-US" w:eastAsia="zh-CN" w:bidi="ar-SA"/>
        </w:rPr>
        <w:fldChar w:fldCharType="end"/>
      </w:r>
      <w:bookmarkEnd w:id="7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b w:val="0"/>
          <w:bCs/>
          <w:color w:val="auto"/>
          <w:sz w:val="24"/>
          <w:szCs w:val="24"/>
          <w:highlight w:val="none"/>
          <w:lang w:eastAsia="zh-CN"/>
        </w:rPr>
      </w:pPr>
      <w:r>
        <w:rPr>
          <w:rFonts w:hint="eastAsia"/>
          <w:b w:val="0"/>
          <w:bCs/>
          <w:color w:val="auto"/>
          <w:sz w:val="24"/>
          <w:szCs w:val="24"/>
          <w:highlight w:val="none"/>
        </w:rPr>
        <w:t>略</w:t>
      </w:r>
      <w:r>
        <w:rPr>
          <w:rFonts w:hint="eastAsia"/>
          <w:b w:val="0"/>
          <w:bCs/>
          <w:color w:val="auto"/>
          <w:sz w:val="24"/>
          <w:szCs w:val="24"/>
          <w:highlight w:val="none"/>
          <w:lang w:eastAsia="zh-CN"/>
        </w:rPr>
        <w:t>。</w:t>
      </w:r>
    </w:p>
    <w:p>
      <w:pPr>
        <w:pStyle w:val="2"/>
        <w:rPr>
          <w:rFonts w:hint="eastAsia"/>
          <w:lang w:eastAsia="zh-CN"/>
        </w:rPr>
      </w:pPr>
    </w:p>
    <w:p>
      <w:pPr>
        <w:pStyle w:val="6"/>
        <w:keepNext w:val="0"/>
        <w:keepLines w:val="0"/>
        <w:pageBreakBefore w:val="0"/>
        <w:kinsoku/>
        <w:overflowPunct/>
        <w:topLinePunct w:val="0"/>
        <w:bidi w:val="0"/>
        <w:spacing w:line="400" w:lineRule="exact"/>
        <w:ind w:left="0"/>
        <w:jc w:val="center"/>
        <w:outlineLvl w:val="0"/>
        <w:rPr>
          <w:rFonts w:hint="eastAsia" w:ascii="黑体" w:hAnsi="黑体" w:eastAsia="黑体" w:cs="黑体"/>
          <w:b/>
          <w:bCs/>
          <w:color w:val="auto"/>
          <w:kern w:val="2"/>
          <w:sz w:val="28"/>
          <w:szCs w:val="28"/>
          <w:highlight w:val="none"/>
          <w:lang w:val="en-US" w:eastAsia="zh-CN" w:bidi="ar-SA"/>
        </w:rPr>
      </w:pPr>
      <w:bookmarkStart w:id="77" w:name="_Toc30720"/>
      <w:bookmarkStart w:id="78" w:name="_Toc17267"/>
      <w:r>
        <w:rPr>
          <w:rFonts w:hint="eastAsia" w:ascii="黑体" w:hAnsi="黑体" w:eastAsia="黑体" w:cs="黑体"/>
          <w:b/>
          <w:bCs/>
          <w:color w:val="auto"/>
          <w:kern w:val="2"/>
          <w:sz w:val="28"/>
          <w:szCs w:val="28"/>
          <w:highlight w:val="none"/>
          <w:lang w:val="en-US" w:eastAsia="zh-CN" w:bidi="ar-SA"/>
        </w:rPr>
        <w:t>第六节 重要事项</w:t>
      </w:r>
    </w:p>
    <w:p>
      <w:pPr>
        <w:pStyle w:val="15"/>
        <w:keepNext w:val="0"/>
        <w:keepLines w:val="0"/>
        <w:pageBreakBefore w:val="0"/>
        <w:kinsoku/>
        <w:overflowPunct/>
        <w:topLinePunct w:val="0"/>
        <w:bidi w:val="0"/>
        <w:spacing w:line="400" w:lineRule="exact"/>
        <w:ind w:firstLine="482" w:firstLineChars="200"/>
        <w:jc w:val="left"/>
        <w:rPr>
          <w:rFonts w:hint="default"/>
          <w:color w:val="auto"/>
          <w:highlight w:val="none"/>
          <w:lang w:val="en-US" w:eastAsia="zh-CN"/>
        </w:rPr>
      </w:pPr>
      <w:r>
        <w:rPr>
          <w:rFonts w:hint="eastAsia" w:ascii="宋体" w:hAnsi="宋体" w:cs="宋体"/>
          <w:b/>
          <w:color w:val="auto"/>
          <w:kern w:val="2"/>
          <w:sz w:val="24"/>
          <w:szCs w:val="24"/>
          <w:highlight w:val="none"/>
          <w:lang w:val="en-US" w:eastAsia="zh-CN" w:bidi="ar-SA"/>
        </w:rPr>
        <w:t>（一）股东及股份基本情况</w:t>
      </w:r>
    </w:p>
    <w:p>
      <w:pPr>
        <w:pStyle w:val="6"/>
        <w:keepNext w:val="0"/>
        <w:keepLines w:val="0"/>
        <w:pageBreakBefore w:val="0"/>
        <w:kinsoku/>
        <w:overflowPunct/>
        <w:topLinePunct w:val="0"/>
        <w:bidi w:val="0"/>
        <w:spacing w:line="400" w:lineRule="exact"/>
        <w:ind w:left="0"/>
        <w:jc w:val="left"/>
        <w:rPr>
          <w:rFonts w:hint="eastAsia"/>
          <w:color w:val="auto"/>
          <w:highlight w:val="none"/>
          <w:lang w:eastAsia="zh-CN"/>
        </w:rPr>
      </w:pPr>
      <w:r>
        <w:rPr>
          <w:rFonts w:hint="eastAsia" w:cs="宋体"/>
          <w:color w:val="auto"/>
          <w:sz w:val="21"/>
          <w:szCs w:val="21"/>
          <w:highlight w:val="none"/>
          <w:lang w:eastAsia="zh-CN"/>
        </w:rPr>
        <w:t>单位：万元</w:t>
      </w:r>
    </w:p>
    <w:tbl>
      <w:tblPr>
        <w:tblStyle w:val="22"/>
        <w:tblW w:w="8498"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51"/>
        <w:gridCol w:w="2705"/>
        <w:gridCol w:w="2049"/>
        <w:gridCol w:w="1417"/>
        <w:gridCol w:w="15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4" w:hRule="exact"/>
        </w:trPr>
        <w:tc>
          <w:tcPr>
            <w:tcW w:w="751" w:type="dxa"/>
            <w:noWrap w:val="0"/>
            <w:vAlign w:val="center"/>
          </w:tcPr>
          <w:p>
            <w:pPr>
              <w:pStyle w:val="40"/>
              <w:keepNext w:val="0"/>
              <w:keepLines w:val="0"/>
              <w:pageBreakBefore w:val="0"/>
              <w:kinsoku/>
              <w:overflowPunct/>
              <w:topLinePunct w:val="0"/>
              <w:bidi w:val="0"/>
              <w:spacing w:line="400" w:lineRule="exact"/>
              <w:ind w:left="103" w:right="103"/>
              <w:jc w:val="left"/>
              <w:rPr>
                <w:rFonts w:hint="eastAsia"/>
                <w:b/>
                <w:bCs/>
                <w:color w:val="auto"/>
                <w:sz w:val="21"/>
                <w:szCs w:val="21"/>
                <w:highlight w:val="none"/>
              </w:rPr>
            </w:pPr>
            <w:r>
              <w:rPr>
                <w:rFonts w:hint="eastAsia"/>
                <w:b/>
                <w:bCs/>
                <w:color w:val="auto"/>
                <w:sz w:val="21"/>
                <w:szCs w:val="21"/>
                <w:highlight w:val="none"/>
              </w:rPr>
              <w:t>序号</w:t>
            </w:r>
          </w:p>
        </w:tc>
        <w:tc>
          <w:tcPr>
            <w:tcW w:w="2705"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b/>
                <w:bCs/>
                <w:color w:val="auto"/>
                <w:sz w:val="21"/>
                <w:szCs w:val="21"/>
                <w:highlight w:val="none"/>
                <w:lang w:eastAsia="en-US"/>
              </w:rPr>
            </w:pPr>
            <w:r>
              <w:rPr>
                <w:rFonts w:hint="eastAsia" w:ascii="宋体" w:hAnsi="宋体" w:eastAsia="宋体" w:cs="宋体"/>
                <w:b/>
                <w:bCs/>
                <w:color w:val="auto"/>
                <w:sz w:val="21"/>
                <w:szCs w:val="21"/>
                <w:highlight w:val="none"/>
                <w:lang w:eastAsia="en-US"/>
              </w:rPr>
              <w:t>股东名称</w:t>
            </w:r>
          </w:p>
        </w:tc>
        <w:tc>
          <w:tcPr>
            <w:tcW w:w="2049"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b/>
                <w:bCs/>
                <w:color w:val="auto"/>
                <w:kern w:val="2"/>
                <w:sz w:val="21"/>
                <w:szCs w:val="21"/>
                <w:highlight w:val="none"/>
                <w:lang w:eastAsia="en-US"/>
              </w:rPr>
            </w:pPr>
            <w:r>
              <w:rPr>
                <w:rFonts w:hint="eastAsia" w:ascii="宋体" w:hAnsi="宋体" w:eastAsia="宋体" w:cs="宋体"/>
                <w:b/>
                <w:bCs/>
                <w:color w:val="auto"/>
                <w:sz w:val="21"/>
                <w:szCs w:val="21"/>
                <w:highlight w:val="none"/>
                <w:lang w:eastAsia="en-US"/>
              </w:rPr>
              <w:t>出资额</w:t>
            </w:r>
          </w:p>
        </w:tc>
        <w:tc>
          <w:tcPr>
            <w:tcW w:w="1417"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b/>
                <w:bCs/>
                <w:color w:val="auto"/>
                <w:kern w:val="2"/>
                <w:sz w:val="21"/>
                <w:szCs w:val="21"/>
                <w:highlight w:val="none"/>
                <w:lang w:eastAsia="en-US"/>
              </w:rPr>
            </w:pPr>
            <w:r>
              <w:rPr>
                <w:rFonts w:hint="eastAsia" w:ascii="宋体" w:hAnsi="宋体" w:eastAsia="宋体" w:cs="宋体"/>
                <w:b/>
                <w:bCs/>
                <w:color w:val="auto"/>
                <w:sz w:val="21"/>
                <w:szCs w:val="21"/>
                <w:highlight w:val="none"/>
                <w:lang w:eastAsia="en-US"/>
              </w:rPr>
              <w:t>持股比例（%）</w:t>
            </w:r>
          </w:p>
        </w:tc>
        <w:tc>
          <w:tcPr>
            <w:tcW w:w="1576"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cs="宋体"/>
                <w:b/>
                <w:bCs/>
                <w:color w:val="auto"/>
                <w:kern w:val="2"/>
                <w:sz w:val="21"/>
                <w:szCs w:val="21"/>
                <w:highlight w:val="none"/>
              </w:rPr>
            </w:pPr>
            <w:r>
              <w:rPr>
                <w:rFonts w:hint="eastAsia" w:ascii="宋体" w:hAnsi="宋体" w:eastAsia="宋体" w:cs="宋体"/>
                <w:b/>
                <w:bCs/>
                <w:color w:val="auto"/>
                <w:sz w:val="21"/>
                <w:szCs w:val="21"/>
                <w:highlight w:val="none"/>
              </w:rPr>
              <w:t>变动情况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2" w:hRule="exact"/>
        </w:trPr>
        <w:tc>
          <w:tcPr>
            <w:tcW w:w="751" w:type="dxa"/>
            <w:noWrap w:val="0"/>
            <w:vAlign w:val="top"/>
          </w:tcPr>
          <w:p>
            <w:pPr>
              <w:pStyle w:val="40"/>
              <w:keepNext w:val="0"/>
              <w:keepLines w:val="0"/>
              <w:pageBreakBefore w:val="0"/>
              <w:kinsoku/>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1</w:t>
            </w:r>
          </w:p>
        </w:tc>
        <w:tc>
          <w:tcPr>
            <w:tcW w:w="2705"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国家电力投资集团有限公司</w:t>
            </w:r>
          </w:p>
        </w:tc>
        <w:tc>
          <w:tcPr>
            <w:tcW w:w="2049"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319,312.00</w:t>
            </w:r>
          </w:p>
        </w:tc>
        <w:tc>
          <w:tcPr>
            <w:tcW w:w="1417"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68.05</w:t>
            </w:r>
          </w:p>
        </w:tc>
        <w:tc>
          <w:tcPr>
            <w:tcW w:w="1576"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1" w:hRule="exact"/>
        </w:trPr>
        <w:tc>
          <w:tcPr>
            <w:tcW w:w="751" w:type="dxa"/>
            <w:noWrap w:val="0"/>
            <w:vAlign w:val="top"/>
          </w:tcPr>
          <w:p>
            <w:pPr>
              <w:pStyle w:val="40"/>
              <w:keepNext w:val="0"/>
              <w:keepLines w:val="0"/>
              <w:pageBreakBefore w:val="0"/>
              <w:kinsoku/>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2</w:t>
            </w:r>
          </w:p>
        </w:tc>
        <w:tc>
          <w:tcPr>
            <w:tcW w:w="2705"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贵州</w:t>
            </w:r>
            <w:r>
              <w:rPr>
                <w:rFonts w:hint="eastAsia" w:ascii="宋体" w:hAnsi="宋体" w:eastAsia="宋体" w:cs="宋体"/>
                <w:color w:val="auto"/>
                <w:sz w:val="21"/>
                <w:szCs w:val="21"/>
                <w:highlight w:val="none"/>
                <w:lang w:val="en-US" w:eastAsia="zh-CN"/>
              </w:rPr>
              <w:t>能源</w:t>
            </w:r>
            <w:r>
              <w:rPr>
                <w:rFonts w:hint="eastAsia" w:ascii="宋体" w:hAnsi="宋体" w:eastAsia="宋体" w:cs="宋体"/>
                <w:color w:val="auto"/>
                <w:sz w:val="21"/>
                <w:szCs w:val="21"/>
                <w:highlight w:val="none"/>
              </w:rPr>
              <w:t>集团有限公司</w:t>
            </w:r>
          </w:p>
        </w:tc>
        <w:tc>
          <w:tcPr>
            <w:tcW w:w="2049"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118,310.74</w:t>
            </w:r>
          </w:p>
        </w:tc>
        <w:tc>
          <w:tcPr>
            <w:tcW w:w="1417"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25.21</w:t>
            </w:r>
          </w:p>
        </w:tc>
        <w:tc>
          <w:tcPr>
            <w:tcW w:w="1576"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exact"/>
        </w:trPr>
        <w:tc>
          <w:tcPr>
            <w:tcW w:w="751" w:type="dxa"/>
            <w:noWrap w:val="0"/>
            <w:vAlign w:val="top"/>
          </w:tcPr>
          <w:p>
            <w:pPr>
              <w:pStyle w:val="40"/>
              <w:keepNext w:val="0"/>
              <w:keepLines w:val="0"/>
              <w:pageBreakBefore w:val="0"/>
              <w:kinsoku/>
              <w:overflowPunct/>
              <w:topLinePunct w:val="0"/>
              <w:bidi w:val="0"/>
              <w:spacing w:line="400" w:lineRule="exact"/>
              <w:ind w:right="1"/>
              <w:jc w:val="left"/>
              <w:rPr>
                <w:rFonts w:hint="eastAsia"/>
                <w:color w:val="auto"/>
                <w:sz w:val="21"/>
                <w:szCs w:val="21"/>
                <w:highlight w:val="none"/>
              </w:rPr>
            </w:pPr>
            <w:r>
              <w:rPr>
                <w:rFonts w:hint="eastAsia"/>
                <w:color w:val="auto"/>
                <w:w w:val="99"/>
                <w:sz w:val="21"/>
                <w:szCs w:val="21"/>
                <w:highlight w:val="none"/>
              </w:rPr>
              <w:t>3</w:t>
            </w:r>
          </w:p>
        </w:tc>
        <w:tc>
          <w:tcPr>
            <w:tcW w:w="2705"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自然人股东</w:t>
            </w:r>
          </w:p>
        </w:tc>
        <w:tc>
          <w:tcPr>
            <w:tcW w:w="2049"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0" w:firstLineChars="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31,608.80</w:t>
            </w:r>
          </w:p>
        </w:tc>
        <w:tc>
          <w:tcPr>
            <w:tcW w:w="1417" w:type="dxa"/>
            <w:noWrap w:val="0"/>
            <w:vAlign w:val="center"/>
          </w:tcPr>
          <w:p>
            <w:pPr>
              <w:pStyle w:val="2"/>
              <w:keepNext w:val="0"/>
              <w:keepLines w:val="0"/>
              <w:pageBreakBefore w:val="0"/>
              <w:widowControl w:val="0"/>
              <w:kinsoku/>
              <w:overflowPunct/>
              <w:topLinePunct w:val="0"/>
              <w:autoSpaceDE w:val="0"/>
              <w:autoSpaceDN w:val="0"/>
              <w:bidi w:val="0"/>
              <w:spacing w:line="400" w:lineRule="exact"/>
              <w:ind w:firstLine="420"/>
              <w:jc w:val="left"/>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6.74</w:t>
            </w:r>
          </w:p>
        </w:tc>
        <w:tc>
          <w:tcPr>
            <w:tcW w:w="1576" w:type="dxa"/>
            <w:noWrap w:val="0"/>
            <w:vAlign w:val="center"/>
          </w:tcPr>
          <w:p>
            <w:pPr>
              <w:pStyle w:val="29"/>
              <w:keepNext w:val="0"/>
              <w:keepLines w:val="0"/>
              <w:pageBreakBefore w:val="0"/>
              <w:kinsoku/>
              <w:overflowPunct/>
              <w:topLinePunct w:val="0"/>
              <w:bidi w:val="0"/>
              <w:spacing w:line="400" w:lineRule="exact"/>
              <w:jc w:val="left"/>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rPr>
              <w:t>无</w:t>
            </w:r>
          </w:p>
        </w:tc>
      </w:tr>
    </w:tbl>
    <w:p>
      <w:pPr>
        <w:pStyle w:val="6"/>
        <w:keepNext w:val="0"/>
        <w:keepLines w:val="0"/>
        <w:pageBreakBefore w:val="0"/>
        <w:kinsoku/>
        <w:overflowPunct/>
        <w:topLinePunct w:val="0"/>
        <w:bidi w:val="0"/>
        <w:spacing w:line="400" w:lineRule="exact"/>
        <w:ind w:firstLine="482" w:firstLineChars="20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（二）控股股东基本情况</w:t>
      </w:r>
    </w:p>
    <w:tbl>
      <w:tblPr>
        <w:tblStyle w:val="22"/>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562"/>
        <w:gridCol w:w="3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180" w:type="dxa"/>
            <w:noWrap w:val="0"/>
            <w:vAlign w:val="top"/>
          </w:tcPr>
          <w:p>
            <w:pPr>
              <w:pStyle w:val="40"/>
              <w:keepNext w:val="0"/>
              <w:keepLines w:val="0"/>
              <w:pageBreakBefore w:val="0"/>
              <w:kinsoku/>
              <w:overflowPunct/>
              <w:topLinePunct w:val="0"/>
              <w:bidi w:val="0"/>
              <w:spacing w:line="400" w:lineRule="exact"/>
              <w:ind w:left="324" w:right="325"/>
              <w:jc w:val="left"/>
              <w:rPr>
                <w:rFonts w:hint="eastAsia"/>
                <w:color w:val="auto"/>
                <w:sz w:val="21"/>
                <w:szCs w:val="21"/>
                <w:highlight w:val="none"/>
              </w:rPr>
            </w:pPr>
            <w:r>
              <w:rPr>
                <w:rFonts w:hint="eastAsia"/>
                <w:color w:val="auto"/>
                <w:sz w:val="21"/>
                <w:szCs w:val="21"/>
                <w:highlight w:val="none"/>
              </w:rPr>
              <w:t>序号</w:t>
            </w:r>
          </w:p>
        </w:tc>
        <w:tc>
          <w:tcPr>
            <w:tcW w:w="3562" w:type="dxa"/>
            <w:noWrap w:val="0"/>
            <w:vAlign w:val="top"/>
          </w:tcPr>
          <w:p>
            <w:pPr>
              <w:pStyle w:val="40"/>
              <w:keepNext w:val="0"/>
              <w:keepLines w:val="0"/>
              <w:pageBreakBefore w:val="0"/>
              <w:kinsoku/>
              <w:overflowPunct/>
              <w:topLinePunct w:val="0"/>
              <w:bidi w:val="0"/>
              <w:spacing w:line="400" w:lineRule="exact"/>
              <w:ind w:left="1055"/>
              <w:jc w:val="left"/>
              <w:rPr>
                <w:rFonts w:hint="eastAsia"/>
                <w:color w:val="auto"/>
                <w:sz w:val="21"/>
                <w:szCs w:val="21"/>
                <w:highlight w:val="none"/>
              </w:rPr>
            </w:pPr>
            <w:r>
              <w:rPr>
                <w:rFonts w:hint="eastAsia"/>
                <w:color w:val="auto"/>
                <w:sz w:val="21"/>
                <w:szCs w:val="21"/>
                <w:highlight w:val="none"/>
              </w:rPr>
              <w:t>主要股东名称</w:t>
            </w:r>
          </w:p>
        </w:tc>
        <w:tc>
          <w:tcPr>
            <w:tcW w:w="3850" w:type="dxa"/>
            <w:noWrap w:val="0"/>
            <w:vAlign w:val="top"/>
          </w:tcPr>
          <w:p>
            <w:pPr>
              <w:pStyle w:val="40"/>
              <w:keepNext w:val="0"/>
              <w:keepLines w:val="0"/>
              <w:pageBreakBefore w:val="0"/>
              <w:kinsoku/>
              <w:overflowPunct/>
              <w:topLinePunct w:val="0"/>
              <w:bidi w:val="0"/>
              <w:spacing w:line="400" w:lineRule="exact"/>
              <w:ind w:left="719"/>
              <w:jc w:val="left"/>
              <w:rPr>
                <w:rFonts w:hint="eastAsia"/>
                <w:color w:val="auto"/>
                <w:sz w:val="21"/>
                <w:szCs w:val="21"/>
                <w:highlight w:val="none"/>
                <w:lang w:eastAsia="zh-CN"/>
              </w:rPr>
            </w:pPr>
            <w:r>
              <w:rPr>
                <w:rFonts w:hint="eastAsia"/>
                <w:color w:val="auto"/>
                <w:sz w:val="21"/>
                <w:szCs w:val="21"/>
                <w:highlight w:val="none"/>
                <w:lang w:eastAsia="zh-CN"/>
              </w:rPr>
              <w:t>控股股东、实际控制人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180" w:type="dxa"/>
            <w:noWrap w:val="0"/>
            <w:vAlign w:val="top"/>
          </w:tcPr>
          <w:p>
            <w:pPr>
              <w:pStyle w:val="40"/>
              <w:keepNext w:val="0"/>
              <w:keepLines w:val="0"/>
              <w:pageBreakBefore w:val="0"/>
              <w:kinsoku/>
              <w:overflowPunct/>
              <w:topLinePunct w:val="0"/>
              <w:bidi w:val="0"/>
              <w:spacing w:line="400" w:lineRule="exact"/>
              <w:jc w:val="left"/>
              <w:rPr>
                <w:rFonts w:hint="eastAsia"/>
                <w:color w:val="auto"/>
                <w:sz w:val="21"/>
                <w:szCs w:val="21"/>
                <w:highlight w:val="none"/>
              </w:rPr>
            </w:pPr>
            <w:r>
              <w:rPr>
                <w:rFonts w:hint="eastAsia"/>
                <w:color w:val="auto"/>
                <w:w w:val="99"/>
                <w:sz w:val="21"/>
                <w:szCs w:val="21"/>
                <w:highlight w:val="none"/>
              </w:rPr>
              <w:t>1</w:t>
            </w:r>
          </w:p>
        </w:tc>
        <w:tc>
          <w:tcPr>
            <w:tcW w:w="3562" w:type="dxa"/>
            <w:noWrap w:val="0"/>
            <w:vAlign w:val="top"/>
          </w:tcPr>
          <w:p>
            <w:pPr>
              <w:pStyle w:val="40"/>
              <w:keepNext w:val="0"/>
              <w:keepLines w:val="0"/>
              <w:pageBreakBefore w:val="0"/>
              <w:kinsoku/>
              <w:overflowPunct/>
              <w:topLinePunct w:val="0"/>
              <w:bidi w:val="0"/>
              <w:spacing w:line="400" w:lineRule="exact"/>
              <w:ind w:left="103"/>
              <w:jc w:val="left"/>
              <w:rPr>
                <w:rFonts w:hint="eastAsia"/>
                <w:color w:val="auto"/>
                <w:sz w:val="21"/>
                <w:szCs w:val="21"/>
                <w:highlight w:val="none"/>
                <w:lang w:eastAsia="zh-CN"/>
              </w:rPr>
            </w:pPr>
            <w:r>
              <w:rPr>
                <w:rFonts w:hint="eastAsia"/>
                <w:color w:val="auto"/>
                <w:sz w:val="21"/>
                <w:szCs w:val="21"/>
                <w:highlight w:val="none"/>
                <w:lang w:eastAsia="zh-CN"/>
              </w:rPr>
              <w:t>国家电力投资集团有限公司</w:t>
            </w:r>
          </w:p>
        </w:tc>
        <w:tc>
          <w:tcPr>
            <w:tcW w:w="3850" w:type="dxa"/>
            <w:noWrap w:val="0"/>
            <w:vAlign w:val="top"/>
          </w:tcPr>
          <w:p>
            <w:pPr>
              <w:pStyle w:val="40"/>
              <w:keepNext w:val="0"/>
              <w:keepLines w:val="0"/>
              <w:pageBreakBefore w:val="0"/>
              <w:kinsoku/>
              <w:overflowPunct/>
              <w:topLinePunct w:val="0"/>
              <w:bidi w:val="0"/>
              <w:spacing w:line="400" w:lineRule="exact"/>
              <w:ind w:left="102"/>
              <w:jc w:val="left"/>
              <w:rPr>
                <w:rFonts w:hint="eastAsia"/>
                <w:color w:val="auto"/>
                <w:sz w:val="21"/>
                <w:szCs w:val="21"/>
                <w:highlight w:val="none"/>
                <w:lang w:eastAsia="zh-CN"/>
              </w:rPr>
            </w:pPr>
            <w:r>
              <w:rPr>
                <w:rFonts w:hint="eastAsia"/>
                <w:color w:val="auto"/>
                <w:sz w:val="21"/>
                <w:szCs w:val="21"/>
                <w:highlight w:val="none"/>
                <w:lang w:eastAsia="zh-CN"/>
              </w:rPr>
              <w:t>国务院国有资产监督管理委员会</w:t>
            </w:r>
          </w:p>
        </w:tc>
      </w:tr>
    </w:tbl>
    <w:p>
      <w:pPr>
        <w:pStyle w:val="6"/>
        <w:keepNext w:val="0"/>
        <w:keepLines w:val="0"/>
        <w:pageBreakBefore w:val="0"/>
        <w:kinsoku/>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（三）主要股东股权质押情况</w:t>
      </w:r>
    </w:p>
    <w:p>
      <w:pPr>
        <w:keepNext w:val="0"/>
        <w:keepLines w:val="0"/>
        <w:pageBreakBefore w:val="0"/>
        <w:kinsoku/>
        <w:overflowPunct/>
        <w:topLinePunct w:val="0"/>
        <w:autoSpaceDE w:val="0"/>
        <w:autoSpaceDN w:val="0"/>
        <w:bidi w:val="0"/>
        <w:adjustRightInd w:val="0"/>
        <w:spacing w:line="400" w:lineRule="exact"/>
        <w:ind w:firstLine="480" w:firstLineChars="200"/>
        <w:jc w:val="left"/>
        <w:textAlignment w:val="center"/>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lang w:val="zh-CN"/>
        </w:rPr>
        <w:t>截至本报告出具之日，</w:t>
      </w:r>
      <w:r>
        <w:rPr>
          <w:rFonts w:hint="eastAsia" w:ascii="宋体" w:hAnsi="宋体" w:cs="宋体"/>
          <w:color w:val="auto"/>
          <w:kern w:val="0"/>
          <w:sz w:val="24"/>
          <w:szCs w:val="24"/>
          <w:highlight w:val="none"/>
        </w:rPr>
        <w:t>持有</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rPr>
        <w:t>5%以上股份的股东其</w:t>
      </w:r>
      <w:r>
        <w:rPr>
          <w:rFonts w:hint="eastAsia" w:ascii="宋体" w:hAnsi="宋体" w:cs="宋体"/>
          <w:color w:val="auto"/>
          <w:kern w:val="0"/>
          <w:sz w:val="24"/>
          <w:szCs w:val="24"/>
          <w:highlight w:val="none"/>
          <w:lang w:val="zh-CN"/>
        </w:rPr>
        <w:t>股权不存在质押、冻结的情况。</w:t>
      </w:r>
    </w:p>
    <w:p>
      <w:pPr>
        <w:pStyle w:val="6"/>
        <w:keepNext w:val="0"/>
        <w:keepLines w:val="0"/>
        <w:pageBreakBefore w:val="0"/>
        <w:kinsoku/>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（四）股东提名董事、监事情况</w:t>
      </w:r>
    </w:p>
    <w:p>
      <w:pPr>
        <w:pStyle w:val="6"/>
        <w:keepNext w:val="0"/>
        <w:keepLines w:val="0"/>
        <w:pageBreakBefore w:val="0"/>
        <w:kinsoku/>
        <w:overflowPunct/>
        <w:topLinePunct w:val="0"/>
        <w:bidi w:val="0"/>
        <w:spacing w:line="400" w:lineRule="exact"/>
        <w:ind w:left="0" w:firstLine="480" w:firstLineChars="20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2024年度，股东国家电力投资集团有限公司提名王浩为董事，选举陈可均为职工董事；股东贵州能源集团有限公司提名郭厚亮为董事，并经过选举担任副董事长，提名付洁为监事，并经过选举担任监事会主席。</w:t>
      </w:r>
    </w:p>
    <w:p>
      <w:pPr>
        <w:pStyle w:val="6"/>
        <w:keepNext w:val="0"/>
        <w:keepLines w:val="0"/>
        <w:pageBreakBefore w:val="0"/>
        <w:kinsoku/>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（五）主要股东股权转让情况</w:t>
      </w:r>
    </w:p>
    <w:p>
      <w:pPr>
        <w:pStyle w:val="6"/>
        <w:keepNext w:val="0"/>
        <w:keepLines w:val="0"/>
        <w:pageBreakBefore w:val="0"/>
        <w:kinsoku/>
        <w:overflowPunct/>
        <w:topLinePunct w:val="0"/>
        <w:bidi w:val="0"/>
        <w:spacing w:line="400" w:lineRule="exact"/>
        <w:ind w:lef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报告期内，本公司无主要股东股权转让情况。</w:t>
      </w:r>
    </w:p>
    <w:p>
      <w:pPr>
        <w:pStyle w:val="6"/>
        <w:keepNext w:val="0"/>
        <w:keepLines w:val="0"/>
        <w:pageBreakBefore w:val="0"/>
        <w:kinsoku/>
        <w:overflowPunct/>
        <w:topLinePunct w:val="0"/>
        <w:bidi w:val="0"/>
        <w:spacing w:line="400" w:lineRule="exact"/>
        <w:ind w:lef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二、增加或减少注册资本、分立合并事项</w:t>
      </w:r>
    </w:p>
    <w:p>
      <w:pPr>
        <w:pStyle w:val="6"/>
        <w:keepNext w:val="0"/>
        <w:keepLines w:val="0"/>
        <w:pageBreakBefore w:val="0"/>
        <w:kinsoku/>
        <w:overflowPunct/>
        <w:topLinePunct w:val="0"/>
        <w:bidi w:val="0"/>
        <w:spacing w:line="400" w:lineRule="exact"/>
        <w:ind w:lef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无。</w:t>
      </w:r>
    </w:p>
    <w:p>
      <w:pPr>
        <w:pStyle w:val="6"/>
        <w:keepNext w:val="0"/>
        <w:keepLines w:val="0"/>
        <w:pageBreakBefore w:val="0"/>
        <w:numPr>
          <w:ilvl w:val="0"/>
          <w:numId w:val="0"/>
        </w:numPr>
        <w:kinsoku/>
        <w:overflowPunct/>
        <w:topLinePunct w:val="0"/>
        <w:bidi w:val="0"/>
        <w:spacing w:line="400" w:lineRule="exact"/>
        <w:ind w:left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三、关联交易事项</w:t>
      </w:r>
      <w:r>
        <w:rPr>
          <w:rFonts w:hint="eastAsia" w:cs="宋体"/>
          <w:color w:val="auto"/>
          <w:kern w:val="0"/>
          <w:sz w:val="24"/>
          <w:szCs w:val="24"/>
          <w:highlight w:val="none"/>
          <w:lang w:val="en-US" w:eastAsia="zh-CN" w:bidi="ar-SA"/>
        </w:rPr>
        <w:t>（请计财部核实）</w:t>
      </w:r>
    </w:p>
    <w:tbl>
      <w:tblPr>
        <w:tblStyle w:val="22"/>
        <w:tblpPr w:leftFromText="180" w:rightFromText="180" w:vertAnchor="text" w:horzAnchor="page" w:tblpX="2028" w:tblpY="6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5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keepNext w:val="0"/>
              <w:keepLines w:val="0"/>
              <w:pageBreakBefore w:val="0"/>
              <w:widowControl/>
              <w:kinsoku/>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具体事项类型</w:t>
            </w:r>
          </w:p>
        </w:tc>
        <w:tc>
          <w:tcPr>
            <w:tcW w:w="3142" w:type="dxa"/>
            <w:shd w:val="clear" w:color="auto" w:fill="auto"/>
            <w:noWrap w:val="0"/>
            <w:tcMar>
              <w:top w:w="75" w:type="dxa"/>
              <w:left w:w="75" w:type="dxa"/>
              <w:bottom w:w="75" w:type="dxa"/>
              <w:right w:w="75" w:type="dxa"/>
            </w:tcMar>
            <w:vAlign w:val="center"/>
          </w:tcPr>
          <w:p>
            <w:pPr>
              <w:keepNext w:val="0"/>
              <w:keepLines w:val="0"/>
              <w:pageBreakBefore w:val="0"/>
              <w:widowControl/>
              <w:kinsoku/>
              <w:wordWrap w:val="0"/>
              <w:overflowPunct/>
              <w:topLinePunct w:val="0"/>
              <w:bidi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发生金额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采购商品/接受劳务情况</w:t>
            </w:r>
          </w:p>
        </w:tc>
        <w:tc>
          <w:tcPr>
            <w:tcW w:w="3142" w:type="dxa"/>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default" w:ascii="宋体" w:hAnsi="宋体" w:eastAsia="宋体" w:cs="宋体"/>
                <w:color w:val="auto"/>
                <w:kern w:val="0"/>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373,759,663.07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5155" w:type="dxa"/>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出售商品</w:t>
            </w:r>
            <w:r>
              <w:rPr>
                <w:rStyle w:val="48"/>
                <w:rFonts w:eastAsia="宋体"/>
                <w:color w:val="auto"/>
                <w:highlight w:val="none"/>
                <w:lang w:val="en-US" w:eastAsia="zh-CN" w:bidi="ar"/>
              </w:rPr>
              <w:t>/</w:t>
            </w:r>
            <w:r>
              <w:rPr>
                <w:rStyle w:val="32"/>
                <w:color w:val="auto"/>
                <w:highlight w:val="none"/>
                <w:lang w:val="en-US" w:eastAsia="zh-CN" w:bidi="ar"/>
              </w:rPr>
              <w:t>提供劳务情况</w:t>
            </w:r>
          </w:p>
        </w:tc>
        <w:tc>
          <w:tcPr>
            <w:tcW w:w="3142" w:type="dxa"/>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bidi w:val="0"/>
              <w:spacing w:line="400" w:lineRule="exact"/>
              <w:jc w:val="left"/>
              <w:textAlignment w:val="center"/>
              <w:rPr>
                <w:rFonts w:hint="eastAsia" w:ascii="宋体" w:hAnsi="宋体" w:cs="宋体"/>
                <w:color w:val="auto"/>
                <w:kern w:val="0"/>
                <w:highlight w:val="none"/>
              </w:rPr>
            </w:pPr>
            <w:r>
              <w:rPr>
                <w:rFonts w:hint="eastAsia" w:ascii="宋体" w:hAnsi="宋体" w:eastAsia="宋体" w:cs="宋体"/>
                <w:i w:val="0"/>
                <w:iCs w:val="0"/>
                <w:color w:val="auto"/>
                <w:kern w:val="0"/>
                <w:sz w:val="21"/>
                <w:szCs w:val="21"/>
                <w:highlight w:val="none"/>
                <w:u w:val="none"/>
                <w:lang w:val="en-US" w:eastAsia="zh-CN" w:bidi="ar"/>
              </w:rPr>
              <w:t>248,791,284.17</w:t>
            </w:r>
          </w:p>
        </w:tc>
      </w:tr>
    </w:tbl>
    <w:p>
      <w:pPr>
        <w:pStyle w:val="6"/>
        <w:keepNext w:val="0"/>
        <w:keepLines w:val="0"/>
        <w:pageBreakBefore w:val="0"/>
        <w:kinsoku/>
        <w:overflowPunct/>
        <w:topLinePunct w:val="0"/>
        <w:bidi w:val="0"/>
        <w:spacing w:line="400" w:lineRule="exact"/>
        <w:ind w:left="0"/>
        <w:jc w:val="left"/>
        <w:rPr>
          <w:rFonts w:hint="eastAsia" w:cs="宋体"/>
          <w:color w:val="auto"/>
          <w:sz w:val="21"/>
          <w:szCs w:val="21"/>
          <w:highlight w:val="none"/>
          <w:lang w:val="en-US" w:eastAsia="zh-CN"/>
        </w:rPr>
      </w:pPr>
      <w:r>
        <w:rPr>
          <w:rFonts w:hint="eastAsia" w:cs="宋体"/>
          <w:color w:val="auto"/>
          <w:sz w:val="21"/>
          <w:szCs w:val="21"/>
          <w:highlight w:val="none"/>
          <w:lang w:eastAsia="zh-CN"/>
        </w:rPr>
        <w:t>单</w:t>
      </w:r>
      <w:r>
        <w:rPr>
          <w:rFonts w:hint="eastAsia" w:cs="宋体"/>
          <w:color w:val="auto"/>
          <w:sz w:val="21"/>
          <w:szCs w:val="21"/>
          <w:highlight w:val="none"/>
          <w:lang w:val="en-US" w:eastAsia="zh-CN"/>
        </w:rPr>
        <w:t>位：元</w:t>
      </w:r>
    </w:p>
    <w:p>
      <w:pPr>
        <w:pStyle w:val="6"/>
        <w:keepNext w:val="0"/>
        <w:keepLines w:val="0"/>
        <w:pageBreakBefore w:val="0"/>
        <w:kinsoku/>
        <w:overflowPunct/>
        <w:topLinePunct w:val="0"/>
        <w:bidi w:val="0"/>
        <w:spacing w:line="4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注：以上为本期发生的关联交易金额。</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四、重大诉讼、仲裁事项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报告期内，贵州金元及所属单位共发生3起重大诉讼</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1.中水公司</w:t>
      </w:r>
      <w:r>
        <w:rPr>
          <w:rFonts w:hint="eastAsia" w:ascii="宋体" w:hAnsi="宋体" w:eastAsia="宋体" w:cs="宋体"/>
          <w:color w:val="auto"/>
          <w:kern w:val="0"/>
          <w:sz w:val="24"/>
          <w:szCs w:val="24"/>
          <w:highlight w:val="none"/>
          <w:lang w:val="en-US" w:eastAsia="zh-CN"/>
        </w:rPr>
        <w:t>诉</w:t>
      </w:r>
      <w:r>
        <w:rPr>
          <w:rFonts w:hint="eastAsia" w:ascii="宋体" w:hAnsi="宋体" w:eastAsia="宋体" w:cs="宋体"/>
          <w:color w:val="auto"/>
          <w:kern w:val="0"/>
          <w:sz w:val="24"/>
          <w:szCs w:val="24"/>
          <w:highlight w:val="none"/>
          <w:lang w:val="zh-CN"/>
        </w:rPr>
        <w:t>安晟能源、青龙煤矿（第三人）股东代表诉讼案件，</w:t>
      </w:r>
      <w:r>
        <w:rPr>
          <w:rFonts w:hint="eastAsia" w:ascii="宋体" w:hAnsi="宋体" w:eastAsia="宋体" w:cs="宋体"/>
          <w:color w:val="auto"/>
          <w:kern w:val="0"/>
          <w:sz w:val="24"/>
          <w:szCs w:val="24"/>
          <w:highlight w:val="none"/>
          <w:lang w:val="en-US" w:eastAsia="zh-CN"/>
        </w:rPr>
        <w:t>2024年2月立案，涉案</w:t>
      </w:r>
      <w:r>
        <w:rPr>
          <w:rFonts w:hint="eastAsia" w:ascii="宋体" w:hAnsi="宋体" w:eastAsia="宋体" w:cs="宋体"/>
          <w:color w:val="auto"/>
          <w:kern w:val="0"/>
          <w:sz w:val="24"/>
          <w:szCs w:val="24"/>
          <w:highlight w:val="none"/>
          <w:lang w:val="zh-CN"/>
        </w:rPr>
        <w:t>金额8.47亿元。</w:t>
      </w:r>
      <w:r>
        <w:rPr>
          <w:rFonts w:hint="eastAsia" w:ascii="宋体" w:hAnsi="宋体" w:eastAsia="宋体" w:cs="宋体"/>
          <w:color w:val="auto"/>
          <w:kern w:val="0"/>
          <w:sz w:val="24"/>
          <w:szCs w:val="24"/>
          <w:highlight w:val="none"/>
          <w:lang w:val="en-US" w:eastAsia="zh-CN"/>
        </w:rPr>
        <w:t>2025年2月收到贵阳市中院一审判决：安晟能源向黔西能源返还欠款。黔西能源和中水公司已上诉，贵州省高院已受理并于4月24日开庭审理，待判决。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能发</w:t>
      </w:r>
      <w:r>
        <w:rPr>
          <w:rFonts w:hint="eastAsia" w:ascii="宋体" w:hAnsi="宋体" w:eastAsia="宋体" w:cs="宋体"/>
          <w:color w:val="auto"/>
          <w:kern w:val="0"/>
          <w:sz w:val="24"/>
          <w:szCs w:val="24"/>
          <w:highlight w:val="none"/>
          <w:lang w:val="zh-CN"/>
        </w:rPr>
        <w:t>公司</w:t>
      </w:r>
      <w:r>
        <w:rPr>
          <w:rFonts w:hint="eastAsia" w:ascii="宋体" w:hAnsi="宋体" w:eastAsia="宋体" w:cs="宋体"/>
          <w:color w:val="auto"/>
          <w:kern w:val="0"/>
          <w:sz w:val="24"/>
          <w:szCs w:val="24"/>
          <w:highlight w:val="none"/>
          <w:lang w:val="en-US" w:eastAsia="zh-CN"/>
        </w:rPr>
        <w:t>诉</w:t>
      </w:r>
      <w:r>
        <w:rPr>
          <w:rFonts w:hint="eastAsia" w:ascii="宋体" w:hAnsi="宋体" w:eastAsia="宋体" w:cs="宋体"/>
          <w:color w:val="auto"/>
          <w:kern w:val="0"/>
          <w:sz w:val="24"/>
          <w:szCs w:val="24"/>
          <w:highlight w:val="none"/>
          <w:lang w:val="zh-CN"/>
        </w:rPr>
        <w:t>安晟能源、</w:t>
      </w:r>
      <w:r>
        <w:rPr>
          <w:rFonts w:hint="eastAsia" w:ascii="宋体" w:hAnsi="宋体" w:eastAsia="宋体" w:cs="宋体"/>
          <w:color w:val="auto"/>
          <w:kern w:val="0"/>
          <w:sz w:val="24"/>
          <w:szCs w:val="24"/>
          <w:highlight w:val="none"/>
          <w:lang w:val="en-US" w:eastAsia="zh-CN"/>
        </w:rPr>
        <w:t>发耳煤矿</w:t>
      </w:r>
      <w:r>
        <w:rPr>
          <w:rFonts w:hint="eastAsia" w:ascii="宋体" w:hAnsi="宋体" w:eastAsia="宋体" w:cs="宋体"/>
          <w:color w:val="auto"/>
          <w:kern w:val="0"/>
          <w:sz w:val="24"/>
          <w:szCs w:val="24"/>
          <w:highlight w:val="none"/>
          <w:lang w:val="zh-CN"/>
        </w:rPr>
        <w:t>（第三人）股东代表诉讼案件，</w:t>
      </w:r>
      <w:r>
        <w:rPr>
          <w:rFonts w:hint="eastAsia" w:ascii="宋体" w:hAnsi="宋体" w:eastAsia="宋体" w:cs="宋体"/>
          <w:color w:val="auto"/>
          <w:kern w:val="0"/>
          <w:sz w:val="24"/>
          <w:szCs w:val="24"/>
          <w:highlight w:val="none"/>
          <w:lang w:val="en-US" w:eastAsia="zh-CN"/>
        </w:rPr>
        <w:t>2024年6月立案，涉案</w:t>
      </w:r>
      <w:r>
        <w:rPr>
          <w:rFonts w:hint="eastAsia" w:ascii="宋体" w:hAnsi="宋体" w:eastAsia="宋体" w:cs="宋体"/>
          <w:color w:val="auto"/>
          <w:kern w:val="0"/>
          <w:sz w:val="24"/>
          <w:szCs w:val="24"/>
          <w:highlight w:val="none"/>
          <w:lang w:val="zh-CN"/>
        </w:rPr>
        <w:t>金额</w:t>
      </w:r>
      <w:r>
        <w:rPr>
          <w:rFonts w:hint="eastAsia" w:ascii="宋体" w:hAnsi="宋体" w:eastAsia="宋体" w:cs="宋体"/>
          <w:color w:val="auto"/>
          <w:kern w:val="0"/>
          <w:sz w:val="24"/>
          <w:szCs w:val="24"/>
          <w:highlight w:val="none"/>
          <w:lang w:val="en-US" w:eastAsia="zh-CN"/>
        </w:rPr>
        <w:t>3.08</w:t>
      </w:r>
      <w:r>
        <w:rPr>
          <w:rFonts w:hint="eastAsia" w:ascii="宋体" w:hAnsi="宋体" w:eastAsia="宋体" w:cs="宋体"/>
          <w:color w:val="auto"/>
          <w:kern w:val="0"/>
          <w:sz w:val="24"/>
          <w:szCs w:val="24"/>
          <w:highlight w:val="none"/>
          <w:lang w:val="zh-CN"/>
        </w:rPr>
        <w:t>亿元</w:t>
      </w:r>
      <w:r>
        <w:rPr>
          <w:rFonts w:hint="eastAsia" w:ascii="宋体" w:hAnsi="宋体" w:eastAsia="宋体" w:cs="宋体"/>
          <w:color w:val="auto"/>
          <w:kern w:val="0"/>
          <w:sz w:val="24"/>
          <w:szCs w:val="24"/>
          <w:highlight w:val="none"/>
          <w:lang w:val="en-US" w:eastAsia="zh-CN"/>
        </w:rPr>
        <w:t>。因能发公司将发耳煤矿的股权转让至能发新能源公司，2025年3月4日，收到贵阳市观山湖区法院裁定：驳回能发公司起诉，案件受理费158万元全额退还，保全申请费5000元不予退还。已上诉至贵阳市中院，开庭时间未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rPr>
        <w:t>3.中冶京诚工程技术有限公司诉绥阳公司、贵州金元建设工程施工合同纠纷</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2024年7月立案，涉案金额7841万元。2024年8月已达成和解，绥阳公司分期支付工程款，贵州金元不承担责任，已结案。</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五、聘任和解聘会计师事务所情况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公司聘请</w:t>
      </w:r>
      <w:r>
        <w:rPr>
          <w:rFonts w:hint="eastAsia" w:ascii="宋体" w:hAnsi="宋体" w:eastAsia="宋体" w:cs="宋体"/>
          <w:color w:val="auto"/>
          <w:sz w:val="24"/>
          <w:szCs w:val="24"/>
          <w:highlight w:val="none"/>
          <w:lang w:val="en-US" w:eastAsia="zh-CN"/>
        </w:rPr>
        <w:t>立信会计师事务所（特殊普通合伙）</w:t>
      </w:r>
      <w:r>
        <w:rPr>
          <w:rFonts w:hint="eastAsia" w:ascii="宋体" w:hAnsi="宋体" w:eastAsia="宋体" w:cs="宋体"/>
          <w:color w:val="auto"/>
          <w:kern w:val="0"/>
          <w:sz w:val="24"/>
          <w:szCs w:val="24"/>
          <w:highlight w:val="none"/>
          <w:lang w:val="en-US" w:eastAsia="zh-CN" w:bidi="ar-SA"/>
        </w:rPr>
        <w:t>按中国会计准则对本公司2024年度的经营状况进行审计。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六、逾期未偿还债务情况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报告期末，公司无逾期未偿还债务。</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七、对外投资情况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报告期内，公司不存在未经股东大会、董事会审议通过的对外投资事项。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八、收购及出售资产、吸收合并事项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报告期内，公司对外转让桃花、尖峰、墨子湾、令里、加平、南东</w:t>
      </w:r>
      <w:r>
        <w:rPr>
          <w:rFonts w:hint="eastAsia" w:cs="宋体"/>
          <w:color w:val="auto"/>
          <w:kern w:val="0"/>
          <w:sz w:val="24"/>
          <w:szCs w:val="24"/>
          <w:highlight w:val="none"/>
          <w:lang w:val="en-US" w:eastAsia="zh-CN" w:bidi="ar-SA"/>
        </w:rPr>
        <w:t>等6个</w:t>
      </w:r>
      <w:r>
        <w:rPr>
          <w:rFonts w:hint="eastAsia" w:ascii="宋体" w:hAnsi="宋体" w:eastAsia="宋体" w:cs="宋体"/>
          <w:color w:val="auto"/>
          <w:kern w:val="0"/>
          <w:sz w:val="24"/>
          <w:szCs w:val="24"/>
          <w:highlight w:val="none"/>
          <w:lang w:val="en-US" w:eastAsia="zh-CN" w:bidi="ar-SA"/>
        </w:rPr>
        <w:t>水电</w:t>
      </w:r>
      <w:r>
        <w:rPr>
          <w:rFonts w:hint="eastAsia" w:cs="宋体"/>
          <w:color w:val="auto"/>
          <w:kern w:val="0"/>
          <w:sz w:val="24"/>
          <w:szCs w:val="24"/>
          <w:highlight w:val="none"/>
          <w:lang w:val="en-US" w:eastAsia="zh-CN" w:bidi="ar-SA"/>
        </w:rPr>
        <w:t>站</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总装机4.45</w:t>
      </w:r>
      <w:r>
        <w:rPr>
          <w:rFonts w:hint="eastAsia" w:ascii="宋体" w:hAnsi="宋体" w:eastAsia="宋体" w:cs="宋体"/>
          <w:color w:val="auto"/>
          <w:kern w:val="0"/>
          <w:sz w:val="24"/>
          <w:szCs w:val="24"/>
          <w:highlight w:val="none"/>
          <w:lang w:val="en-US" w:eastAsia="zh-CN" w:bidi="ar-SA"/>
        </w:rPr>
        <w:t>MW）资产</w:t>
      </w:r>
      <w:r>
        <w:rPr>
          <w:rFonts w:hint="eastAsia" w:cs="宋体"/>
          <w:color w:val="auto"/>
          <w:kern w:val="0"/>
          <w:sz w:val="24"/>
          <w:szCs w:val="24"/>
          <w:highlight w:val="none"/>
          <w:lang w:val="en-US" w:eastAsia="zh-CN" w:bidi="ar-SA"/>
        </w:rPr>
        <w:t>，明英电站因下游宣威水电站开发淹没获得补偿，通过贵州能源集团增资并控股能发公司51%。</w:t>
      </w:r>
      <w:r>
        <w:rPr>
          <w:rFonts w:hint="eastAsia" w:ascii="宋体" w:hAnsi="宋体" w:eastAsia="宋体" w:cs="宋体"/>
          <w:color w:val="auto"/>
          <w:kern w:val="0"/>
          <w:sz w:val="24"/>
          <w:szCs w:val="24"/>
          <w:highlight w:val="none"/>
          <w:lang w:val="en-US" w:eastAsia="zh-CN" w:bidi="ar-SA"/>
        </w:rPr>
        <w:t>公司无</w:t>
      </w:r>
      <w:r>
        <w:rPr>
          <w:rFonts w:hint="eastAsia" w:cs="宋体"/>
          <w:color w:val="auto"/>
          <w:kern w:val="0"/>
          <w:sz w:val="24"/>
          <w:szCs w:val="24"/>
          <w:highlight w:val="none"/>
          <w:lang w:val="en-US" w:eastAsia="zh-CN" w:bidi="ar-SA"/>
        </w:rPr>
        <w:t>其他</w:t>
      </w:r>
      <w:r>
        <w:rPr>
          <w:rFonts w:hint="eastAsia" w:ascii="宋体" w:hAnsi="宋体" w:eastAsia="宋体" w:cs="宋体"/>
          <w:color w:val="auto"/>
          <w:kern w:val="0"/>
          <w:sz w:val="24"/>
          <w:szCs w:val="24"/>
          <w:highlight w:val="none"/>
          <w:lang w:val="en-US" w:eastAsia="zh-CN" w:bidi="ar-SA"/>
        </w:rPr>
        <w:t>重大收购及吸收合并事项。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九、股东及其关联方占用或转移公司资金、资产及其他资源的情况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报告期内，公司不存在股东及其关联方占用或转移公司资金、资产及其他资源的情况。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十、经股东大会审议通过的收购、出售资产、对外投资事项以及报告期内发生的企业合并事项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报告期内，不存在经股东大会审议通过的收购、出售资产、对外投资事项以及报告期内发生的企业合并事项。</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十一、</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权益分派情况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报告期内的利润分配与公积金转增股本情况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报告期内贵州金元母公司无利润分配及公积金转增股本情况。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报告期内未执行完毕的利润分配与公积金转增股本的情况</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报告期内贵州金元母公司无未执行完毕的利润分配及公积金转增股本情况。</w:t>
      </w:r>
    </w:p>
    <w:p>
      <w:pPr>
        <w:pStyle w:val="6"/>
        <w:keepNext w:val="0"/>
        <w:keepLines w:val="0"/>
        <w:pageBreakBefore w:val="0"/>
        <w:widowControl w:val="0"/>
        <w:kinsoku/>
        <w:wordWrap/>
        <w:overflowPunct/>
        <w:topLinePunct w:val="0"/>
        <w:autoSpaceDE/>
        <w:autoSpaceDN/>
        <w:bidi w:val="0"/>
        <w:adjustRightInd/>
        <w:snapToGrid/>
        <w:spacing w:line="400" w:lineRule="exact"/>
        <w:ind w:left="0" w:right="215"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bCs/>
          <w:color w:val="auto"/>
          <w:kern w:val="2"/>
          <w:sz w:val="24"/>
          <w:szCs w:val="24"/>
          <w:highlight w:val="none"/>
          <w:lang w:val="en-US" w:eastAsia="zh-CN" w:bidi="ar-SA"/>
        </w:rPr>
        <w:t>权益分派预案</w:t>
      </w:r>
    </w:p>
    <w:p>
      <w:pPr>
        <w:pStyle w:val="6"/>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报告期内贵州金元母公司无权益分配预案。</w:t>
      </w:r>
    </w:p>
    <w:p>
      <w:pPr>
        <w:pStyle w:val="7"/>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sectPr>
          <w:footerReference r:id="rId31" w:type="default"/>
          <w:pgSz w:w="11907" w:h="16839"/>
          <w:pgMar w:top="1440" w:right="1797" w:bottom="1440" w:left="1797" w:header="680" w:footer="992" w:gutter="0"/>
          <w:pgNumType w:fmt="decimal" w:start="5"/>
          <w:cols w:space="425" w:num="1"/>
          <w:docGrid w:linePitch="312" w:charSpace="0"/>
        </w:sectPr>
      </w:pPr>
    </w:p>
    <w:p>
      <w:pPr>
        <w:pStyle w:val="6"/>
        <w:spacing w:before="120"/>
        <w:ind w:left="0"/>
        <w:jc w:val="center"/>
        <w:outlineLvl w:val="0"/>
        <w:rPr>
          <w:rFonts w:ascii="宋体" w:hAnsi="宋体" w:cs="MingLiU"/>
          <w:color w:val="auto"/>
          <w:kern w:val="0"/>
          <w:sz w:val="24"/>
          <w:szCs w:val="24"/>
          <w:highlight w:val="none"/>
        </w:rPr>
      </w:pPr>
      <w:r>
        <w:rPr>
          <w:rFonts w:hint="eastAsia" w:ascii="黑体" w:hAnsi="黑体" w:eastAsia="黑体" w:cs="黑体"/>
          <w:b/>
          <w:bCs/>
          <w:color w:val="auto"/>
          <w:kern w:val="2"/>
          <w:sz w:val="28"/>
          <w:szCs w:val="28"/>
          <w:highlight w:val="none"/>
          <w:lang w:val="en-US" w:eastAsia="zh-CN" w:bidi="ar-SA"/>
        </w:rPr>
        <w:t>第七节 会计财务报告</w:t>
      </w:r>
      <w:bookmarkEnd w:id="77"/>
      <w:bookmarkEnd w:id="78"/>
    </w:p>
    <w:p>
      <w:pPr>
        <w:autoSpaceDE w:val="0"/>
        <w:autoSpaceDN w:val="0"/>
        <w:adjustRightInd w:val="0"/>
        <w:spacing w:line="500" w:lineRule="exact"/>
        <w:ind w:right="-38"/>
        <w:jc w:val="center"/>
        <w:rPr>
          <w:rFonts w:ascii="宋体" w:hAnsi="宋体" w:cs="MingLiU"/>
          <w:color w:val="auto"/>
          <w:kern w:val="0"/>
          <w:sz w:val="24"/>
          <w:szCs w:val="24"/>
          <w:highlight w:val="none"/>
        </w:rPr>
      </w:pPr>
      <w:r>
        <w:rPr>
          <w:rFonts w:hint="eastAsia" w:ascii="宋体" w:hAnsi="宋体" w:cs="MingLiU"/>
          <w:color w:val="auto"/>
          <w:kern w:val="0"/>
          <w:sz w:val="24"/>
          <w:szCs w:val="24"/>
          <w:highlight w:val="none"/>
        </w:rPr>
        <w:t>审</w:t>
      </w:r>
      <w:r>
        <w:rPr>
          <w:rFonts w:ascii="宋体" w:hAnsi="宋体"/>
          <w:color w:val="auto"/>
          <w:kern w:val="0"/>
          <w:sz w:val="24"/>
          <w:szCs w:val="24"/>
          <w:highlight w:val="none"/>
        </w:rPr>
        <w:t xml:space="preserve"> </w:t>
      </w:r>
      <w:r>
        <w:rPr>
          <w:rFonts w:hint="eastAsia" w:ascii="宋体" w:hAnsi="宋体" w:cs="MingLiU"/>
          <w:color w:val="auto"/>
          <w:kern w:val="0"/>
          <w:sz w:val="24"/>
          <w:szCs w:val="24"/>
          <w:highlight w:val="none"/>
        </w:rPr>
        <w:t>计</w:t>
      </w:r>
      <w:r>
        <w:rPr>
          <w:rFonts w:ascii="宋体" w:hAnsi="宋体"/>
          <w:color w:val="auto"/>
          <w:kern w:val="0"/>
          <w:sz w:val="24"/>
          <w:szCs w:val="24"/>
          <w:highlight w:val="none"/>
        </w:rPr>
        <w:t xml:space="preserve"> </w:t>
      </w:r>
      <w:r>
        <w:rPr>
          <w:rFonts w:hint="eastAsia" w:ascii="宋体" w:hAnsi="宋体" w:cs="MingLiU"/>
          <w:color w:val="auto"/>
          <w:kern w:val="0"/>
          <w:sz w:val="24"/>
          <w:szCs w:val="24"/>
          <w:highlight w:val="none"/>
        </w:rPr>
        <w:t>报</w:t>
      </w:r>
      <w:r>
        <w:rPr>
          <w:rFonts w:ascii="宋体" w:hAnsi="宋体"/>
          <w:color w:val="auto"/>
          <w:kern w:val="0"/>
          <w:sz w:val="24"/>
          <w:szCs w:val="24"/>
          <w:highlight w:val="none"/>
        </w:rPr>
        <w:t xml:space="preserve"> </w:t>
      </w:r>
      <w:r>
        <w:rPr>
          <w:rFonts w:hint="eastAsia" w:ascii="宋体" w:hAnsi="宋体" w:cs="MingLiU"/>
          <w:color w:val="auto"/>
          <w:kern w:val="0"/>
          <w:sz w:val="24"/>
          <w:szCs w:val="24"/>
          <w:highlight w:val="none"/>
        </w:rPr>
        <w:t>告</w:t>
      </w:r>
    </w:p>
    <w:p>
      <w:pPr>
        <w:tabs>
          <w:tab w:val="left" w:pos="4962"/>
        </w:tabs>
        <w:autoSpaceDE w:val="0"/>
        <w:autoSpaceDN w:val="0"/>
        <w:adjustRightInd w:val="0"/>
        <w:spacing w:line="500" w:lineRule="exact"/>
        <w:ind w:right="-7"/>
        <w:rPr>
          <w:rFonts w:hint="eastAsia" w:ascii="宋体" w:hAnsi="宋体" w:cs="宋体"/>
          <w:color w:val="auto"/>
          <w:kern w:val="0"/>
          <w:sz w:val="24"/>
          <w:szCs w:val="24"/>
          <w:highlight w:val="none"/>
        </w:rPr>
      </w:pPr>
      <w:r>
        <w:rPr>
          <w:rFonts w:hint="eastAsia" w:ascii="宋体" w:hAnsi="宋体" w:cs="MingLiU"/>
          <w:color w:val="auto"/>
          <w:kern w:val="0"/>
          <w:sz w:val="24"/>
          <w:szCs w:val="24"/>
          <w:highlight w:val="none"/>
        </w:rPr>
        <w:t>审计意见类型为标准无保留。</w:t>
      </w:r>
    </w:p>
    <w:p>
      <w:pPr>
        <w:spacing w:line="500" w:lineRule="exact"/>
        <w:ind w:left="4800" w:hanging="4800" w:hangingChars="20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79" w:name="_Toc491705284"/>
      <w:bookmarkStart w:id="80" w:name="_Toc491705009"/>
      <w:bookmarkStart w:id="81" w:name="_Toc486339137"/>
    </w:p>
    <w:bookmarkEnd w:id="79"/>
    <w:bookmarkEnd w:id="80"/>
    <w:bookmarkEnd w:id="81"/>
    <w:p>
      <w:pPr>
        <w:pStyle w:val="6"/>
        <w:spacing w:before="120"/>
        <w:ind w:left="0"/>
        <w:jc w:val="both"/>
        <w:outlineLvl w:val="0"/>
        <w:rPr>
          <w:rFonts w:hint="eastAsia" w:cs="宋体"/>
          <w:b/>
          <w:bCs/>
          <w:color w:val="auto"/>
          <w:highlight w:val="none"/>
          <w:lang w:eastAsia="zh-CN"/>
        </w:rPr>
      </w:pPr>
      <w:bookmarkStart w:id="82" w:name="_Toc399"/>
      <w:bookmarkStart w:id="83" w:name="_Toc10098"/>
      <w:r>
        <w:rPr>
          <w:rFonts w:hint="eastAsia" w:cs="宋体"/>
          <w:b/>
          <w:bCs/>
          <w:color w:val="auto"/>
          <w:highlight w:val="none"/>
          <w:lang w:eastAsia="zh-CN"/>
        </w:rPr>
        <w:t>合并资产负债表</w:t>
      </w:r>
      <w:bookmarkEnd w:id="82"/>
      <w:bookmarkEnd w:id="83"/>
    </w:p>
    <w:p>
      <w:pPr>
        <w:adjustRightInd w:val="0"/>
        <w:snapToGrid w:val="0"/>
        <w:spacing w:line="200" w:lineRule="atLeast"/>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utoSpaceDE w:val="0"/>
        <w:autoSpaceDN w:val="0"/>
        <w:adjustRightInd w:val="0"/>
        <w:snapToGrid w:val="0"/>
        <w:spacing w:line="200" w:lineRule="atLeast"/>
        <w:jc w:val="center"/>
        <w:textAlignment w:val="bottom"/>
        <w:outlineLvl w:val="0"/>
        <w:rPr>
          <w:rFonts w:ascii="Times New Roman" w:hAnsi="Times New Roman" w:cs="Times New Roman"/>
          <w:b/>
          <w:bCs/>
          <w:snapToGrid w:val="0"/>
          <w:color w:val="auto"/>
          <w:sz w:val="18"/>
          <w:szCs w:val="18"/>
          <w:highlight w:val="none"/>
        </w:rPr>
      </w:pPr>
      <w:r>
        <w:rPr>
          <w:rFonts w:hint="eastAsia" w:ascii="Times New Roman" w:hAnsi="Times New Roman" w:cs="Times New Roman"/>
          <w:b/>
          <w:bCs/>
          <w:snapToGrid w:val="0"/>
          <w:color w:val="auto"/>
          <w:sz w:val="18"/>
          <w:szCs w:val="18"/>
          <w:highlight w:val="none"/>
        </w:rPr>
        <w:t>合并</w:t>
      </w:r>
      <w:r>
        <w:rPr>
          <w:rFonts w:ascii="Times New Roman" w:hAnsi="Times New Roman" w:cs="Times New Roman"/>
          <w:b/>
          <w:bCs/>
          <w:snapToGrid w:val="0"/>
          <w:color w:val="auto"/>
          <w:sz w:val="18"/>
          <w:szCs w:val="18"/>
          <w:highlight w:val="none"/>
        </w:rPr>
        <w:t>资产负债表</w:t>
      </w:r>
    </w:p>
    <w:p>
      <w:pPr>
        <w:autoSpaceDE w:val="0"/>
        <w:autoSpaceDN w:val="0"/>
        <w:adjustRightInd w:val="0"/>
        <w:snapToGrid w:val="0"/>
        <w:spacing w:line="200" w:lineRule="atLeast"/>
        <w:jc w:val="center"/>
        <w:textAlignment w:val="bottom"/>
        <w:rPr>
          <w:rFonts w:ascii="Times New Roman" w:hAnsi="Times New Roman" w:cs="Times New Roman"/>
          <w:b/>
          <w:bCs/>
          <w:snapToGrid w:val="0"/>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1324"/>
        <w:gridCol w:w="165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08"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b/>
                <w:bCs/>
                <w:snapToGrid w:val="0"/>
                <w:color w:val="auto"/>
                <w:sz w:val="18"/>
                <w:szCs w:val="18"/>
                <w:highlight w:val="none"/>
              </w:rPr>
              <w:t>（除特别注明外，金额单位均为人民币元）</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资合并!合并资产 \f 4 \h \* MERGEFORMAT </w:instrText>
            </w:r>
            <w:r>
              <w:rPr>
                <w:rFonts w:ascii="Times New Roman" w:hAnsi="Times New Roman" w:cs="Times New Roman"/>
                <w:color w:val="auto"/>
                <w:highlight w:val="none"/>
              </w:rPr>
              <w:fldChar w:fldCharType="separate"/>
            </w:r>
            <w:r>
              <w:rPr>
                <w:rFonts w:ascii="Times New Roman" w:hAnsi="Times New Roman" w:cs="Times New Roman"/>
                <w:color w:val="auto"/>
                <w:sz w:val="15"/>
                <w:szCs w:val="15"/>
                <w:highlight w:val="none"/>
              </w:rPr>
              <w:t>项目</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附注</w:t>
            </w:r>
          </w:p>
        </w:tc>
        <w:tc>
          <w:tcPr>
            <w:tcW w:w="1616"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期末余额</w:t>
            </w:r>
          </w:p>
        </w:tc>
        <w:tc>
          <w:tcPr>
            <w:tcW w:w="1589"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rPr>
                <w:rFonts w:ascii="Times New Roman" w:hAnsi="Times New Roman" w:cs="Times New Roman"/>
                <w:color w:val="auto"/>
                <w:sz w:val="15"/>
                <w:szCs w:val="15"/>
                <w:highlight w:val="none"/>
              </w:rPr>
            </w:pPr>
          </w:p>
        </w:tc>
        <w:tc>
          <w:tcPr>
            <w:tcW w:w="1589"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货币资金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1,470,659,019.30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1,068,115,348.52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△结算备付金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△拆出资金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交易性金融资产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☆以公允价值计量且其变动计入当期损益的金融资产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衍生金融资产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应收票据</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109,893,330.14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21,145,366.38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应收账款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5,726,917,640.19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4,851,082,613.23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应收款项融资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预付款项</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八、（四）</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446,267,579.46</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445,305,313.49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▲应收保费</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▲应收分保账款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▲应收分保合同准备金</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应收资金集中管理款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其他应收款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八、（五）</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546,267,352.60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1,639,980,920.86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其中：应收股利</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41,552,068.64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18,616,005.38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△买入返售金融资产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存货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八、（六）</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1,247,630,630.33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1,513,748,065.72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其中：原材料</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1,055,925,299.55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1,162,795,733.53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库存商品（产成品）</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184,704,759.19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342,614,162.31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八、（七）</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12,478,726.78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140,752,360.47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△保险合同资产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△分出再保险合同资产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持有待售资产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一年内到期的非流动资产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八、（八）</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1,397,193,305.32</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1,314,808,052.33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流动资产合计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10,957,307,584.12</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10,994,938,041.00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rPr>
                <w:rFonts w:ascii="Times New Roman" w:hAnsi="Times New Roman" w:cs="Times New Roman"/>
                <w:color w:val="auto"/>
                <w:sz w:val="15"/>
                <w:szCs w:val="15"/>
                <w:highlight w:val="none"/>
              </w:rPr>
            </w:pPr>
          </w:p>
        </w:tc>
        <w:tc>
          <w:tcPr>
            <w:tcW w:w="1589" w:type="dxa"/>
            <w:vAlign w:val="center"/>
          </w:tcPr>
          <w:p>
            <w:pPr>
              <w:snapToGrid w:val="0"/>
              <w:spacing w:line="200" w:lineRule="atLeas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△发放贷款和垫款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债权投资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八、（九）</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5,556,721,330.61</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☆可供出售金融资产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其他债权投资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3,095,369,600.92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☆持有至到期投资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长期应收款</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225,530,898.20</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369,532,715.84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长期股权投资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1,741,604,559.28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1,340,675,272.29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其他权益工具投资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904,190,344.55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879,986,019.15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其他非流动金融资产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投资性房地产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八、（十四）</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974,998,444.58</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999,945,225.79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八、（十五）</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43,967,409,151.61</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41,582,044,069.31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其中：固定资产原价</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74,170,678,792.53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70,923,243,008.86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累计折旧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24,043,476,870.14</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23,078,823,003.43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固定资产减值准备</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6,167,045,598.35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6,263,634,511.97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在建工程</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八、（十六）</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4,572,870,572.56</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5,398,525,880.53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生产性生物资产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油气资产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使用权资产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八、（十七）</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3,072,290,227.09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2,660,534,678.98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无形资产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八、（十八）</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1,047,272,775.79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1,403,309,875.18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开发支出</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八、（十九）</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30,489,314.27</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56,496,993.61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商誉</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长期待摊费用</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八、（二十一）</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84,674,858.49</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918,236,210.59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递延所得税资产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八、（二十二）</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9,126,510.55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47,907,208.08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其他非流动资产</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八、（二十三）</w:t>
            </w: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848,388,889.45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956,732,919.96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 xml:space="preserve">  其中：特准储备物资</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非流动资产合计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63,035,567,877.03</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59,709,296,670.23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8" w:type="dxa"/>
            <w:vAlign w:val="center"/>
          </w:tcPr>
          <w:p>
            <w:pPr>
              <w:snapToGrid w:val="0"/>
              <w:spacing w:line="200" w:lineRule="atLeast"/>
              <w:rPr>
                <w:rFonts w:ascii="Times New Roman" w:hAnsi="Times New Roman" w:cs="Times New Roman"/>
                <w:b/>
                <w:color w:val="auto"/>
                <w:sz w:val="15"/>
                <w:szCs w:val="15"/>
                <w:highlight w:val="none"/>
              </w:rPr>
            </w:pPr>
            <w:r>
              <w:rPr>
                <w:rFonts w:ascii="Times New Roman" w:hAnsi="Times New Roman" w:cs="Times New Roman"/>
                <w:b/>
                <w:color w:val="auto"/>
                <w:sz w:val="15"/>
                <w:szCs w:val="15"/>
                <w:highlight w:val="none"/>
              </w:rPr>
              <w:t>资产总计</w:t>
            </w:r>
          </w:p>
        </w:tc>
        <w:tc>
          <w:tcPr>
            <w:tcW w:w="1290" w:type="dxa"/>
            <w:vAlign w:val="center"/>
          </w:tcPr>
          <w:p>
            <w:pPr>
              <w:snapToGrid w:val="0"/>
              <w:spacing w:line="200" w:lineRule="atLeast"/>
              <w:jc w:val="center"/>
              <w:rPr>
                <w:rFonts w:ascii="Times New Roman" w:hAnsi="Times New Roman" w:cs="Times New Roman"/>
                <w:color w:val="auto"/>
                <w:sz w:val="15"/>
                <w:szCs w:val="15"/>
                <w:highlight w:val="none"/>
              </w:rPr>
            </w:pPr>
          </w:p>
        </w:tc>
        <w:tc>
          <w:tcPr>
            <w:tcW w:w="1616"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73,992,875,461.15</w:t>
            </w:r>
          </w:p>
        </w:tc>
        <w:tc>
          <w:tcPr>
            <w:tcW w:w="1589" w:type="dxa"/>
            <w:vAlign w:val="center"/>
          </w:tcPr>
          <w:p>
            <w:pPr>
              <w:snapToGrid w:val="0"/>
              <w:spacing w:line="200" w:lineRule="atLeast"/>
              <w:jc w:val="right"/>
              <w:rPr>
                <w:rFonts w:ascii="Times New Roman" w:hAnsi="Times New Roman" w:cs="Times New Roman"/>
                <w:color w:val="auto"/>
                <w:sz w:val="15"/>
                <w:szCs w:val="15"/>
                <w:highlight w:val="none"/>
              </w:rPr>
            </w:pPr>
            <w:r>
              <w:rPr>
                <w:rFonts w:ascii="Times New Roman" w:hAnsi="Times New Roman" w:cs="Times New Roman"/>
                <w:color w:val="auto"/>
                <w:sz w:val="15"/>
                <w:szCs w:val="15"/>
                <w:highlight w:val="none"/>
              </w:rPr>
              <w:t>70,704,234,711.23</w:t>
            </w:r>
          </w:p>
        </w:tc>
      </w:tr>
    </w:tbl>
    <w:p>
      <w:pPr>
        <w:tabs>
          <w:tab w:val="left" w:pos="1440"/>
          <w:tab w:val="left" w:pos="1620"/>
          <w:tab w:val="left" w:pos="1800"/>
        </w:tabs>
        <w:adjustRightInd w:val="0"/>
        <w:snapToGrid w:val="0"/>
        <w:spacing w:before="80" w:line="240" w:lineRule="atLeast"/>
        <w:rPr>
          <w:rFonts w:ascii="Times New Roman" w:hAnsi="Times New Roman" w:cs="Times New Roman"/>
          <w:color w:val="auto"/>
          <w:sz w:val="18"/>
          <w:szCs w:val="18"/>
          <w:highlight w:val="none"/>
        </w:rPr>
      </w:pPr>
      <w:r>
        <w:rPr>
          <w:rFonts w:ascii="Times New Roman" w:hAnsi="Times New Roman" w:cs="Times New Roman"/>
          <w:color w:val="auto"/>
          <w:highlight w:val="none"/>
        </w:rPr>
        <w:fldChar w:fldCharType="end"/>
      </w:r>
      <w:r>
        <w:rPr>
          <w:rFonts w:hint="eastAsia" w:ascii="Times New Roman" w:hAnsi="Times New Roman" w:cs="Times New Roman"/>
          <w:color w:val="auto"/>
          <w:sz w:val="18"/>
          <w:szCs w:val="18"/>
          <w:highlight w:val="none"/>
        </w:rPr>
        <w:t>注：带△科目为金融类企业专用；带▲科目为未执行新保险合同准则企业专用；带#科目为外商投资企业专用；带☆科目为未执行新金融工具准则企业专用。</w:t>
      </w:r>
    </w:p>
    <w:p>
      <w:pPr>
        <w:tabs>
          <w:tab w:val="left" w:pos="1440"/>
          <w:tab w:val="left" w:pos="1620"/>
          <w:tab w:val="left" w:pos="1800"/>
        </w:tabs>
        <w:adjustRightInd w:val="0"/>
        <w:snapToGrid w:val="0"/>
        <w:spacing w:line="240" w:lineRule="atLeast"/>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后附财务报表附注为财务报表的组成部分。</w:t>
      </w:r>
      <w:r>
        <w:rPr>
          <w:rFonts w:hint="eastAsia" w:ascii="Times New Roman" w:hAnsi="Times New Roman" w:cs="Times New Roman"/>
          <w:color w:val="auto"/>
          <w:sz w:val="18"/>
          <w:szCs w:val="18"/>
          <w:highlight w:val="none"/>
        </w:rPr>
        <w:t>下同。</w:t>
      </w:r>
    </w:p>
    <w:p>
      <w:pPr>
        <w:adjustRightInd w:val="0"/>
        <w:snapToGrid w:val="0"/>
        <w:spacing w:line="240" w:lineRule="atLeast"/>
        <w:rPr>
          <w:color w:val="auto"/>
          <w:highlight w:val="none"/>
        </w:rPr>
      </w:pPr>
      <w:r>
        <w:rPr>
          <w:rFonts w:ascii="Times New Roman" w:hAnsi="Times New Roman" w:cs="Times New Roman"/>
          <w:color w:val="auto"/>
          <w:sz w:val="18"/>
          <w:szCs w:val="18"/>
          <w:highlight w:val="none"/>
        </w:rPr>
        <w:t>企业法定代表人：             主管会计工作负责人：             会计机构负责人：</w:t>
      </w:r>
      <w:r>
        <w:rPr>
          <w:rFonts w:ascii="Times New Roman" w:hAnsi="Times New Roman" w:cs="Times New Roman"/>
          <w:color w:val="auto"/>
          <w:sz w:val="18"/>
          <w:szCs w:val="18"/>
          <w:highlight w:val="none"/>
        </w:rPr>
        <w:br w:type="page"/>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资产负债表（续）</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bCs/>
          <w:snapToGrid w:val="0"/>
          <w:color w:val="auto"/>
          <w:sz w:val="18"/>
          <w:szCs w:val="18"/>
          <w:highlight w:val="none"/>
        </w:rPr>
        <w:fldChar w:fldCharType="begin"/>
      </w:r>
      <w:r>
        <w:rPr>
          <w:rFonts w:ascii="Times New Roman" w:hAnsi="Times New Roman" w:cs="Times New Roman"/>
          <w:b/>
          <w:bCs/>
          <w:snapToGrid w:val="0"/>
          <w:color w:val="auto"/>
          <w:sz w:val="18"/>
          <w:szCs w:val="18"/>
          <w:highlight w:val="none"/>
        </w:rPr>
        <w:instrText xml:space="preserve"> DOCVARIABLE  基本信息_资产负债表日  \* MERGEFORMAT </w:instrText>
      </w:r>
      <w:r>
        <w:rPr>
          <w:rFonts w:ascii="Times New Roman" w:hAnsi="Times New Roman" w:cs="Times New Roman"/>
          <w:b/>
          <w:bCs/>
          <w:snapToGrid w:val="0"/>
          <w:color w:val="auto"/>
          <w:sz w:val="18"/>
          <w:szCs w:val="18"/>
          <w:highlight w:val="none"/>
        </w:rPr>
        <w:fldChar w:fldCharType="separate"/>
      </w:r>
      <w:r>
        <w:rPr>
          <w:rFonts w:hint="eastAsia" w:ascii="Times New Roman" w:hAnsi="Times New Roman" w:cs="Times New Roman"/>
          <w:b/>
          <w:bCs/>
          <w:snapToGrid w:val="0"/>
          <w:color w:val="auto"/>
          <w:sz w:val="18"/>
          <w:szCs w:val="18"/>
          <w:highlight w:val="none"/>
        </w:rPr>
        <w:t>2024年12月31日</w:t>
      </w:r>
      <w:r>
        <w:rPr>
          <w:rFonts w:ascii="Times New Roman" w:hAnsi="Times New Roman" w:cs="Times New Roman"/>
          <w:b/>
          <w:bCs/>
          <w:snapToGrid w:val="0"/>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color w:val="auto"/>
          <w:kern w:val="0"/>
          <w:sz w:val="20"/>
          <w:szCs w:val="20"/>
          <w:highlight w:val="none"/>
        </w:rPr>
      </w:pPr>
      <w:r>
        <w:rPr>
          <w:rFonts w:ascii="Times New Roman" w:hAnsi="Times New Roman" w:cs="Times New Roman"/>
          <w:b/>
          <w:color w:val="auto"/>
          <w:sz w:val="18"/>
          <w:szCs w:val="18"/>
          <w:highlight w:val="none"/>
        </w:rPr>
        <w:t>（除特别注明外，</w:t>
      </w:r>
      <w:r>
        <w:rPr>
          <w:rFonts w:ascii="Times New Roman" w:hAnsi="Times New Roman" w:cs="Times New Roman"/>
          <w:b/>
          <w:bCs/>
          <w:snapToGrid w:val="0"/>
          <w:color w:val="auto"/>
          <w:sz w:val="18"/>
          <w:szCs w:val="18"/>
          <w:highlight w:val="none"/>
        </w:rPr>
        <w:t>金额单位均为人民币元</w:t>
      </w:r>
      <w:r>
        <w:rPr>
          <w:rFonts w:ascii="Times New Roman" w:hAnsi="Times New Roman" w:cs="Times New Roman"/>
          <w:b/>
          <w:color w:val="auto"/>
          <w:sz w:val="18"/>
          <w:szCs w:val="18"/>
          <w:highlight w:val="non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LINK Excel.Sheet.12 E:\\雍\\附注排版\\2014年年报格式\\附注过渡表20150130V0910.xlsx 资合并!合并负债及所有者权益 \f 4 \h \* MERGEFORMAT </w:instrText>
      </w:r>
      <w:r>
        <w:rPr>
          <w:rFonts w:ascii="Times New Roman" w:hAnsi="Times New Roman" w:cs="Times New Roman"/>
          <w:color w:val="auto"/>
          <w:highlight w:val="none"/>
        </w:rPr>
        <w:fldChar w:fldCharType="separate"/>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1028"/>
        <w:gridCol w:w="180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64"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项目</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附注</w:t>
            </w:r>
          </w:p>
        </w:tc>
        <w:tc>
          <w:tcPr>
            <w:tcW w:w="1754"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期末余额</w:t>
            </w:r>
          </w:p>
        </w:tc>
        <w:tc>
          <w:tcPr>
            <w:tcW w:w="1583"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期初余额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短期借款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8,301,400,836.00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11,106,638,741.87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△向中央银行借款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△拆入资金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交易性金融负债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☆以公允价值计量且其变动计入当期损益的金融负债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衍生金融负债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应付票据</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1,397,838,096.10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271,568,840.46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应付账款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八、（二十六）</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5,633,788,437.83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5,728,696,919.70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预收款项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八、（二十七）</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3,681,648.78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165,142,574.64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八、（二十八）</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180,332,803.24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45,491,138.68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△卖出回购金融资产款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△吸收存款及同业存放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△代理买卖证券款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△代理承销证券款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△预收保费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应付职工薪酬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八、（二十九）</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335,543,717.13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266,137,835.06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其中：应付工资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244,347,905.73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151,570,933.33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应付福利费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119,905.64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119,905.64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#其中：职工奖励及福利基金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应交税费</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727,459,737.58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813,779,058.04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其中：应交税金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673,534,710.33</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699,559,379.32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其他应付款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八、（三十一）</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2,742,853,219.94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2,297,435,956.83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其中：应付股利</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12,413,462.89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7,408,138.55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▲应付手续费及佣金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▲应付分保账款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持有待售负债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一年内到期的非流动负债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6,908,418,809.60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6,723,032,443.12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八、（三十三）</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流动负债合计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26,231,317,306.20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27,602,923,508.40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▲保险合同准备金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长期借款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28,488,713,773.26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26,571,213,197.28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应付债券</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△保险合同负债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△分出再保险合同负债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租赁负债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1,340,983,020.14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1,397,839,124.32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长期应付款</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八、（三十六）</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2,593,204,242.10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2,164,613,904.75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长期应付职工薪酬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八、（三十七）</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41,878,804.78</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15,385,092.24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预计负债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八、（三十八）</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59,704,138.99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59,926,138.99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递延收益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八、（三十九）</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67,631,612.20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68,838,121.30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递延所得税负债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八、（二十二）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31,346,625.69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28,901,459.94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其他非流动负债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其中：特准储备基金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非流动负债合计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32,623,462,217.16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30,306,717,038.82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58,854,779,523.36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57,909,640,547.22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所有者权益（或股东权益）：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rPr>
                <w:rFonts w:ascii="Times New Roman" w:hAnsi="Times New Roman" w:cs="Times New Roman"/>
                <w:color w:val="auto"/>
                <w:sz w:val="11"/>
                <w:szCs w:val="11"/>
                <w:highlight w:val="none"/>
              </w:rPr>
            </w:pPr>
          </w:p>
        </w:tc>
        <w:tc>
          <w:tcPr>
            <w:tcW w:w="1583" w:type="dxa"/>
            <w:vAlign w:val="center"/>
          </w:tcPr>
          <w:p>
            <w:pPr>
              <w:snapToGrid w:val="0"/>
              <w:spacing w:line="16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国家资本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国有法人资本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4,376,227,400.00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5,576,227,400.00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集体资本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民营资本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316,088,000.00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外商资本</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#减：已归还投资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实收资本（或股本）净额</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4,692,315,400.00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5,892,315,400.00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其他权益工具</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八、（四十一）</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其中：优先股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永续债</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19,318,660,000.00</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18,318,660,000.00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资本公积</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八、（四十二）</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1,545,201,426.54</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411,548,322.64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减：库存股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其他综合收益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325,925,220.87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301,720,895.47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其中：外币报表折算差额</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专项储备</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八、（四十三）</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13,388,111.97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26,288,187.65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盈余公积</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八、（四十四）</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其中：法定公积金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466,989,510.71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任意公积金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#储备基金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#企业发展基金</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#利润归还投资</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△一般风险准备</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未分配利润</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八、（四十五）</w:t>
            </w: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-27,099,250,489.96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-25,806,459,189.66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归属于母公司所有者权益（或股东权益）合计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-736,770,819.87</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-388,936,873.19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少数股东权益</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15,874,866,757.66</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13,183,531,037.20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所有者权益（或股东权益）合计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15,138,095,937.79</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12,794,594,164.01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snapToGrid w:val="0"/>
              <w:spacing w:line="16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负债和所有者权益（或股东权益）总计</w:t>
            </w:r>
          </w:p>
        </w:tc>
        <w:tc>
          <w:tcPr>
            <w:tcW w:w="1002" w:type="dxa"/>
            <w:vAlign w:val="center"/>
          </w:tcPr>
          <w:p>
            <w:pPr>
              <w:snapToGrid w:val="0"/>
              <w:spacing w:line="160" w:lineRule="atLeast"/>
              <w:jc w:val="center"/>
              <w:rPr>
                <w:rFonts w:ascii="Times New Roman" w:hAnsi="Times New Roman" w:cs="Times New Roman"/>
                <w:color w:val="auto"/>
                <w:sz w:val="11"/>
                <w:szCs w:val="11"/>
                <w:highlight w:val="none"/>
              </w:rPr>
            </w:pPr>
          </w:p>
        </w:tc>
        <w:tc>
          <w:tcPr>
            <w:tcW w:w="1754"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73,992,875,461.15</w:t>
            </w:r>
          </w:p>
        </w:tc>
        <w:tc>
          <w:tcPr>
            <w:tcW w:w="1583" w:type="dxa"/>
            <w:vAlign w:val="center"/>
          </w:tcPr>
          <w:p>
            <w:pPr>
              <w:snapToGrid w:val="0"/>
              <w:spacing w:line="16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70,704,234,711.23</w:t>
            </w:r>
          </w:p>
        </w:tc>
      </w:tr>
    </w:tbl>
    <w:p>
      <w:pPr>
        <w:pStyle w:val="6"/>
        <w:spacing w:before="120"/>
        <w:ind w:left="0"/>
        <w:jc w:val="left"/>
        <w:outlineLvl w:val="0"/>
        <w:rPr>
          <w:rFonts w:hint="eastAsia" w:cs="宋体"/>
          <w:color w:val="auto"/>
          <w:sz w:val="21"/>
          <w:szCs w:val="21"/>
          <w:highlight w:val="none"/>
          <w:lang w:eastAsia="zh-CN"/>
        </w:rPr>
      </w:pPr>
      <w:r>
        <w:rPr>
          <w:rFonts w:ascii="Times New Roman" w:hAnsi="Times New Roman" w:cs="Times New Roman"/>
          <w:color w:val="auto"/>
          <w:highlight w:val="none"/>
        </w:rPr>
        <w:fldChar w:fldCharType="end"/>
      </w:r>
      <w:r>
        <w:rPr>
          <w:rFonts w:ascii="Times New Roman" w:hAnsi="Times New Roman" w:cs="Times New Roman"/>
          <w:color w:val="auto"/>
          <w:sz w:val="15"/>
          <w:szCs w:val="15"/>
          <w:highlight w:val="none"/>
        </w:rPr>
        <w:t>企业法定代表人：             主管会计工作负责人：             会计机构负责人：</w:t>
      </w:r>
    </w:p>
    <w:p>
      <w:pPr>
        <w:pStyle w:val="6"/>
        <w:spacing w:before="120"/>
        <w:ind w:left="0"/>
        <w:outlineLvl w:val="0"/>
        <w:rPr>
          <w:rFonts w:hint="eastAsia" w:cs="宋体"/>
          <w:b/>
          <w:bCs/>
          <w:color w:val="auto"/>
          <w:highlight w:val="none"/>
          <w:lang w:eastAsia="zh-CN"/>
        </w:rPr>
      </w:pPr>
    </w:p>
    <w:p>
      <w:pPr>
        <w:pStyle w:val="6"/>
        <w:spacing w:before="120"/>
        <w:ind w:left="0"/>
        <w:outlineLvl w:val="0"/>
        <w:rPr>
          <w:rFonts w:hint="eastAsia" w:cs="宋体"/>
          <w:b/>
          <w:bCs/>
          <w:color w:val="auto"/>
          <w:highlight w:val="none"/>
          <w:lang w:eastAsia="zh-CN"/>
        </w:rPr>
      </w:pPr>
      <w:r>
        <w:rPr>
          <w:rFonts w:hint="eastAsia" w:cs="宋体"/>
          <w:b/>
          <w:bCs/>
          <w:color w:val="auto"/>
          <w:highlight w:val="none"/>
          <w:lang w:eastAsia="zh-CN"/>
        </w:rPr>
        <w:t>合并利润表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基本信息_企业名称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国家电投集团贵州金元股份有限公司</w:t>
      </w:r>
      <w:r>
        <w:rPr>
          <w:rFonts w:ascii="Times New Roman" w:hAnsi="Times New Roman" w:cs="Times New Roman"/>
          <w:b/>
          <w:color w:val="auto"/>
          <w:sz w:val="18"/>
          <w:szCs w:val="18"/>
          <w:highlight w:val="none"/>
        </w:rPr>
        <w:fldChar w:fldCharType="end"/>
      </w:r>
    </w:p>
    <w:p>
      <w:pPr>
        <w:adjustRightInd w:val="0"/>
        <w:snapToGrid w:val="0"/>
        <w:spacing w:line="240" w:lineRule="auto"/>
        <w:jc w:val="center"/>
        <w:outlineLvl w:val="0"/>
        <w:rPr>
          <w:rFonts w:ascii="Times New Roman" w:hAnsi="Times New Roman" w:cs="Times New Roman"/>
          <w:b/>
          <w:color w:val="auto"/>
          <w:sz w:val="18"/>
          <w:szCs w:val="18"/>
          <w:highlight w:val="none"/>
        </w:rPr>
      </w:pPr>
      <w:r>
        <w:rPr>
          <w:rFonts w:hint="eastAsia" w:ascii="Times New Roman" w:hAnsi="Times New Roman" w:cs="Times New Roman"/>
          <w:b/>
          <w:color w:val="auto"/>
          <w:sz w:val="18"/>
          <w:szCs w:val="18"/>
          <w:highlight w:val="none"/>
        </w:rPr>
        <w:t>合并</w:t>
      </w:r>
      <w:r>
        <w:rPr>
          <w:rFonts w:ascii="Times New Roman" w:hAnsi="Times New Roman" w:cs="Times New Roman"/>
          <w:b/>
          <w:color w:val="auto"/>
          <w:sz w:val="18"/>
          <w:szCs w:val="18"/>
          <w:highlight w:val="none"/>
        </w:rPr>
        <w:t>利润表</w:t>
      </w:r>
    </w:p>
    <w:p>
      <w:pPr>
        <w:adjustRightInd w:val="0"/>
        <w:snapToGrid w:val="0"/>
        <w:spacing w:line="240" w:lineRule="auto"/>
        <w:jc w:val="center"/>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fldChar w:fldCharType="begin"/>
      </w:r>
      <w:r>
        <w:rPr>
          <w:rFonts w:ascii="Times New Roman" w:hAnsi="Times New Roman" w:cs="Times New Roman"/>
          <w:b/>
          <w:color w:val="auto"/>
          <w:sz w:val="18"/>
          <w:szCs w:val="18"/>
          <w:highlight w:val="none"/>
        </w:rPr>
        <w:instrText xml:space="preserve"> DOCVARIABLE  基本信息_项目年度  \* MERGEFORMAT </w:instrText>
      </w:r>
      <w:r>
        <w:rPr>
          <w:rFonts w:ascii="Times New Roman" w:hAnsi="Times New Roman" w:cs="Times New Roman"/>
          <w:b/>
          <w:color w:val="auto"/>
          <w:sz w:val="18"/>
          <w:szCs w:val="18"/>
          <w:highlight w:val="none"/>
        </w:rPr>
        <w:fldChar w:fldCharType="separate"/>
      </w:r>
      <w:r>
        <w:rPr>
          <w:rFonts w:hint="eastAsia" w:ascii="Times New Roman" w:hAnsi="Times New Roman" w:cs="Times New Roman"/>
          <w:b/>
          <w:color w:val="auto"/>
          <w:sz w:val="18"/>
          <w:szCs w:val="18"/>
          <w:highlight w:val="none"/>
        </w:rPr>
        <w:t>2024年度</w:t>
      </w:r>
      <w:r>
        <w:rPr>
          <w:rFonts w:ascii="Times New Roman" w:hAnsi="Times New Roman" w:cs="Times New Roman"/>
          <w:b/>
          <w:color w:val="auto"/>
          <w:sz w:val="18"/>
          <w:szCs w:val="18"/>
          <w:highlight w:val="none"/>
        </w:rPr>
        <w:fldChar w:fldCharType="end"/>
      </w:r>
    </w:p>
    <w:p>
      <w:pPr>
        <w:adjustRightInd w:val="0"/>
        <w:snapToGrid w:val="0"/>
        <w:spacing w:after="120" w:afterLines="50" w:line="240" w:lineRule="auto"/>
        <w:jc w:val="center"/>
        <w:rPr>
          <w:rFonts w:ascii="Times New Roman" w:hAnsi="Times New Roman" w:cs="Times New Roman"/>
          <w:b/>
          <w:color w:val="auto"/>
          <w:highlight w:val="none"/>
        </w:rPr>
      </w:pPr>
      <w:r>
        <w:rPr>
          <w:rFonts w:ascii="Times New Roman" w:hAnsi="Times New Roman" w:cs="Times New Roman"/>
          <w:b/>
          <w:color w:val="auto"/>
          <w:sz w:val="18"/>
          <w:szCs w:val="18"/>
          <w:highlight w:val="none"/>
        </w:rPr>
        <w:t>（除特别注明外，金额单位均为人民币元）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7"/>
        <w:gridCol w:w="986"/>
        <w:gridCol w:w="172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82"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项目</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附注</w:t>
            </w:r>
          </w:p>
        </w:tc>
        <w:tc>
          <w:tcPr>
            <w:tcW w:w="1680"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本期金额</w:t>
            </w:r>
          </w:p>
        </w:tc>
        <w:tc>
          <w:tcPr>
            <w:tcW w:w="1680"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一、营业总收入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16,321,005,879.66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17,221,240,926.74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其中：营业收入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16,321,005,879.66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17,221,240,926.74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△保险服务收入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▲已赚保费</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△手续费及佣金收入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二、营业总成本</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17,406,757,119.62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17,537,803,323.95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其中：营业成本</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14,784,571,562.56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14,514,214,513.67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△手续费及佣金支出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△保险服务费用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△分出保费的分摊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△减：摊回保险服务费用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△承保财务损失</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△减：分出再保险财务收益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▲退保金</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▲赔付支出净额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▲提取保险责任准备金净额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▲保单红利支出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▲分保费用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税金及附加</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212,115,930.00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210,238,598.31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销售费用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94,656,503.60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128,454,513.79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管理费用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650,624,212.18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703,880,076.46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研发费用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129,579,443.34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285,646,093.45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财务费用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1,535,209,467.94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1,695,369,528.27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其中：利息费用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1,555,891,589.30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1,661,311,374.51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利息收入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66,264,900.15</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53,867,012.53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汇兑净损失（净收益以“-”号填列）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加：其他收益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八、（四十八）</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86,415,816.01</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246,081,713.17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投资收益（损失以“-”号填列）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八、（四十九）</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1,813,604,233.62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657,804,783.43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其中：对联营企业和合营企业的投资收益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44,407,853.19</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151,635,581.26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以摊余成本计量的金融资产终止确认收益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△汇兑收益（损失以“-”号填列）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净敞口套期收益（损失以“-”号填列）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公允价值变动收益（损失以“-”号填列）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-24,724,161.36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-16,471,236.91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信用减值损失（损失以“-”号填列）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八、（五十一）</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-12,183,109.32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1,163,625,490.25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资产减值损失（损失以“-”号填列）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八、（五十二）</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-502,902,323.36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-3,498,021,961.79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资产处置收益（损失以“-”号填列）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八、（五十三）</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130,879,954.49</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161,133,607.26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三、营业利润（亏损以“-”号填列）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405,339,170.12</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-1,602,410,001.80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加：营业外收入</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八、（五十四）</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55,977,443.16</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24,054,067.13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其中：政府补助</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325,473.00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减：营业外支出</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八、（五十五）</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251,642,589.40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140,086,772.31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四、利润总额（亏损总额以“-”号填列）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209,674,023.88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-1,718,442,706.98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减：所得税费用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八、（五十六）</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139,575,045.74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176,257,241.84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五、净利润（净亏损以“-”号填列）</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70,098,978.14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-1,894,699,948.82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（一）按所有权归属分类：</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-543,673,983.84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-2,591,168,934.88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少数股东损益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613,772,961.98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696,468,986.06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（二）按经营持续性分类：</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c>
          <w:tcPr>
            <w:tcW w:w="1680" w:type="dxa"/>
            <w:vAlign w:val="center"/>
          </w:tcPr>
          <w:p>
            <w:pPr>
              <w:snapToGrid w:val="0"/>
              <w:spacing w:line="80" w:lineRule="atLeas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持续经营净利润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70,098,978.14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-1,894,699,948.82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终止经营净利润</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六、其他综合收益的税后净额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八、（五十七）</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（一）不能重分类进损益的其他综合收益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1．重新计量设定受益计划变动额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2．权益法下不能转损益的其他综合收益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3．其他权益工具投资公允价值变动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24,204,325.40</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40,849,935.68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4．企业自身信用风险公允价值变动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△5．不能转损益的保险合同金融变动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6．其他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（二）将重分类进损益的其他综合收益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1．权益法下可转损益的其他综合收益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2．其他债权投资公允价值变动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☆3．可供出售金融资产公允价值变动损益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4．金融资产重分类计入其他综合收益的金额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☆5．持有至到期投资重分类为可供出售金融资产损益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6．其他债权投资信用减值准备</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7．现金流量套期储备（现金流量套期损益的有效部分）</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8．外币财务报表折算差额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△9．可转损益的保险合同金融变动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△10．可转损益的分出再保险合同金融变动</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11．其他</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归属于少数股东的其他综合收益的税后净额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七、综合收益总额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94,303,303.54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-1,853,850,013.14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归属于母公司所有者的综合收益总额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-519,469,658.44</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-2,550,318,999.20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归属于少数股东的综合收益总额</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613,772,961.98</w:t>
            </w: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696,468,986.06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b/>
                <w:color w:val="auto"/>
                <w:sz w:val="11"/>
                <w:szCs w:val="11"/>
                <w:highlight w:val="none"/>
              </w:rPr>
            </w:pPr>
            <w:r>
              <w:rPr>
                <w:rFonts w:ascii="Times New Roman" w:hAnsi="Times New Roman" w:cs="Times New Roman"/>
                <w:b/>
                <w:color w:val="auto"/>
                <w:sz w:val="11"/>
                <w:szCs w:val="11"/>
                <w:highlight w:val="none"/>
              </w:rPr>
              <w:t>八、每股收益：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基本每股收益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2" w:type="dxa"/>
            <w:vAlign w:val="center"/>
          </w:tcPr>
          <w:p>
            <w:pPr>
              <w:snapToGrid w:val="0"/>
              <w:spacing w:line="80" w:lineRule="atLeast"/>
              <w:rPr>
                <w:rFonts w:ascii="Times New Roman" w:hAnsi="Times New Roman" w:cs="Times New Roman"/>
                <w:color w:val="auto"/>
                <w:sz w:val="11"/>
                <w:szCs w:val="11"/>
                <w:highlight w:val="none"/>
              </w:rPr>
            </w:pPr>
            <w:r>
              <w:rPr>
                <w:rFonts w:ascii="Times New Roman" w:hAnsi="Times New Roman" w:cs="Times New Roman"/>
                <w:color w:val="auto"/>
                <w:sz w:val="11"/>
                <w:szCs w:val="11"/>
                <w:highlight w:val="none"/>
              </w:rPr>
              <w:t xml:space="preserve">    稀释每股收益</w:t>
            </w:r>
          </w:p>
        </w:tc>
        <w:tc>
          <w:tcPr>
            <w:tcW w:w="961" w:type="dxa"/>
            <w:vAlign w:val="center"/>
          </w:tcPr>
          <w:p>
            <w:pPr>
              <w:snapToGrid w:val="0"/>
              <w:spacing w:line="80" w:lineRule="atLeast"/>
              <w:jc w:val="center"/>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c>
          <w:tcPr>
            <w:tcW w:w="1680" w:type="dxa"/>
            <w:vAlign w:val="center"/>
          </w:tcPr>
          <w:p>
            <w:pPr>
              <w:snapToGrid w:val="0"/>
              <w:spacing w:line="80" w:lineRule="atLeast"/>
              <w:jc w:val="right"/>
              <w:rPr>
                <w:rFonts w:ascii="Times New Roman" w:hAnsi="Times New Roman" w:cs="Times New Roman"/>
                <w:color w:val="auto"/>
                <w:sz w:val="11"/>
                <w:szCs w:val="11"/>
                <w:highlight w:val="none"/>
              </w:rPr>
            </w:pPr>
          </w:p>
        </w:tc>
      </w:tr>
    </w:tbl>
    <w:p>
      <w:pPr>
        <w:rPr>
          <w:color w:val="auto"/>
          <w:highlight w:val="none"/>
        </w:rPr>
      </w:pPr>
    </w:p>
    <w:p>
      <w:pPr>
        <w:rPr>
          <w:color w:val="auto"/>
          <w:highlight w:val="none"/>
        </w:rPr>
      </w:pPr>
    </w:p>
    <w:p>
      <w:pPr>
        <w:pStyle w:val="21"/>
        <w:ind w:left="0" w:leftChars="0" w:firstLine="0" w:firstLineChars="0"/>
        <w:rPr>
          <w:rFonts w:hint="eastAsia"/>
          <w:lang w:val="en-US" w:eastAsia="zh-CN"/>
        </w:rPr>
      </w:pPr>
    </w:p>
    <w:sectPr>
      <w:headerReference r:id="rId32" w:type="default"/>
      <w:footerReference r:id="rId3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书宋_GBK">
    <w:altName w:val="微软雅黑"/>
    <w:panose1 w:val="02000000000000000000"/>
    <w:charset w:val="86"/>
    <w:family w:val="auto"/>
    <w:pitch w:val="default"/>
    <w:sig w:usb0="00000000" w:usb1="00000000" w:usb2="00082016" w:usb3="00000000" w:csb0="00040001" w:csb1="00000000"/>
  </w:font>
  <w:font w:name="汉仪书宋二KW">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汉仪中等线简">
    <w:altName w:val="黑体"/>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r>
      <w:rPr>
        <w:rFonts w:hint="default"/>
        <w:sz w:val="18"/>
        <w:lang w:val="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val="en-US" w:eastAsia="zh-CN"/>
      </w:rPr>
    </w:pPr>
    <w:r>
      <w:rPr>
        <w:rFonts w:hint="eastAsia"/>
        <w:sz w:val="18"/>
        <w:lang w:val="en-US" w:eastAsia="zh-CN"/>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r>
      <w:rPr>
        <w:rFonts w:hint="eastAsia"/>
        <w:sz w:val="18"/>
        <w:lang w:val="en-US" w:eastAsia="zh-CN"/>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221</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default" w:eastAsia="宋体"/>
                        <w:lang w:val="en-US" w:eastAsia="zh-CN"/>
                      </w:rPr>
                    </w:pPr>
                  </w:p>
                </w:txbxContent>
              </v:textbox>
            </v:shape>
          </w:pict>
        </mc:Fallback>
      </mc:AlternateContent>
    </w:r>
  </w:p>
  <w:p>
    <w:pPr>
      <w:pStyle w:val="12"/>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sz w:val="17"/>
        <w:szCs w:val="17"/>
      </w:rPr>
    </w:pPr>
    <w:r>
      <w:rPr>
        <w:rStyle w:val="25"/>
        <w:sz w:val="17"/>
        <w:szCs w:val="17"/>
      </w:rPr>
      <w:fldChar w:fldCharType="begin"/>
    </w:r>
    <w:r>
      <w:rPr>
        <w:rStyle w:val="25"/>
        <w:sz w:val="17"/>
        <w:szCs w:val="17"/>
      </w:rPr>
      <w:instrText xml:space="preserve">PAGE  </w:instrText>
    </w:r>
    <w:r>
      <w:rPr>
        <w:rStyle w:val="25"/>
        <w:sz w:val="17"/>
        <w:szCs w:val="17"/>
      </w:rPr>
      <w:fldChar w:fldCharType="separate"/>
    </w:r>
    <w:r>
      <w:rPr>
        <w:rStyle w:val="25"/>
        <w:sz w:val="17"/>
        <w:szCs w:val="17"/>
      </w:rPr>
      <w:t>14</w:t>
    </w:r>
    <w:r>
      <w:rPr>
        <w:rStyle w:val="25"/>
        <w:sz w:val="17"/>
        <w:szCs w:val="17"/>
      </w:rPr>
      <w:fldChar w:fldCharType="end"/>
    </w:r>
  </w:p>
  <w:p>
    <w:pPr>
      <w:pStyle w:val="12"/>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sz w:val="17"/>
        <w:szCs w:val="17"/>
      </w:rPr>
    </w:pPr>
    <w:r>
      <w:rPr>
        <w:rStyle w:val="25"/>
        <w:sz w:val="17"/>
        <w:szCs w:val="17"/>
      </w:rPr>
      <w:fldChar w:fldCharType="begin"/>
    </w:r>
    <w:r>
      <w:rPr>
        <w:rStyle w:val="25"/>
        <w:sz w:val="17"/>
        <w:szCs w:val="17"/>
      </w:rPr>
      <w:instrText xml:space="preserve">PAGE  </w:instrText>
    </w:r>
    <w:r>
      <w:rPr>
        <w:rStyle w:val="25"/>
        <w:sz w:val="17"/>
        <w:szCs w:val="17"/>
      </w:rPr>
      <w:fldChar w:fldCharType="separate"/>
    </w:r>
    <w:r>
      <w:rPr>
        <w:rStyle w:val="25"/>
        <w:sz w:val="17"/>
        <w:szCs w:val="17"/>
      </w:rPr>
      <w:t>14</w:t>
    </w:r>
    <w:r>
      <w:rPr>
        <w:rStyle w:val="25"/>
        <w:sz w:val="17"/>
        <w:szCs w:val="17"/>
      </w:rPr>
      <w:fldChar w:fldCharType="end"/>
    </w:r>
  </w:p>
  <w:p>
    <w:pPr>
      <w:pStyle w:val="12"/>
      <w:rPr>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报表 第</w:t>
    </w:r>
    <w:r>
      <w:fldChar w:fldCharType="begin"/>
    </w:r>
    <w:r>
      <w:instrText xml:space="preserve">PAGE   \* MERGEFORMAT</w:instrText>
    </w:r>
    <w:r>
      <w:fldChar w:fldCharType="separate"/>
    </w:r>
    <w:r>
      <w:rPr>
        <w:lang w:val="zh-CN"/>
      </w:rPr>
      <w:t>9</w:t>
    </w:r>
    <w:r>
      <w:fldChar w:fldCharType="end"/>
    </w:r>
    <w:r>
      <w:rPr>
        <w:rFonts w:hint="eastAsia"/>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tLeast"/>
      <w:ind w:right="42" w:rightChars="20"/>
      <w:outlineLvl w:val="0"/>
      <w:rPr>
        <w:rFonts w:ascii="宋体" w:hAnsi="Courier New" w:cs="宋体"/>
        <w:sz w:val="18"/>
        <w:szCs w:val="18"/>
      </w:rPr>
    </w:pPr>
    <w:r>
      <w:rPr>
        <w:rFonts w:ascii="Times New Roman" w:hAnsi="Times New Roman" w:cs="宋体"/>
        <w:sz w:val="18"/>
        <w:szCs w:val="18"/>
      </w:rPr>
      <w:fldChar w:fldCharType="begin"/>
    </w:r>
    <w:r>
      <w:rPr>
        <w:rFonts w:ascii="Times New Roman" w:hAnsi="Times New Roman" w:cs="宋体"/>
        <w:sz w:val="18"/>
        <w:szCs w:val="18"/>
      </w:rPr>
      <w:instrText xml:space="preserve"> DOCVARIABLE  基本信息_企业名称  \* MERGEFORMAT </w:instrText>
    </w:r>
    <w:r>
      <w:rPr>
        <w:rFonts w:ascii="Times New Roman" w:hAnsi="Times New Roman" w:cs="宋体"/>
        <w:sz w:val="18"/>
        <w:szCs w:val="18"/>
      </w:rPr>
      <w:fldChar w:fldCharType="separate"/>
    </w:r>
    <w:r>
      <w:rPr>
        <w:rFonts w:hint="eastAsia" w:ascii="Times New Roman" w:hAnsi="Times New Roman" w:cs="宋体"/>
        <w:sz w:val="18"/>
        <w:szCs w:val="18"/>
      </w:rPr>
      <w:t>国家电投集团贵州金元股份有限公司</w:t>
    </w:r>
    <w:r>
      <w:rPr>
        <w:rFonts w:ascii="宋体" w:hAnsi="Courier New" w:cs="宋体"/>
        <w:sz w:val="18"/>
        <w:szCs w:val="18"/>
      </w:rPr>
      <w:fldChar w:fldCharType="end"/>
    </w:r>
  </w:p>
  <w:p>
    <w:pPr>
      <w:pStyle w:val="10"/>
      <w:adjustRightInd w:val="0"/>
      <w:snapToGrid w:val="0"/>
      <w:spacing w:line="240" w:lineRule="atLeast"/>
      <w:rPr>
        <w:rFonts w:hint="default"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DOCVARIABLE  基本信息_项目年度  \* MERGEFORMAT </w:instrText>
    </w:r>
    <w:r>
      <w:rPr>
        <w:rFonts w:ascii="Times New Roman" w:hAnsi="Times New Roman"/>
        <w:sz w:val="18"/>
        <w:szCs w:val="18"/>
      </w:rPr>
      <w:fldChar w:fldCharType="separate"/>
    </w:r>
    <w:r>
      <w:rPr>
        <w:rFonts w:ascii="Times New Roman" w:hAnsi="Times New Roman"/>
        <w:sz w:val="18"/>
        <w:szCs w:val="18"/>
      </w:rPr>
      <w:t>2024年度</w:t>
    </w:r>
    <w:r>
      <w:rPr>
        <w:rFonts w:ascii="Times New Roman" w:hAnsi="Times New Roman"/>
        <w:sz w:val="18"/>
        <w:szCs w:val="18"/>
      </w:rPr>
      <w:fldChar w:fldCharType="end"/>
    </w:r>
  </w:p>
  <w:p>
    <w:pPr>
      <w:pStyle w:val="10"/>
      <w:pBdr>
        <w:bottom w:val="single" w:color="auto" w:sz="4" w:space="0"/>
      </w:pBdr>
      <w:adjustRightInd w:val="0"/>
      <w:snapToGrid w:val="0"/>
      <w:spacing w:line="240" w:lineRule="atLeast"/>
      <w:rPr>
        <w:rFonts w:hint="default"/>
        <w:sz w:val="18"/>
        <w:szCs w:val="18"/>
      </w:rPr>
    </w:pPr>
    <w:r>
      <w:rPr>
        <w:rFonts w:hint="default"/>
        <w:sz w:val="18"/>
        <w:szCs w:val="18"/>
      </w:rPr>
      <w:t>财务报表附注</w:t>
    </w:r>
  </w:p>
  <w:p>
    <w:pPr>
      <w:pStyle w:val="13"/>
      <w:pBdr>
        <w:bottom w:val="none" w:color="auto" w:sz="0" w:space="0"/>
      </w:pBdr>
      <w:spacing w:line="240"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line="240"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C6D5"/>
    <w:multiLevelType w:val="singleLevel"/>
    <w:tmpl w:val="8137C6D5"/>
    <w:lvl w:ilvl="0" w:tentative="0">
      <w:start w:val="2"/>
      <w:numFmt w:val="decimal"/>
      <w:suff w:val="nothing"/>
      <w:lvlText w:val="%1、"/>
      <w:lvlJc w:val="left"/>
    </w:lvl>
  </w:abstractNum>
  <w:abstractNum w:abstractNumId="1">
    <w:nsid w:val="A2C7EFB4"/>
    <w:multiLevelType w:val="singleLevel"/>
    <w:tmpl w:val="A2C7EFB4"/>
    <w:lvl w:ilvl="0" w:tentative="0">
      <w:start w:val="10"/>
      <w:numFmt w:val="chineseCounting"/>
      <w:suff w:val="nothing"/>
      <w:lvlText w:val="（%1）"/>
      <w:lvlJc w:val="left"/>
      <w:rPr>
        <w:rFonts w:hint="eastAsia"/>
      </w:rPr>
    </w:lvl>
  </w:abstractNum>
  <w:abstractNum w:abstractNumId="2">
    <w:nsid w:val="BD57A7FB"/>
    <w:multiLevelType w:val="singleLevel"/>
    <w:tmpl w:val="BD57A7FB"/>
    <w:lvl w:ilvl="0" w:tentative="0">
      <w:start w:val="3"/>
      <w:numFmt w:val="chineseCounting"/>
      <w:suff w:val="nothing"/>
      <w:lvlText w:val="（%1）"/>
      <w:lvlJc w:val="left"/>
      <w:rPr>
        <w:rFonts w:hint="eastAsia"/>
      </w:rPr>
    </w:lvl>
  </w:abstractNum>
  <w:abstractNum w:abstractNumId="3">
    <w:nsid w:val="C9B37173"/>
    <w:multiLevelType w:val="singleLevel"/>
    <w:tmpl w:val="C9B37173"/>
    <w:lvl w:ilvl="0" w:tentative="0">
      <w:start w:val="1"/>
      <w:numFmt w:val="decimal"/>
      <w:lvlText w:val="%1."/>
      <w:lvlJc w:val="left"/>
      <w:pPr>
        <w:tabs>
          <w:tab w:val="left" w:pos="312"/>
        </w:tabs>
        <w:ind w:left="480" w:firstLine="0"/>
      </w:pPr>
    </w:lvl>
  </w:abstractNum>
  <w:abstractNum w:abstractNumId="4">
    <w:nsid w:val="05F423BD"/>
    <w:multiLevelType w:val="multilevel"/>
    <w:tmpl w:val="05F423BD"/>
    <w:lvl w:ilvl="0" w:tentative="0">
      <w:start w:val="1"/>
      <w:numFmt w:val="bullet"/>
      <w:pStyle w:val="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
    <w:nsid w:val="0D0070B3"/>
    <w:multiLevelType w:val="multilevel"/>
    <w:tmpl w:val="0D0070B3"/>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6">
    <w:nsid w:val="0D6D2F6B"/>
    <w:multiLevelType w:val="multilevel"/>
    <w:tmpl w:val="0D6D2F6B"/>
    <w:lvl w:ilvl="0" w:tentative="0">
      <w:start w:val="1"/>
      <w:numFmt w:val="chineseCounting"/>
      <w:pStyle w:val="43"/>
      <w:lvlText w:val="%1、"/>
      <w:lvlJc w:val="left"/>
      <w:pPr>
        <w:ind w:left="709" w:hanging="709"/>
      </w:pPr>
    </w:lvl>
    <w:lvl w:ilvl="1" w:tentative="0">
      <w:start w:val="1"/>
      <w:numFmt w:val="chineseCountingThousand"/>
      <w:pStyle w:val="37"/>
      <w:lvlText w:val="(%2)"/>
      <w:lvlJc w:val="left"/>
      <w:pPr>
        <w:ind w:left="919" w:hanging="709"/>
      </w:pPr>
    </w:lvl>
    <w:lvl w:ilvl="2" w:tentative="0">
      <w:start w:val="1"/>
      <w:numFmt w:val="decimal"/>
      <w:pStyle w:val="44"/>
      <w:lvlText w:val="%3、"/>
      <w:lvlJc w:val="left"/>
      <w:pPr>
        <w:ind w:left="127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60329E0"/>
    <w:multiLevelType w:val="multilevel"/>
    <w:tmpl w:val="160329E0"/>
    <w:lvl w:ilvl="0" w:tentative="0">
      <w:start w:val="1"/>
      <w:numFmt w:val="bullet"/>
      <w:lvlText w:val="−"/>
      <w:lvlJc w:val="left"/>
      <w:pPr>
        <w:ind w:left="1716" w:hanging="440"/>
      </w:pPr>
      <w:rPr>
        <w:rFonts w:hint="eastAsia" w:ascii="微软雅黑" w:hAnsi="微软雅黑" w:eastAsia="微软雅黑"/>
      </w:rPr>
    </w:lvl>
    <w:lvl w:ilvl="1" w:tentative="0">
      <w:start w:val="1"/>
      <w:numFmt w:val="bullet"/>
      <w:lvlText w:val=""/>
      <w:lvlJc w:val="left"/>
      <w:pPr>
        <w:ind w:left="2156" w:hanging="440"/>
      </w:pPr>
      <w:rPr>
        <w:rFonts w:hint="default" w:ascii="Wingdings" w:hAnsi="Wingdings"/>
      </w:rPr>
    </w:lvl>
    <w:lvl w:ilvl="2" w:tentative="0">
      <w:start w:val="1"/>
      <w:numFmt w:val="bullet"/>
      <w:lvlText w:val=""/>
      <w:lvlJc w:val="left"/>
      <w:pPr>
        <w:ind w:left="2596" w:hanging="440"/>
      </w:pPr>
      <w:rPr>
        <w:rFonts w:hint="default" w:ascii="Wingdings" w:hAnsi="Wingdings"/>
      </w:rPr>
    </w:lvl>
    <w:lvl w:ilvl="3" w:tentative="0">
      <w:start w:val="1"/>
      <w:numFmt w:val="bullet"/>
      <w:lvlText w:val=""/>
      <w:lvlJc w:val="left"/>
      <w:pPr>
        <w:ind w:left="3036" w:hanging="440"/>
      </w:pPr>
      <w:rPr>
        <w:rFonts w:hint="default" w:ascii="Wingdings" w:hAnsi="Wingdings"/>
      </w:rPr>
    </w:lvl>
    <w:lvl w:ilvl="4" w:tentative="0">
      <w:start w:val="1"/>
      <w:numFmt w:val="bullet"/>
      <w:lvlText w:val=""/>
      <w:lvlJc w:val="left"/>
      <w:pPr>
        <w:ind w:left="3476" w:hanging="440"/>
      </w:pPr>
      <w:rPr>
        <w:rFonts w:hint="default" w:ascii="Wingdings" w:hAnsi="Wingdings"/>
      </w:rPr>
    </w:lvl>
    <w:lvl w:ilvl="5" w:tentative="0">
      <w:start w:val="1"/>
      <w:numFmt w:val="bullet"/>
      <w:lvlText w:val=""/>
      <w:lvlJc w:val="left"/>
      <w:pPr>
        <w:ind w:left="3916" w:hanging="440"/>
      </w:pPr>
      <w:rPr>
        <w:rFonts w:hint="default" w:ascii="Wingdings" w:hAnsi="Wingdings"/>
      </w:rPr>
    </w:lvl>
    <w:lvl w:ilvl="6" w:tentative="0">
      <w:start w:val="1"/>
      <w:numFmt w:val="bullet"/>
      <w:lvlText w:val=""/>
      <w:lvlJc w:val="left"/>
      <w:pPr>
        <w:ind w:left="4356" w:hanging="440"/>
      </w:pPr>
      <w:rPr>
        <w:rFonts w:hint="default" w:ascii="Wingdings" w:hAnsi="Wingdings"/>
      </w:rPr>
    </w:lvl>
    <w:lvl w:ilvl="7" w:tentative="0">
      <w:start w:val="1"/>
      <w:numFmt w:val="bullet"/>
      <w:lvlText w:val=""/>
      <w:lvlJc w:val="left"/>
      <w:pPr>
        <w:ind w:left="4796" w:hanging="440"/>
      </w:pPr>
      <w:rPr>
        <w:rFonts w:hint="default" w:ascii="Wingdings" w:hAnsi="Wingdings"/>
      </w:rPr>
    </w:lvl>
    <w:lvl w:ilvl="8" w:tentative="0">
      <w:start w:val="1"/>
      <w:numFmt w:val="bullet"/>
      <w:lvlText w:val=""/>
      <w:lvlJc w:val="left"/>
      <w:pPr>
        <w:ind w:left="5236" w:hanging="440"/>
      </w:pPr>
      <w:rPr>
        <w:rFonts w:hint="default" w:ascii="Wingdings" w:hAnsi="Wingdings"/>
      </w:rPr>
    </w:lvl>
  </w:abstractNum>
  <w:abstractNum w:abstractNumId="8">
    <w:nsid w:val="19382A72"/>
    <w:multiLevelType w:val="multilevel"/>
    <w:tmpl w:val="19382A72"/>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9">
    <w:nsid w:val="1BFF31D3"/>
    <w:multiLevelType w:val="multilevel"/>
    <w:tmpl w:val="1BFF31D3"/>
    <w:lvl w:ilvl="0" w:tentative="0">
      <w:start w:val="0"/>
      <w:numFmt w:val="bullet"/>
      <w:lvlText w:val="•"/>
      <w:lvlJc w:val="left"/>
      <w:pPr>
        <w:ind w:left="1134" w:hanging="420"/>
      </w:pPr>
      <w:rPr>
        <w:rFonts w:hint="eastAsia" w:ascii="宋体" w:hAnsi="宋体" w:eastAsia="宋体" w:cs="Times New Roman"/>
        <w:color w:val="auto"/>
      </w:rPr>
    </w:lvl>
    <w:lvl w:ilvl="1" w:tentative="0">
      <w:start w:val="1"/>
      <w:numFmt w:val="bullet"/>
      <w:lvlText w:val=""/>
      <w:lvlJc w:val="left"/>
      <w:pPr>
        <w:ind w:left="1554" w:hanging="420"/>
      </w:pPr>
      <w:rPr>
        <w:rFonts w:hint="default" w:ascii="Wingdings" w:hAnsi="Wingdings"/>
      </w:rPr>
    </w:lvl>
    <w:lvl w:ilvl="2" w:tentative="0">
      <w:start w:val="1"/>
      <w:numFmt w:val="bullet"/>
      <w:lvlText w:val=""/>
      <w:lvlJc w:val="left"/>
      <w:pPr>
        <w:ind w:left="1974" w:hanging="420"/>
      </w:pPr>
      <w:rPr>
        <w:rFonts w:hint="default" w:ascii="Wingdings" w:hAnsi="Wingdings"/>
      </w:rPr>
    </w:lvl>
    <w:lvl w:ilvl="3" w:tentative="0">
      <w:start w:val="1"/>
      <w:numFmt w:val="bullet"/>
      <w:lvlText w:val=""/>
      <w:lvlJc w:val="left"/>
      <w:pPr>
        <w:ind w:left="2394" w:hanging="420"/>
      </w:pPr>
      <w:rPr>
        <w:rFonts w:hint="default" w:ascii="Wingdings" w:hAnsi="Wingdings"/>
      </w:rPr>
    </w:lvl>
    <w:lvl w:ilvl="4" w:tentative="0">
      <w:start w:val="1"/>
      <w:numFmt w:val="bullet"/>
      <w:lvlText w:val=""/>
      <w:lvlJc w:val="left"/>
      <w:pPr>
        <w:ind w:left="2814" w:hanging="420"/>
      </w:pPr>
      <w:rPr>
        <w:rFonts w:hint="default" w:ascii="Wingdings" w:hAnsi="Wingdings"/>
      </w:rPr>
    </w:lvl>
    <w:lvl w:ilvl="5" w:tentative="0">
      <w:start w:val="1"/>
      <w:numFmt w:val="bullet"/>
      <w:lvlText w:val=""/>
      <w:lvlJc w:val="left"/>
      <w:pPr>
        <w:ind w:left="3234" w:hanging="420"/>
      </w:pPr>
      <w:rPr>
        <w:rFonts w:hint="default" w:ascii="Wingdings" w:hAnsi="Wingdings"/>
      </w:rPr>
    </w:lvl>
    <w:lvl w:ilvl="6" w:tentative="0">
      <w:start w:val="1"/>
      <w:numFmt w:val="bullet"/>
      <w:lvlText w:val=""/>
      <w:lvlJc w:val="left"/>
      <w:pPr>
        <w:ind w:left="3654" w:hanging="420"/>
      </w:pPr>
      <w:rPr>
        <w:rFonts w:hint="default" w:ascii="Wingdings" w:hAnsi="Wingdings"/>
      </w:rPr>
    </w:lvl>
    <w:lvl w:ilvl="7" w:tentative="0">
      <w:start w:val="1"/>
      <w:numFmt w:val="bullet"/>
      <w:lvlText w:val=""/>
      <w:lvlJc w:val="left"/>
      <w:pPr>
        <w:ind w:left="4074" w:hanging="420"/>
      </w:pPr>
      <w:rPr>
        <w:rFonts w:hint="default" w:ascii="Wingdings" w:hAnsi="Wingdings"/>
      </w:rPr>
    </w:lvl>
    <w:lvl w:ilvl="8" w:tentative="0">
      <w:start w:val="1"/>
      <w:numFmt w:val="bullet"/>
      <w:lvlText w:val=""/>
      <w:lvlJc w:val="left"/>
      <w:pPr>
        <w:ind w:left="4494" w:hanging="420"/>
      </w:pPr>
      <w:rPr>
        <w:rFonts w:hint="default" w:ascii="Wingdings" w:hAnsi="Wingdings"/>
      </w:rPr>
    </w:lvl>
  </w:abstractNum>
  <w:abstractNum w:abstractNumId="10">
    <w:nsid w:val="211E2CC6"/>
    <w:multiLevelType w:val="multilevel"/>
    <w:tmpl w:val="211E2CC6"/>
    <w:lvl w:ilvl="0" w:tentative="0">
      <w:start w:val="1"/>
      <w:numFmt w:val="chineseCountingThousand"/>
      <w:pStyle w:val="3"/>
      <w:suff w:val="nothing"/>
      <w:lvlText w:val="第%1节"/>
      <w:lvlJc w:val="left"/>
      <w:pPr>
        <w:ind w:left="0" w:firstLine="0"/>
      </w:pPr>
      <w:rPr>
        <w:rFonts w:hint="eastAsia" w:ascii="黑体" w:hAnsi="黑体" w:eastAsia="黑体"/>
        <w:b w:val="0"/>
        <w:i w:val="0"/>
        <w:sz w:val="32"/>
      </w:rPr>
    </w:lvl>
    <w:lvl w:ilvl="1" w:tentative="0">
      <w:start w:val="1"/>
      <w:numFmt w:val="koreanDigital2"/>
      <w:suff w:val="nothing"/>
      <w:lvlText w:val="%2、"/>
      <w:lvlJc w:val="left"/>
      <w:pPr>
        <w:ind w:left="0" w:firstLine="0"/>
      </w:pPr>
      <w:rPr>
        <w:rFonts w:hint="default" w:ascii="Times New Roman" w:hAnsi="Times New Roman" w:cs="Times New Roman"/>
        <w:b w:val="0"/>
        <w:i w:val="0"/>
        <w:sz w:val="28"/>
      </w:rPr>
    </w:lvl>
    <w:lvl w:ilvl="2" w:tentative="0">
      <w:start w:val="1"/>
      <w:numFmt w:val="koreanDigital2"/>
      <w:suff w:val="nothing"/>
      <w:lvlText w:val="（%3）"/>
      <w:lvlJc w:val="left"/>
      <w:rPr>
        <w:rFonts w:hint="default" w:ascii="Times New Roman" w:hAnsi="Times New Roman" w:cs="Times New Roman"/>
        <w:b w:val="0"/>
        <w:bCs w:val="0"/>
        <w:i w:val="0"/>
        <w:iCs w:val="0"/>
        <w:caps w:val="0"/>
        <w:smallCaps w:val="0"/>
        <w:strike w:val="0"/>
        <w:dstrike w:val="0"/>
        <w:vanish w:val="0"/>
        <w:color w:val="000000"/>
        <w:spacing w:val="0"/>
        <w:position w:val="0"/>
        <w:sz w:val="24"/>
        <w:u w:val="none"/>
        <w:vertAlign w:val="baseline"/>
      </w:rPr>
    </w:lvl>
    <w:lvl w:ilvl="3" w:tentative="0">
      <w:start w:val="1"/>
      <w:numFmt w:val="decimal"/>
      <w:suff w:val="nothing"/>
      <w:lvlText w:val="%4、"/>
      <w:lvlJc w:val="left"/>
      <w:pPr>
        <w:ind w:left="0" w:firstLine="0"/>
      </w:pPr>
      <w:rPr>
        <w:rFonts w:hint="default" w:ascii="Times New Roman" w:hAnsi="Times New Roman" w:cs="Times New Roman"/>
        <w:b/>
        <w:i w:val="0"/>
        <w:sz w:val="24"/>
      </w:rPr>
    </w:lvl>
    <w:lvl w:ilvl="4" w:tentative="0">
      <w:start w:val="1"/>
      <w:numFmt w:val="decimal"/>
      <w:suff w:val="nothing"/>
      <w:lvlText w:val="（%5）"/>
      <w:lvlJc w:val="left"/>
      <w:rPr>
        <w:rFonts w:hint="default" w:ascii="Times New Roman" w:hAnsi="Times New Roman" w:cs="Times New Roman"/>
        <w:b w:val="0"/>
        <w:bCs w:val="0"/>
        <w:i w:val="0"/>
        <w:iCs w:val="0"/>
        <w:caps w:val="0"/>
        <w:smallCaps w:val="0"/>
        <w:strike w:val="0"/>
        <w:dstrike w:val="0"/>
        <w:vanish w:val="0"/>
        <w:color w:val="000000"/>
        <w:spacing w:val="0"/>
        <w:position w:val="0"/>
        <w:sz w:val="24"/>
        <w:u w:val="none"/>
        <w:vertAlign w:val="baseline"/>
      </w:rPr>
    </w:lvl>
    <w:lvl w:ilvl="5" w:tentative="0">
      <w:start w:val="1"/>
      <w:numFmt w:val="decimal"/>
      <w:suff w:val="nothing"/>
      <w:lvlText w:val="%6）"/>
      <w:lvlJc w:val="left"/>
      <w:pPr>
        <w:ind w:left="0" w:firstLine="0"/>
      </w:pPr>
      <w:rPr>
        <w:rFonts w:hint="default" w:ascii="Times New Roman" w:hAnsi="Times New Roman" w:cs="Times New Roman"/>
        <w:b w:val="0"/>
        <w:i w:val="0"/>
        <w:sz w:val="24"/>
        <w:u w:val="none"/>
      </w:rPr>
    </w:lvl>
    <w:lvl w:ilvl="6" w:tentative="0">
      <w:start w:val="1"/>
      <w:numFmt w:val="decimalEnclosedCircle"/>
      <w:suff w:val="nothing"/>
      <w:lvlText w:val="%7"/>
      <w:lvlJc w:val="left"/>
      <w:pPr>
        <w:ind w:left="0" w:firstLine="0"/>
      </w:pPr>
      <w:rPr>
        <w:rFonts w:hint="default" w:ascii="Times New Roman" w:hAnsi="Times New Roman" w:cs="Times New Roman"/>
        <w:b w:val="0"/>
        <w:i w:val="0"/>
        <w:sz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2EA2350"/>
    <w:multiLevelType w:val="multilevel"/>
    <w:tmpl w:val="22EA2350"/>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12">
    <w:nsid w:val="3065C6BC"/>
    <w:multiLevelType w:val="singleLevel"/>
    <w:tmpl w:val="3065C6BC"/>
    <w:lvl w:ilvl="0" w:tentative="0">
      <w:start w:val="2"/>
      <w:numFmt w:val="chineseCounting"/>
      <w:suff w:val="space"/>
      <w:lvlText w:val="(%1)"/>
      <w:lvlJc w:val="left"/>
      <w:rPr>
        <w:rFonts w:hint="eastAsia"/>
      </w:rPr>
    </w:lvl>
  </w:abstractNum>
  <w:abstractNum w:abstractNumId="13">
    <w:nsid w:val="34197B9F"/>
    <w:multiLevelType w:val="singleLevel"/>
    <w:tmpl w:val="34197B9F"/>
    <w:lvl w:ilvl="0" w:tentative="0">
      <w:start w:val="5"/>
      <w:numFmt w:val="chineseCounting"/>
      <w:suff w:val="nothing"/>
      <w:lvlText w:val="%1、"/>
      <w:lvlJc w:val="left"/>
      <w:rPr>
        <w:rFonts w:hint="eastAsia"/>
      </w:rPr>
    </w:lvl>
  </w:abstractNum>
  <w:abstractNum w:abstractNumId="14">
    <w:nsid w:val="36C71CE3"/>
    <w:multiLevelType w:val="multilevel"/>
    <w:tmpl w:val="36C71CE3"/>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15">
    <w:nsid w:val="39622BA3"/>
    <w:multiLevelType w:val="multilevel"/>
    <w:tmpl w:val="39622BA3"/>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6">
    <w:nsid w:val="43B529EB"/>
    <w:multiLevelType w:val="multilevel"/>
    <w:tmpl w:val="43B529EB"/>
    <w:lvl w:ilvl="0" w:tentative="0">
      <w:start w:val="5"/>
      <w:numFmt w:val="bullet"/>
      <w:lvlText w:val="-"/>
      <w:lvlJc w:val="left"/>
      <w:pPr>
        <w:ind w:left="1635" w:hanging="360"/>
      </w:pPr>
      <w:rPr>
        <w:rFonts w:hint="default" w:ascii="Times New Roman" w:hAnsi="Times New Roman" w:cs="Times New Roman" w:eastAsiaTheme="minorEastAsia"/>
      </w:rPr>
    </w:lvl>
    <w:lvl w:ilvl="1" w:tentative="0">
      <w:start w:val="1"/>
      <w:numFmt w:val="bullet"/>
      <w:lvlText w:val=""/>
      <w:lvlJc w:val="left"/>
      <w:pPr>
        <w:ind w:left="2115" w:hanging="420"/>
      </w:pPr>
      <w:rPr>
        <w:rFonts w:hint="default" w:ascii="Wingdings" w:hAnsi="Wingdings"/>
      </w:rPr>
    </w:lvl>
    <w:lvl w:ilvl="2" w:tentative="0">
      <w:start w:val="1"/>
      <w:numFmt w:val="bullet"/>
      <w:lvlText w:val=""/>
      <w:lvlJc w:val="left"/>
      <w:pPr>
        <w:ind w:left="2535" w:hanging="420"/>
      </w:pPr>
      <w:rPr>
        <w:rFonts w:hint="default" w:ascii="Wingdings" w:hAnsi="Wingdings"/>
      </w:rPr>
    </w:lvl>
    <w:lvl w:ilvl="3" w:tentative="0">
      <w:start w:val="1"/>
      <w:numFmt w:val="bullet"/>
      <w:lvlText w:val=""/>
      <w:lvlJc w:val="left"/>
      <w:pPr>
        <w:ind w:left="2955" w:hanging="420"/>
      </w:pPr>
      <w:rPr>
        <w:rFonts w:hint="default" w:ascii="Wingdings" w:hAnsi="Wingdings"/>
      </w:rPr>
    </w:lvl>
    <w:lvl w:ilvl="4" w:tentative="0">
      <w:start w:val="1"/>
      <w:numFmt w:val="bullet"/>
      <w:lvlText w:val=""/>
      <w:lvlJc w:val="left"/>
      <w:pPr>
        <w:ind w:left="3375" w:hanging="420"/>
      </w:pPr>
      <w:rPr>
        <w:rFonts w:hint="default" w:ascii="Wingdings" w:hAnsi="Wingdings"/>
      </w:rPr>
    </w:lvl>
    <w:lvl w:ilvl="5" w:tentative="0">
      <w:start w:val="1"/>
      <w:numFmt w:val="bullet"/>
      <w:lvlText w:val=""/>
      <w:lvlJc w:val="left"/>
      <w:pPr>
        <w:ind w:left="3795" w:hanging="420"/>
      </w:pPr>
      <w:rPr>
        <w:rFonts w:hint="default" w:ascii="Wingdings" w:hAnsi="Wingdings"/>
      </w:rPr>
    </w:lvl>
    <w:lvl w:ilvl="6" w:tentative="0">
      <w:start w:val="1"/>
      <w:numFmt w:val="bullet"/>
      <w:lvlText w:val=""/>
      <w:lvlJc w:val="left"/>
      <w:pPr>
        <w:ind w:left="4215" w:hanging="420"/>
      </w:pPr>
      <w:rPr>
        <w:rFonts w:hint="default" w:ascii="Wingdings" w:hAnsi="Wingdings"/>
      </w:rPr>
    </w:lvl>
    <w:lvl w:ilvl="7" w:tentative="0">
      <w:start w:val="1"/>
      <w:numFmt w:val="bullet"/>
      <w:lvlText w:val=""/>
      <w:lvlJc w:val="left"/>
      <w:pPr>
        <w:ind w:left="4635" w:hanging="420"/>
      </w:pPr>
      <w:rPr>
        <w:rFonts w:hint="default" w:ascii="Wingdings" w:hAnsi="Wingdings"/>
      </w:rPr>
    </w:lvl>
    <w:lvl w:ilvl="8" w:tentative="0">
      <w:start w:val="1"/>
      <w:numFmt w:val="bullet"/>
      <w:lvlText w:val=""/>
      <w:lvlJc w:val="left"/>
      <w:pPr>
        <w:ind w:left="5055" w:hanging="420"/>
      </w:pPr>
      <w:rPr>
        <w:rFonts w:hint="default" w:ascii="Wingdings" w:hAnsi="Wingdings"/>
      </w:rPr>
    </w:lvl>
  </w:abstractNum>
  <w:abstractNum w:abstractNumId="17">
    <w:nsid w:val="44331C38"/>
    <w:multiLevelType w:val="multilevel"/>
    <w:tmpl w:val="44331C38"/>
    <w:lvl w:ilvl="0" w:tentative="0">
      <w:start w:val="0"/>
      <w:numFmt w:val="bullet"/>
      <w:lvlText w:val="•"/>
      <w:lvlJc w:val="left"/>
      <w:pPr>
        <w:ind w:left="1074" w:hanging="360"/>
      </w:pPr>
      <w:rPr>
        <w:rFonts w:hint="eastAsia" w:ascii="宋体" w:hAnsi="宋体" w:eastAsia="宋体" w:cs="Times New Roman"/>
      </w:rPr>
    </w:lvl>
    <w:lvl w:ilvl="1" w:tentative="0">
      <w:start w:val="1"/>
      <w:numFmt w:val="bullet"/>
      <w:lvlText w:val=""/>
      <w:lvlJc w:val="left"/>
      <w:pPr>
        <w:ind w:left="1554" w:hanging="420"/>
      </w:pPr>
      <w:rPr>
        <w:rFonts w:hint="default" w:ascii="Wingdings" w:hAnsi="Wingdings"/>
      </w:rPr>
    </w:lvl>
    <w:lvl w:ilvl="2" w:tentative="0">
      <w:start w:val="1"/>
      <w:numFmt w:val="bullet"/>
      <w:lvlText w:val=""/>
      <w:lvlJc w:val="left"/>
      <w:pPr>
        <w:ind w:left="1974" w:hanging="420"/>
      </w:pPr>
      <w:rPr>
        <w:rFonts w:hint="default" w:ascii="Wingdings" w:hAnsi="Wingdings"/>
      </w:rPr>
    </w:lvl>
    <w:lvl w:ilvl="3" w:tentative="0">
      <w:start w:val="1"/>
      <w:numFmt w:val="bullet"/>
      <w:lvlText w:val=""/>
      <w:lvlJc w:val="left"/>
      <w:pPr>
        <w:ind w:left="2394" w:hanging="420"/>
      </w:pPr>
      <w:rPr>
        <w:rFonts w:hint="default" w:ascii="Wingdings" w:hAnsi="Wingdings"/>
      </w:rPr>
    </w:lvl>
    <w:lvl w:ilvl="4" w:tentative="0">
      <w:start w:val="1"/>
      <w:numFmt w:val="bullet"/>
      <w:lvlText w:val=""/>
      <w:lvlJc w:val="left"/>
      <w:pPr>
        <w:ind w:left="2814" w:hanging="420"/>
      </w:pPr>
      <w:rPr>
        <w:rFonts w:hint="default" w:ascii="Wingdings" w:hAnsi="Wingdings"/>
      </w:rPr>
    </w:lvl>
    <w:lvl w:ilvl="5" w:tentative="0">
      <w:start w:val="1"/>
      <w:numFmt w:val="bullet"/>
      <w:lvlText w:val=""/>
      <w:lvlJc w:val="left"/>
      <w:pPr>
        <w:ind w:left="3234" w:hanging="420"/>
      </w:pPr>
      <w:rPr>
        <w:rFonts w:hint="default" w:ascii="Wingdings" w:hAnsi="Wingdings"/>
      </w:rPr>
    </w:lvl>
    <w:lvl w:ilvl="6" w:tentative="0">
      <w:start w:val="1"/>
      <w:numFmt w:val="bullet"/>
      <w:lvlText w:val=""/>
      <w:lvlJc w:val="left"/>
      <w:pPr>
        <w:ind w:left="3654" w:hanging="420"/>
      </w:pPr>
      <w:rPr>
        <w:rFonts w:hint="default" w:ascii="Wingdings" w:hAnsi="Wingdings"/>
      </w:rPr>
    </w:lvl>
    <w:lvl w:ilvl="7" w:tentative="0">
      <w:start w:val="1"/>
      <w:numFmt w:val="bullet"/>
      <w:lvlText w:val=""/>
      <w:lvlJc w:val="left"/>
      <w:pPr>
        <w:ind w:left="4074" w:hanging="420"/>
      </w:pPr>
      <w:rPr>
        <w:rFonts w:hint="default" w:ascii="Wingdings" w:hAnsi="Wingdings"/>
      </w:rPr>
    </w:lvl>
    <w:lvl w:ilvl="8" w:tentative="0">
      <w:start w:val="1"/>
      <w:numFmt w:val="bullet"/>
      <w:lvlText w:val=""/>
      <w:lvlJc w:val="left"/>
      <w:pPr>
        <w:ind w:left="4494" w:hanging="420"/>
      </w:pPr>
      <w:rPr>
        <w:rFonts w:hint="default" w:ascii="Wingdings" w:hAnsi="Wingdings"/>
      </w:rPr>
    </w:lvl>
  </w:abstractNum>
  <w:abstractNum w:abstractNumId="18">
    <w:nsid w:val="482C15F5"/>
    <w:multiLevelType w:val="multilevel"/>
    <w:tmpl w:val="482C15F5"/>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19">
    <w:nsid w:val="4F8142EE"/>
    <w:multiLevelType w:val="multilevel"/>
    <w:tmpl w:val="4F8142EE"/>
    <w:lvl w:ilvl="0" w:tentative="0">
      <w:start w:val="1"/>
      <w:numFmt w:val="chineseCountingThousand"/>
      <w:pStyle w:val="42"/>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20">
    <w:nsid w:val="526F35D9"/>
    <w:multiLevelType w:val="multilevel"/>
    <w:tmpl w:val="526F35D9"/>
    <w:lvl w:ilvl="0" w:tentative="0">
      <w:start w:val="0"/>
      <w:numFmt w:val="bullet"/>
      <w:lvlText w:val="-"/>
      <w:lvlJc w:val="left"/>
      <w:pPr>
        <w:ind w:left="1636" w:hanging="360"/>
      </w:pPr>
      <w:rPr>
        <w:rFonts w:hint="default" w:ascii="Times New Roman" w:hAnsi="Times New Roman" w:cs="Times New Roman" w:eastAsiaTheme="minorEastAsia"/>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abstractNum w:abstractNumId="21">
    <w:nsid w:val="5E25A94E"/>
    <w:multiLevelType w:val="singleLevel"/>
    <w:tmpl w:val="5E25A94E"/>
    <w:lvl w:ilvl="0" w:tentative="0">
      <w:start w:val="2"/>
      <w:numFmt w:val="chineseCounting"/>
      <w:suff w:val="nothing"/>
      <w:lvlText w:val="（%1）"/>
      <w:lvlJc w:val="left"/>
      <w:rPr>
        <w:rFonts w:hint="eastAsia"/>
      </w:rPr>
    </w:lvl>
  </w:abstractNum>
  <w:abstractNum w:abstractNumId="22">
    <w:nsid w:val="5F2075A5"/>
    <w:multiLevelType w:val="singleLevel"/>
    <w:tmpl w:val="5F2075A5"/>
    <w:lvl w:ilvl="0" w:tentative="0">
      <w:start w:val="2"/>
      <w:numFmt w:val="chineseCounting"/>
      <w:suff w:val="nothing"/>
      <w:lvlText w:val="%1、"/>
      <w:lvlJc w:val="left"/>
      <w:rPr>
        <w:rFonts w:hint="eastAsia"/>
      </w:rPr>
    </w:lvl>
  </w:abstractNum>
  <w:abstractNum w:abstractNumId="23">
    <w:nsid w:val="647DF120"/>
    <w:multiLevelType w:val="singleLevel"/>
    <w:tmpl w:val="647DF120"/>
    <w:lvl w:ilvl="0" w:tentative="0">
      <w:start w:val="3"/>
      <w:numFmt w:val="chineseCounting"/>
      <w:suff w:val="nothing"/>
      <w:lvlText w:val="%1、"/>
      <w:lvlJc w:val="left"/>
    </w:lvl>
  </w:abstractNum>
  <w:abstractNum w:abstractNumId="24">
    <w:nsid w:val="6B0D13B3"/>
    <w:multiLevelType w:val="multilevel"/>
    <w:tmpl w:val="6B0D13B3"/>
    <w:lvl w:ilvl="0" w:tentative="0">
      <w:start w:val="0"/>
      <w:numFmt w:val="bullet"/>
      <w:lvlText w:val="•"/>
      <w:lvlJc w:val="left"/>
      <w:pPr>
        <w:ind w:left="1696" w:hanging="420"/>
      </w:pPr>
      <w:rPr>
        <w:rFonts w:hint="eastAsia" w:ascii="宋体" w:hAnsi="宋体" w:eastAsia="宋体" w:cs="Times New Roman"/>
      </w:rPr>
    </w:lvl>
    <w:lvl w:ilvl="1" w:tentative="0">
      <w:start w:val="1"/>
      <w:numFmt w:val="bullet"/>
      <w:lvlText w:val=""/>
      <w:lvlJc w:val="left"/>
      <w:pPr>
        <w:ind w:left="2116" w:hanging="420"/>
      </w:pPr>
      <w:rPr>
        <w:rFonts w:hint="default" w:ascii="Wingdings" w:hAnsi="Wingdings"/>
      </w:rPr>
    </w:lvl>
    <w:lvl w:ilvl="2" w:tentative="0">
      <w:start w:val="1"/>
      <w:numFmt w:val="bullet"/>
      <w:lvlText w:val=""/>
      <w:lvlJc w:val="left"/>
      <w:pPr>
        <w:ind w:left="2536" w:hanging="420"/>
      </w:pPr>
      <w:rPr>
        <w:rFonts w:hint="default" w:ascii="Wingdings" w:hAnsi="Wingdings"/>
      </w:rPr>
    </w:lvl>
    <w:lvl w:ilvl="3" w:tentative="0">
      <w:start w:val="1"/>
      <w:numFmt w:val="bullet"/>
      <w:lvlText w:val=""/>
      <w:lvlJc w:val="left"/>
      <w:pPr>
        <w:ind w:left="2956" w:hanging="420"/>
      </w:pPr>
      <w:rPr>
        <w:rFonts w:hint="default" w:ascii="Wingdings" w:hAnsi="Wingdings"/>
      </w:rPr>
    </w:lvl>
    <w:lvl w:ilvl="4" w:tentative="0">
      <w:start w:val="1"/>
      <w:numFmt w:val="bullet"/>
      <w:lvlText w:val=""/>
      <w:lvlJc w:val="left"/>
      <w:pPr>
        <w:ind w:left="3376" w:hanging="420"/>
      </w:pPr>
      <w:rPr>
        <w:rFonts w:hint="default" w:ascii="Wingdings" w:hAnsi="Wingdings"/>
      </w:rPr>
    </w:lvl>
    <w:lvl w:ilvl="5" w:tentative="0">
      <w:start w:val="1"/>
      <w:numFmt w:val="bullet"/>
      <w:lvlText w:val=""/>
      <w:lvlJc w:val="left"/>
      <w:pPr>
        <w:ind w:left="3796" w:hanging="420"/>
      </w:pPr>
      <w:rPr>
        <w:rFonts w:hint="default" w:ascii="Wingdings" w:hAnsi="Wingdings"/>
      </w:rPr>
    </w:lvl>
    <w:lvl w:ilvl="6" w:tentative="0">
      <w:start w:val="1"/>
      <w:numFmt w:val="bullet"/>
      <w:lvlText w:val=""/>
      <w:lvlJc w:val="left"/>
      <w:pPr>
        <w:ind w:left="4216" w:hanging="420"/>
      </w:pPr>
      <w:rPr>
        <w:rFonts w:hint="default" w:ascii="Wingdings" w:hAnsi="Wingdings"/>
      </w:rPr>
    </w:lvl>
    <w:lvl w:ilvl="7" w:tentative="0">
      <w:start w:val="1"/>
      <w:numFmt w:val="bullet"/>
      <w:lvlText w:val=""/>
      <w:lvlJc w:val="left"/>
      <w:pPr>
        <w:ind w:left="4636" w:hanging="420"/>
      </w:pPr>
      <w:rPr>
        <w:rFonts w:hint="default" w:ascii="Wingdings" w:hAnsi="Wingdings"/>
      </w:rPr>
    </w:lvl>
    <w:lvl w:ilvl="8" w:tentative="0">
      <w:start w:val="1"/>
      <w:numFmt w:val="bullet"/>
      <w:lvlText w:val=""/>
      <w:lvlJc w:val="left"/>
      <w:pPr>
        <w:ind w:left="5056" w:hanging="420"/>
      </w:pPr>
      <w:rPr>
        <w:rFonts w:hint="default" w:ascii="Wingdings" w:hAnsi="Wingdings"/>
      </w:rPr>
    </w:lvl>
  </w:abstractNum>
  <w:num w:numId="1">
    <w:abstractNumId w:val="10"/>
  </w:num>
  <w:num w:numId="2">
    <w:abstractNumId w:val="4"/>
  </w:num>
  <w:num w:numId="3">
    <w:abstractNumId w:val="6"/>
  </w:num>
  <w:num w:numId="4">
    <w:abstractNumId w:val="19"/>
  </w:num>
  <w:num w:numId="5">
    <w:abstractNumId w:val="21"/>
  </w:num>
  <w:num w:numId="6">
    <w:abstractNumId w:val="1"/>
  </w:num>
  <w:num w:numId="7">
    <w:abstractNumId w:val="3"/>
  </w:num>
  <w:num w:numId="8">
    <w:abstractNumId w:val="12"/>
  </w:num>
  <w:num w:numId="9">
    <w:abstractNumId w:val="22"/>
  </w:num>
  <w:num w:numId="10">
    <w:abstractNumId w:val="2"/>
  </w:num>
  <w:num w:numId="11">
    <w:abstractNumId w:val="13"/>
  </w:num>
  <w:num w:numId="12">
    <w:abstractNumId w:val="2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17"/>
  </w:num>
  <w:num w:numId="17">
    <w:abstractNumId w:val="9"/>
  </w:num>
  <w:num w:numId="18">
    <w:abstractNumId w:val="24"/>
  </w:num>
  <w:num w:numId="19">
    <w:abstractNumId w:val="5"/>
  </w:num>
  <w:num w:numId="20">
    <w:abstractNumId w:val="8"/>
  </w:num>
  <w:num w:numId="21">
    <w:abstractNumId w:val="15"/>
  </w:num>
  <w:num w:numId="22">
    <w:abstractNumId w:val="11"/>
  </w:num>
  <w:num w:numId="23">
    <w:abstractNumId w:val="14"/>
  </w:num>
  <w:num w:numId="24">
    <w:abstractNumId w:val="18"/>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22DF6A53"/>
    <w:rsid w:val="002F5CBC"/>
    <w:rsid w:val="01E11C91"/>
    <w:rsid w:val="03426A18"/>
    <w:rsid w:val="0469004A"/>
    <w:rsid w:val="052D3FD1"/>
    <w:rsid w:val="0B653183"/>
    <w:rsid w:val="0BB27066"/>
    <w:rsid w:val="0E946425"/>
    <w:rsid w:val="0F125794"/>
    <w:rsid w:val="14525D61"/>
    <w:rsid w:val="16CF4223"/>
    <w:rsid w:val="1761455F"/>
    <w:rsid w:val="1E8C473C"/>
    <w:rsid w:val="1FFA0760"/>
    <w:rsid w:val="20736FEC"/>
    <w:rsid w:val="21C76FCB"/>
    <w:rsid w:val="22DF6A53"/>
    <w:rsid w:val="23CE4806"/>
    <w:rsid w:val="23DC5340"/>
    <w:rsid w:val="24225747"/>
    <w:rsid w:val="24471CCB"/>
    <w:rsid w:val="26541A9A"/>
    <w:rsid w:val="2B6B2404"/>
    <w:rsid w:val="2B8651EB"/>
    <w:rsid w:val="2BB92A88"/>
    <w:rsid w:val="2D01554D"/>
    <w:rsid w:val="3017175C"/>
    <w:rsid w:val="31ED3A2A"/>
    <w:rsid w:val="33480691"/>
    <w:rsid w:val="364B19CE"/>
    <w:rsid w:val="38A81412"/>
    <w:rsid w:val="3C3835D8"/>
    <w:rsid w:val="3D9A0C24"/>
    <w:rsid w:val="3FBF5339"/>
    <w:rsid w:val="427D0F05"/>
    <w:rsid w:val="447E4F36"/>
    <w:rsid w:val="47B30D43"/>
    <w:rsid w:val="4A81715C"/>
    <w:rsid w:val="4CE5295D"/>
    <w:rsid w:val="4E496563"/>
    <w:rsid w:val="4EC55D28"/>
    <w:rsid w:val="4EDB6465"/>
    <w:rsid w:val="50D80813"/>
    <w:rsid w:val="511160B1"/>
    <w:rsid w:val="553A3F54"/>
    <w:rsid w:val="56BB3F58"/>
    <w:rsid w:val="573E11CC"/>
    <w:rsid w:val="58F85CAE"/>
    <w:rsid w:val="5BBB5452"/>
    <w:rsid w:val="61EB30D9"/>
    <w:rsid w:val="64277BE4"/>
    <w:rsid w:val="6C6045C7"/>
    <w:rsid w:val="6D285D1C"/>
    <w:rsid w:val="76BA7BCE"/>
    <w:rsid w:val="77DF6386"/>
    <w:rsid w:val="7876341A"/>
    <w:rsid w:val="797F564A"/>
    <w:rsid w:val="7A9462A9"/>
    <w:rsid w:val="7B77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2"/>
    <w:qFormat/>
    <w:uiPriority w:val="99"/>
    <w:pPr>
      <w:keepNext/>
      <w:keepLines/>
      <w:pageBreakBefore/>
      <w:numPr>
        <w:ilvl w:val="0"/>
        <w:numId w:val="1"/>
      </w:numPr>
      <w:spacing w:beforeLines="50" w:afterLines="50" w:line="360" w:lineRule="auto"/>
      <w:jc w:val="center"/>
      <w:outlineLvl w:val="0"/>
    </w:pPr>
    <w:rPr>
      <w:rFonts w:ascii="Times New Roman" w:hAnsi="Times New Roman" w:eastAsia="黑体" w:cs="Times New Roman"/>
      <w:bCs/>
      <w:sz w:val="32"/>
      <w:szCs w:val="4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unhideWhenUsed/>
    <w:qFormat/>
    <w:uiPriority w:val="99"/>
    <w:pPr>
      <w:jc w:val="left"/>
    </w:pPr>
  </w:style>
  <w:style w:type="paragraph" w:styleId="6">
    <w:name w:val="Body Text"/>
    <w:basedOn w:val="1"/>
    <w:next w:val="7"/>
    <w:qFormat/>
    <w:uiPriority w:val="1"/>
    <w:rPr>
      <w:rFonts w:ascii="宋体" w:hAnsi="宋体" w:eastAsia="宋体" w:cs="宋体"/>
      <w:sz w:val="28"/>
      <w:szCs w:val="28"/>
      <w:lang w:val="zh-CN" w:bidi="zh-CN"/>
    </w:rPr>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8">
    <w:name w:val="Body Text Indent"/>
    <w:basedOn w:val="1"/>
    <w:next w:val="9"/>
    <w:qFormat/>
    <w:uiPriority w:val="0"/>
    <w:pPr>
      <w:spacing w:line="480" w:lineRule="exact"/>
      <w:ind w:firstLine="495"/>
    </w:pPr>
    <w:rPr>
      <w:rFonts w:ascii="楷体_GB2312" w:hAnsi="Times New Roman" w:eastAsia="楷体_GB2312" w:cs="Times New Roman"/>
      <w:sz w:val="28"/>
    </w:rPr>
  </w:style>
  <w:style w:type="paragraph" w:customStyle="1" w:styleId="9">
    <w:name w:val="正文文本缩进1"/>
    <w:basedOn w:val="1"/>
    <w:qFormat/>
    <w:uiPriority w:val="0"/>
    <w:pPr>
      <w:numPr>
        <w:ilvl w:val="0"/>
        <w:numId w:val="2"/>
      </w:numPr>
      <w:spacing w:line="480" w:lineRule="exact"/>
      <w:ind w:left="0" w:firstLine="0"/>
    </w:pPr>
    <w:rPr>
      <w:sz w:val="24"/>
    </w:rPr>
  </w:style>
  <w:style w:type="paragraph" w:styleId="10">
    <w:name w:val="Plain Text"/>
    <w:basedOn w:val="1"/>
    <w:semiHidden/>
    <w:qFormat/>
    <w:uiPriority w:val="0"/>
    <w:rPr>
      <w:rFonts w:hint="eastAsia" w:ascii="宋体" w:hAnsi="Courier New" w:cs="宋体"/>
    </w:rPr>
  </w:style>
  <w:style w:type="paragraph" w:styleId="11">
    <w:name w:val="Body Text Indent 2"/>
    <w:basedOn w:val="1"/>
    <w:unhideWhenUsed/>
    <w:qFormat/>
    <w:uiPriority w:val="99"/>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99"/>
  </w:style>
  <w:style w:type="paragraph" w:styleId="15">
    <w:name w:val="footnote text"/>
    <w:basedOn w:val="1"/>
    <w:qFormat/>
    <w:uiPriority w:val="0"/>
    <w:pPr>
      <w:widowControl/>
      <w:snapToGrid w:val="0"/>
      <w:spacing w:line="400" w:lineRule="atLeast"/>
      <w:jc w:val="left"/>
    </w:pPr>
    <w:rPr>
      <w:b/>
      <w:sz w:val="18"/>
      <w:szCs w:val="18"/>
    </w:rPr>
  </w:style>
  <w:style w:type="paragraph" w:styleId="16">
    <w:name w:val="Body Text Indent 3"/>
    <w:basedOn w:val="1"/>
    <w:qFormat/>
    <w:uiPriority w:val="99"/>
    <w:pPr>
      <w:spacing w:after="120"/>
      <w:ind w:left="420" w:leftChars="200"/>
    </w:pPr>
    <w:rPr>
      <w:sz w:val="16"/>
      <w:szCs w:val="16"/>
    </w:rPr>
  </w:style>
  <w:style w:type="paragraph" w:styleId="17">
    <w:name w:val="table of figures"/>
    <w:basedOn w:val="1"/>
    <w:next w:val="1"/>
    <w:unhideWhenUsed/>
    <w:qFormat/>
    <w:uiPriority w:val="99"/>
    <w:pPr>
      <w:ind w:left="200" w:leftChars="200" w:hanging="200" w:hangingChars="200"/>
    </w:p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w:basedOn w:val="6"/>
    <w:next w:val="1"/>
    <w:unhideWhenUsed/>
    <w:qFormat/>
    <w:uiPriority w:val="99"/>
    <w:pPr>
      <w:ind w:firstLine="420" w:firstLineChars="100"/>
    </w:pPr>
  </w:style>
  <w:style w:type="paragraph" w:styleId="21">
    <w:name w:val="Body Text First Indent 2"/>
    <w:basedOn w:val="8"/>
    <w:next w:val="2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annotation reference"/>
    <w:unhideWhenUsed/>
    <w:qFormat/>
    <w:uiPriority w:val="99"/>
    <w:rPr>
      <w:sz w:val="21"/>
      <w:szCs w:val="21"/>
    </w:rPr>
  </w:style>
  <w:style w:type="paragraph" w:customStyle="1" w:styleId="27">
    <w:name w:val="NormalIndent"/>
    <w:basedOn w:val="1"/>
    <w:qFormat/>
    <w:uiPriority w:val="0"/>
    <w:pPr>
      <w:spacing w:line="360" w:lineRule="auto"/>
      <w:ind w:firstLine="200" w:firstLineChars="200"/>
      <w:textAlignment w:val="baseline"/>
    </w:pPr>
    <w:rPr>
      <w:rFonts w:ascii="Arial" w:hAnsi="Arial"/>
      <w:sz w:val="24"/>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font112"/>
    <w:basedOn w:val="24"/>
    <w:qFormat/>
    <w:uiPriority w:val="0"/>
    <w:rPr>
      <w:rFonts w:hint="eastAsia" w:ascii="宋体" w:hAnsi="宋体" w:eastAsia="宋体" w:cs="宋体"/>
      <w:b/>
      <w:color w:val="000000"/>
      <w:sz w:val="20"/>
      <w:szCs w:val="20"/>
      <w:u w:val="none"/>
    </w:rPr>
  </w:style>
  <w:style w:type="character" w:customStyle="1" w:styleId="31">
    <w:name w:val="font91"/>
    <w:basedOn w:val="24"/>
    <w:qFormat/>
    <w:uiPriority w:val="0"/>
    <w:rPr>
      <w:rFonts w:ascii="Arial" w:hAnsi="Arial" w:cs="Arial"/>
      <w:color w:val="000000"/>
      <w:sz w:val="20"/>
      <w:szCs w:val="20"/>
      <w:u w:val="none"/>
    </w:rPr>
  </w:style>
  <w:style w:type="character" w:customStyle="1" w:styleId="32">
    <w:name w:val="font11"/>
    <w:basedOn w:val="24"/>
    <w:qFormat/>
    <w:uiPriority w:val="0"/>
    <w:rPr>
      <w:rFonts w:hint="eastAsia" w:ascii="宋体" w:hAnsi="宋体" w:eastAsia="宋体" w:cs="宋体"/>
      <w:color w:val="000000"/>
      <w:sz w:val="20"/>
      <w:szCs w:val="20"/>
      <w:u w:val="none"/>
    </w:rPr>
  </w:style>
  <w:style w:type="paragraph" w:customStyle="1" w:styleId="33">
    <w:name w:val="TOC 标题1"/>
    <w:basedOn w:val="3"/>
    <w:next w:val="1"/>
    <w:unhideWhenUsed/>
    <w:qFormat/>
    <w:uiPriority w:val="39"/>
    <w:pPr>
      <w:pageBreakBefore w:val="0"/>
      <w:numPr>
        <w:ilvl w:val="0"/>
        <w:numId w:val="0"/>
      </w:numPr>
      <w:spacing w:beforeLines="0" w:afterLines="0" w:line="259" w:lineRule="auto"/>
      <w:jc w:val="left"/>
      <w:outlineLvl w:val="9"/>
    </w:pPr>
    <w:rPr>
      <w:rFonts w:ascii="等线 Light" w:hAnsi="等线 Light" w:eastAsia="等线 Light" w:cs="Times New Roman"/>
      <w:bCs w:val="0"/>
      <w:color w:val="2F5496"/>
      <w:szCs w:val="32"/>
    </w:rPr>
  </w:style>
  <w:style w:type="paragraph" w:customStyle="1" w:styleId="34">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customStyle="1" w:styleId="35">
    <w:name w:val="立信附注正文 [3级]"/>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1"/>
      <w:lang w:val="en-US" w:eastAsia="zh-CN" w:bidi="ar-SA"/>
    </w:rPr>
  </w:style>
  <w:style w:type="table" w:customStyle="1" w:styleId="36">
    <w:name w:val="立信年报表格 [2级]"/>
    <w:basedOn w:val="22"/>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Pr>
    <w:tcPr>
      <w:shd w:val="clear" w:color="auto" w:fill="auto"/>
    </w:tcPr>
  </w:style>
  <w:style w:type="paragraph" w:customStyle="1" w:styleId="37">
    <w:name w:val="立信附注标题 [2级]"/>
    <w:next w:val="38"/>
    <w:qFormat/>
    <w:uiPriority w:val="0"/>
    <w:pPr>
      <w:widowControl w:val="0"/>
      <w:numPr>
        <w:ilvl w:val="1"/>
        <w:numId w:val="3"/>
      </w:numPr>
      <w:tabs>
        <w:tab w:val="left" w:pos="714"/>
        <w:tab w:val="left" w:pos="850"/>
      </w:tabs>
      <w:adjustRightInd w:val="0"/>
      <w:snapToGrid w:val="0"/>
      <w:spacing w:line="400" w:lineRule="atLeast"/>
      <w:jc w:val="both"/>
      <w:outlineLvl w:val="1"/>
    </w:pPr>
    <w:rPr>
      <w:rFonts w:ascii="Times New Roman" w:hAnsi="Times New Roman" w:eastAsia="宋体" w:cs="Times New Roman"/>
      <w:b/>
      <w:color w:val="000000"/>
      <w:kern w:val="2"/>
      <w:sz w:val="21"/>
      <w:szCs w:val="21"/>
      <w:lang w:val="en-US" w:eastAsia="zh-CN" w:bidi="ar-SA"/>
    </w:rPr>
  </w:style>
  <w:style w:type="paragraph" w:customStyle="1" w:styleId="38">
    <w:name w:val="立信附注正文 [2级]"/>
    <w:qFormat/>
    <w:uiPriority w:val="0"/>
    <w:pPr>
      <w:widowControl w:val="0"/>
      <w:tabs>
        <w:tab w:val="left" w:pos="0"/>
      </w:tabs>
      <w:adjustRightInd w:val="0"/>
      <w:snapToGrid w:val="0"/>
      <w:spacing w:line="400" w:lineRule="atLeast"/>
      <w:ind w:left="714"/>
      <w:jc w:val="both"/>
    </w:pPr>
    <w:rPr>
      <w:rFonts w:ascii="Times New Roman" w:hAnsi="Times New Roman" w:eastAsia="宋体" w:cs="Times New Roman"/>
      <w:color w:val="000000"/>
      <w:kern w:val="2"/>
      <w:sz w:val="21"/>
      <w:szCs w:val="21"/>
      <w:lang w:val="en-US" w:eastAsia="zh-CN" w:bidi="ar-SA"/>
    </w:rPr>
  </w:style>
  <w:style w:type="paragraph" w:styleId="39">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1">
    <w:name w:val="立信附注正文 [1级]"/>
    <w:qFormat/>
    <w:uiPriority w:val="0"/>
    <w:pPr>
      <w:widowControl w:val="0"/>
      <w:tabs>
        <w:tab w:val="left" w:pos="0"/>
      </w:tabs>
      <w:adjustRightInd w:val="0"/>
      <w:snapToGrid w:val="0"/>
      <w:spacing w:line="400" w:lineRule="atLeast"/>
      <w:ind w:firstLine="567"/>
      <w:jc w:val="both"/>
    </w:pPr>
    <w:rPr>
      <w:rFonts w:ascii="Times New Roman" w:hAnsi="Times New Roman" w:eastAsia="宋体" w:cs="Times New Roman"/>
      <w:color w:val="000000"/>
      <w:kern w:val="2"/>
      <w:sz w:val="28"/>
      <w:szCs w:val="21"/>
      <w:lang w:val="en-US" w:eastAsia="zh-CN" w:bidi="ar-SA"/>
    </w:rPr>
  </w:style>
  <w:style w:type="paragraph" w:customStyle="1" w:styleId="42">
    <w:name w:val="审计报告标题1 [1级]"/>
    <w:qFormat/>
    <w:uiPriority w:val="0"/>
    <w:pPr>
      <w:numPr>
        <w:ilvl w:val="0"/>
        <w:numId w:val="4"/>
      </w:numPr>
      <w:adjustRightInd w:val="0"/>
      <w:snapToGrid w:val="0"/>
      <w:spacing w:line="400" w:lineRule="atLeast"/>
    </w:pPr>
    <w:rPr>
      <w:rFonts w:ascii="宋体" w:hAnsi="宋体" w:eastAsia="宋体" w:cstheme="minorBidi"/>
      <w:b/>
      <w:kern w:val="2"/>
      <w:sz w:val="28"/>
      <w:szCs w:val="21"/>
      <w:lang w:val="en-US" w:eastAsia="zh-CN" w:bidi="ar-SA"/>
    </w:rPr>
  </w:style>
  <w:style w:type="paragraph" w:customStyle="1" w:styleId="43">
    <w:name w:val="立信附注标题 [1级]"/>
    <w:next w:val="38"/>
    <w:qFormat/>
    <w:uiPriority w:val="0"/>
    <w:pPr>
      <w:widowControl w:val="0"/>
      <w:numPr>
        <w:ilvl w:val="0"/>
        <w:numId w:val="3"/>
      </w:numPr>
      <w:tabs>
        <w:tab w:val="left" w:pos="714"/>
        <w:tab w:val="left" w:pos="850"/>
      </w:tabs>
      <w:adjustRightInd w:val="0"/>
      <w:snapToGrid w:val="0"/>
      <w:spacing w:line="400" w:lineRule="atLeast"/>
      <w:jc w:val="both"/>
      <w:outlineLvl w:val="0"/>
    </w:pPr>
    <w:rPr>
      <w:rFonts w:ascii="Times New Roman" w:hAnsi="Times New Roman" w:eastAsia="宋体" w:cs="Times New Roman"/>
      <w:b/>
      <w:color w:val="000000"/>
      <w:kern w:val="2"/>
      <w:sz w:val="21"/>
      <w:szCs w:val="21"/>
      <w:lang w:val="en-US" w:eastAsia="zh-CN" w:bidi="ar-SA"/>
    </w:rPr>
  </w:style>
  <w:style w:type="paragraph" w:customStyle="1" w:styleId="44">
    <w:name w:val="立信附注标题 [3级]"/>
    <w:next w:val="35"/>
    <w:qFormat/>
    <w:uiPriority w:val="0"/>
    <w:pPr>
      <w:widowControl w:val="0"/>
      <w:numPr>
        <w:ilvl w:val="2"/>
        <w:numId w:val="3"/>
      </w:numPr>
      <w:tabs>
        <w:tab w:val="left" w:pos="0"/>
      </w:tabs>
      <w:adjustRightInd w:val="0"/>
      <w:snapToGrid w:val="0"/>
      <w:spacing w:line="400" w:lineRule="atLeast"/>
      <w:jc w:val="both"/>
      <w:outlineLvl w:val="2"/>
    </w:pPr>
    <w:rPr>
      <w:rFonts w:ascii="Times New Roman" w:hAnsi="Times New Roman" w:eastAsia="宋体" w:cs="Times New Roman"/>
      <w:b/>
      <w:color w:val="000000"/>
      <w:kern w:val="2"/>
      <w:sz w:val="21"/>
      <w:szCs w:val="21"/>
      <w:lang w:val="en-US" w:eastAsia="zh-CN" w:bidi="ar-SA"/>
    </w:rPr>
  </w:style>
  <w:style w:type="table" w:customStyle="1" w:styleId="45">
    <w:name w:val="立信年报表格"/>
    <w:basedOn w:val="22"/>
    <w:qFormat/>
    <w:uiPriority w:val="0"/>
    <w:pPr>
      <w:jc w:val="both"/>
    </w:pPr>
    <w:rPr>
      <w:color w:val="000000"/>
      <w:sz w:val="18"/>
    </w:rPr>
    <w:tblPr>
      <w:tblBorders>
        <w:top w:val="single" w:color="auto" w:sz="12" w:space="0"/>
        <w:bottom w:val="single" w:color="auto" w:sz="12" w:space="0"/>
        <w:insideH w:val="dotted" w:color="auto" w:sz="4" w:space="0"/>
        <w:insideV w:val="dotted" w:color="auto" w:sz="4" w:space="0"/>
      </w:tblBorders>
    </w:tblPr>
    <w:tcPr>
      <w:shd w:val="clear" w:color="auto" w:fill="auto"/>
    </w:tcPr>
  </w:style>
  <w:style w:type="character" w:customStyle="1" w:styleId="46">
    <w:name w:val="span"/>
    <w:basedOn w:val="24"/>
    <w:qFormat/>
    <w:uiPriority w:val="0"/>
    <w:rPr>
      <w:rFonts w:ascii="Times New Roman" w:hAnsi="Times New Roman" w:eastAsia="宋体" w:cs="Times New Roman"/>
    </w:rPr>
  </w:style>
  <w:style w:type="character" w:customStyle="1" w:styleId="47">
    <w:name w:val="font132"/>
    <w:basedOn w:val="24"/>
    <w:qFormat/>
    <w:uiPriority w:val="0"/>
    <w:rPr>
      <w:rFonts w:ascii="汉仪书宋二KW" w:hAnsi="汉仪书宋二KW" w:eastAsia="汉仪书宋二KW" w:cs="汉仪书宋二KW"/>
      <w:color w:val="000000"/>
      <w:sz w:val="20"/>
      <w:szCs w:val="20"/>
      <w:u w:val="none"/>
    </w:rPr>
  </w:style>
  <w:style w:type="character" w:customStyle="1" w:styleId="48">
    <w:name w:val="font21"/>
    <w:basedOn w:val="24"/>
    <w:qFormat/>
    <w:uiPriority w:val="0"/>
    <w:rPr>
      <w:rFonts w:ascii="Calibri" w:hAnsi="Calibri" w:cs="Calibri"/>
      <w:color w:val="000000"/>
      <w:sz w:val="21"/>
      <w:szCs w:val="21"/>
      <w:u w:val="none"/>
    </w:rPr>
  </w:style>
  <w:style w:type="table" w:customStyle="1" w:styleId="49">
    <w:name w:val="立信年报表格 [2级]7"/>
    <w:basedOn w:val="22"/>
    <w:qFormat/>
    <w:uiPriority w:val="0"/>
    <w:pPr>
      <w:spacing w:line="240" w:lineRule="auto"/>
      <w:jc w:val="both"/>
    </w:pPr>
    <w:rPr>
      <w:rFonts w:ascii="Times New Roman" w:hAnsi="Times New Roman" w:eastAsia="宋体" w:cs="Times New Roman"/>
      <w:color w:val="000000"/>
      <w:kern w:val="0"/>
      <w:sz w:val="18"/>
      <w:szCs w:val="20"/>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237</Pages>
  <Words>112620</Words>
  <Characters>174237</Characters>
  <Lines>0</Lines>
  <Paragraphs>0</Paragraphs>
  <TotalTime>13</TotalTime>
  <ScaleCrop>false</ScaleCrop>
  <LinksUpToDate>false</LinksUpToDate>
  <CharactersWithSpaces>179773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2024-06-21T09:05:00Z</dcterms:created>
  <dc:creator>田果果</dc:creator>
  <cp:lastModifiedBy>田果果</cp:lastModifiedBy>
  <cp:lastPrinted>2024-06-24T04:08:00Z</cp:lastPrinted>
  <dcterms:modified xsi:type="dcterms:W3CDTF">2025-07-02T02:47:22Z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ADE3D3CFAF54452AB7040810414939EE_12</vt:lpwstr>
  </property>
</Properties>
</file>