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spacing w:line="600" w:lineRule="exact"/>
        <w:jc w:val="center"/>
        <w:rPr>
          <w:rFonts w:asciiTheme="majorEastAsia" w:hAnsiTheme="majorEastAsia" w:eastAsiaTheme="majorEastAsia"/>
          <w:b/>
          <w:sz w:val="44"/>
          <w:szCs w:val="44"/>
        </w:rPr>
      </w:pPr>
    </w:p>
    <w:p>
      <w:pPr>
        <w:spacing w:line="600" w:lineRule="exact"/>
        <w:jc w:val="center"/>
        <w:rPr>
          <w:rFonts w:cs="Arial" w:asciiTheme="minorEastAsia" w:hAnsiTheme="minorEastAsia"/>
          <w:b/>
          <w:bCs/>
          <w:sz w:val="44"/>
          <w:szCs w:val="44"/>
        </w:rPr>
      </w:pPr>
      <w:bookmarkStart w:id="0" w:name="_GoBack"/>
      <w:r>
        <w:rPr>
          <w:rFonts w:hint="eastAsia" w:cs="Arial" w:asciiTheme="minorEastAsia" w:hAnsiTheme="minorEastAsia"/>
          <w:b/>
          <w:bCs/>
          <w:sz w:val="44"/>
          <w:szCs w:val="44"/>
        </w:rPr>
        <w:t>贵州金元关于拟以公开摘牌方式参与贵州电力交易中心有限责任公司增资项目的议案</w:t>
      </w:r>
    </w:p>
    <w:bookmarkEnd w:id="0"/>
    <w:p>
      <w:pPr>
        <w:spacing w:line="600" w:lineRule="exact"/>
        <w:ind w:firstLine="880" w:firstLineChars="200"/>
        <w:rPr>
          <w:rFonts w:ascii="仿宋_GB2312" w:eastAsia="仿宋_GB2312"/>
          <w:sz w:val="44"/>
          <w:szCs w:val="44"/>
        </w:rPr>
      </w:pPr>
    </w:p>
    <w:p>
      <w:pPr>
        <w:spacing w:line="600" w:lineRule="exact"/>
        <w:rPr>
          <w:rFonts w:ascii="仿宋_GB2312" w:hAnsi="仿宋_GB2312" w:eastAsia="仿宋_GB2312" w:cs="仿宋_GB2312"/>
          <w:bCs/>
          <w:spacing w:val="4"/>
          <w:sz w:val="32"/>
          <w:szCs w:val="32"/>
        </w:rPr>
      </w:pPr>
      <w:r>
        <w:rPr>
          <w:rFonts w:hint="eastAsia" w:ascii="仿宋_GB2312" w:hAnsi="仿宋_GB2312" w:eastAsia="仿宋_GB2312" w:cs="仿宋_GB2312"/>
          <w:bCs/>
          <w:spacing w:val="4"/>
          <w:sz w:val="32"/>
          <w:szCs w:val="32"/>
        </w:rPr>
        <w:t>尊敬的各位股东：</w:t>
      </w:r>
    </w:p>
    <w:p>
      <w:pPr>
        <w:spacing w:line="600" w:lineRule="exact"/>
        <w:ind w:firstLine="656" w:firstLineChars="200"/>
        <w:rPr>
          <w:rFonts w:ascii="仿宋_GB2312" w:hAnsi="仿宋_GB2312" w:eastAsia="仿宋_GB2312" w:cs="仿宋_GB2312"/>
          <w:bCs/>
          <w:spacing w:val="4"/>
          <w:sz w:val="32"/>
          <w:szCs w:val="32"/>
        </w:rPr>
      </w:pPr>
      <w:r>
        <w:rPr>
          <w:rFonts w:hint="eastAsia" w:ascii="仿宋_GB2312" w:hAnsi="仿宋_GB2312" w:eastAsia="仿宋_GB2312" w:cs="仿宋_GB2312"/>
          <w:bCs/>
          <w:spacing w:val="4"/>
          <w:sz w:val="32"/>
          <w:szCs w:val="32"/>
        </w:rPr>
        <w:t>贵州电力交易中心有限责任公司（以下简称“贵州电力交易中心”）成立于</w:t>
      </w:r>
      <w:r>
        <w:rPr>
          <w:rFonts w:ascii="仿宋_GB2312" w:hAnsi="仿宋_GB2312" w:eastAsia="仿宋_GB2312" w:cs="仿宋_GB2312"/>
          <w:bCs/>
          <w:spacing w:val="4"/>
          <w:sz w:val="32"/>
          <w:szCs w:val="32"/>
        </w:rPr>
        <w:t>2016年3月28日，是全国第一家多股东公司制省级电力交易平台，</w:t>
      </w:r>
      <w:r>
        <w:rPr>
          <w:rFonts w:hint="eastAsia" w:ascii="仿宋_GB2312" w:hAnsi="仿宋_GB2312" w:eastAsia="仿宋_GB2312" w:cs="仿宋_GB2312"/>
          <w:bCs/>
          <w:spacing w:val="4"/>
          <w:sz w:val="32"/>
          <w:szCs w:val="32"/>
        </w:rPr>
        <w:t>现注册资本为</w:t>
      </w:r>
      <w:r>
        <w:rPr>
          <w:rFonts w:ascii="仿宋_GB2312" w:hAnsi="仿宋_GB2312" w:eastAsia="仿宋_GB2312" w:cs="仿宋_GB2312"/>
          <w:bCs/>
          <w:spacing w:val="4"/>
          <w:sz w:val="32"/>
          <w:szCs w:val="32"/>
        </w:rPr>
        <w:t>4593.606537万元，股权结构为：贵州电网有限责任公司持股80%,贵州乌江能源投资有限公司持股20%。截至2020年9月底，贵州电力交易中心资产总额5937.968827万元，负债总额334.044314万元，所有者权益5603.924513万元。</w:t>
      </w:r>
    </w:p>
    <w:p>
      <w:pPr>
        <w:spacing w:line="600" w:lineRule="exact"/>
        <w:ind w:firstLine="656" w:firstLineChars="200"/>
        <w:rPr>
          <w:rFonts w:ascii="仿宋_GB2312" w:hAnsi="仿宋_GB2312" w:eastAsia="仿宋_GB2312" w:cs="仿宋_GB2312"/>
          <w:bCs/>
          <w:spacing w:val="4"/>
          <w:sz w:val="32"/>
          <w:szCs w:val="32"/>
        </w:rPr>
      </w:pPr>
      <w:r>
        <w:rPr>
          <w:rFonts w:hint="eastAsia" w:ascii="仿宋_GB2312" w:hAnsi="仿宋_GB2312" w:eastAsia="仿宋_GB2312" w:cs="仿宋_GB2312"/>
          <w:bCs/>
          <w:spacing w:val="4"/>
          <w:sz w:val="32"/>
          <w:szCs w:val="32"/>
        </w:rPr>
        <w:t>根据国家发改委、国家能源局《关于推进电力交易机构规范化运行的实施意见》（发改经体〔</w:t>
      </w:r>
      <w:r>
        <w:rPr>
          <w:rFonts w:ascii="仿宋_GB2312" w:hAnsi="仿宋_GB2312" w:eastAsia="仿宋_GB2312" w:cs="仿宋_GB2312"/>
          <w:bCs/>
          <w:spacing w:val="4"/>
          <w:sz w:val="32"/>
          <w:szCs w:val="32"/>
        </w:rPr>
        <w:t>2020〕234号）</w:t>
      </w:r>
      <w:r>
        <w:rPr>
          <w:rFonts w:hint="eastAsia" w:ascii="仿宋_GB2312" w:hAnsi="仿宋_GB2312" w:eastAsia="仿宋_GB2312" w:cs="仿宋_GB2312"/>
          <w:bCs/>
          <w:spacing w:val="4"/>
          <w:sz w:val="32"/>
          <w:szCs w:val="32"/>
        </w:rPr>
        <w:t>文件</w:t>
      </w:r>
      <w:r>
        <w:rPr>
          <w:rFonts w:ascii="仿宋_GB2312" w:hAnsi="仿宋_GB2312" w:eastAsia="仿宋_GB2312" w:cs="仿宋_GB2312"/>
          <w:bCs/>
          <w:spacing w:val="4"/>
          <w:sz w:val="32"/>
          <w:szCs w:val="32"/>
        </w:rPr>
        <w:t>要求，贵州电力交易中心增资项目于2020年10月26日-12月18日在上海联合产权交易所公开披露，征集符合条件意向投资人（不超过7个）以货币形式入股，单个新增投资人持股比例为5%至6%（含5%、6%）,释放股权比例不超过41%。</w:t>
      </w:r>
    </w:p>
    <w:p>
      <w:pPr>
        <w:spacing w:line="600" w:lineRule="exact"/>
        <w:ind w:firstLine="656" w:firstLineChars="200"/>
        <w:rPr>
          <w:rFonts w:ascii="仿宋_GB2312" w:hAnsi="仿宋_GB2312" w:eastAsia="仿宋_GB2312" w:cs="仿宋_GB2312"/>
          <w:bCs/>
          <w:color w:val="000000" w:themeColor="text1"/>
          <w:spacing w:val="4"/>
          <w:sz w:val="32"/>
          <w:szCs w:val="32"/>
          <w14:textFill>
            <w14:solidFill>
              <w14:schemeClr w14:val="tx1"/>
            </w14:solidFill>
          </w14:textFill>
        </w:rPr>
      </w:pPr>
      <w:r>
        <w:rPr>
          <w:rFonts w:hint="eastAsia" w:ascii="仿宋_GB2312" w:hAnsi="仿宋_GB2312" w:eastAsia="仿宋_GB2312" w:cs="仿宋_GB2312"/>
          <w:bCs/>
          <w:spacing w:val="4"/>
          <w:sz w:val="32"/>
          <w:szCs w:val="32"/>
        </w:rPr>
        <w:t>为提高贵州金元在贵州电力交易中心的话语权，获取电力交易相关信息，以及拓展电力现货市场，贵州金元拟以公开摘牌方式参与贵州电力交易中心增资项目，取得</w:t>
      </w:r>
      <w:r>
        <w:rPr>
          <w:rFonts w:ascii="仿宋_GB2312" w:hAnsi="仿宋_GB2312" w:eastAsia="仿宋_GB2312" w:cs="仿宋_GB2312"/>
          <w:bCs/>
          <w:spacing w:val="4"/>
          <w:sz w:val="32"/>
          <w:szCs w:val="32"/>
        </w:rPr>
        <w:t>6%的股权，</w:t>
      </w:r>
      <w:r>
        <w:rPr>
          <w:rFonts w:hint="eastAsia" w:ascii="仿宋_GB2312" w:hAnsi="仿宋_GB2312" w:eastAsia="仿宋_GB2312" w:cs="仿宋_GB2312"/>
          <w:bCs/>
          <w:color w:val="000000" w:themeColor="text1"/>
          <w:spacing w:val="4"/>
          <w:sz w:val="32"/>
          <w:szCs w:val="32"/>
          <w14:textFill>
            <w14:solidFill>
              <w14:schemeClr w14:val="tx1"/>
            </w14:solidFill>
          </w14:textFill>
        </w:rPr>
        <w:t>投资额原则不超过</w:t>
      </w:r>
      <w:r>
        <w:rPr>
          <w:rFonts w:ascii="仿宋_GB2312" w:hAnsi="仿宋_GB2312" w:eastAsia="仿宋_GB2312" w:cs="仿宋_GB2312"/>
          <w:bCs/>
          <w:color w:val="000000" w:themeColor="text1"/>
          <w:spacing w:val="4"/>
          <w:sz w:val="32"/>
          <w:szCs w:val="32"/>
          <w14:textFill>
            <w14:solidFill>
              <w14:schemeClr w14:val="tx1"/>
            </w14:solidFill>
          </w14:textFill>
        </w:rPr>
        <w:t>700万元人民币,具体投资额最终以贵州电力交易中心增资结果为准。</w:t>
      </w:r>
      <w:r>
        <w:rPr>
          <w:rFonts w:hint="eastAsia" w:ascii="仿宋_GB2312" w:hAnsi="仿宋_GB2312" w:eastAsia="仿宋_GB2312" w:cs="仿宋_GB2312"/>
          <w:bCs/>
          <w:spacing w:val="4"/>
          <w:sz w:val="32"/>
          <w:szCs w:val="32"/>
        </w:rPr>
        <w:t>贵州金元拟在公告截止日期前向上海联合产权交易所提交对贵州电力交易中心增资项目的申请材料，登记成为意向投资人，并交纳人民币</w:t>
      </w:r>
      <w:r>
        <w:rPr>
          <w:rFonts w:ascii="仿宋_GB2312" w:hAnsi="仿宋_GB2312" w:eastAsia="仿宋_GB2312" w:cs="仿宋_GB2312"/>
          <w:bCs/>
          <w:spacing w:val="4"/>
          <w:sz w:val="32"/>
          <w:szCs w:val="32"/>
        </w:rPr>
        <w:t>150万元保证金至上海联合产权交易所指定银行账户（以到账时间为准，户名：上海联合产权交易所有限公司、开户名称：中国工商银行股份有限公司普陀支行、账号：1001323519100029737）。</w:t>
      </w:r>
      <w:r>
        <w:rPr>
          <w:rFonts w:hint="eastAsia" w:ascii="仿宋_GB2312" w:hAnsi="仿宋_GB2312" w:eastAsia="仿宋_GB2312" w:cs="仿宋_GB2312"/>
          <w:bCs/>
          <w:color w:val="000000" w:themeColor="text1"/>
          <w:spacing w:val="4"/>
          <w:sz w:val="32"/>
          <w:szCs w:val="32"/>
          <w14:textFill>
            <w14:solidFill>
              <w14:schemeClr w14:val="tx1"/>
            </w14:solidFill>
          </w14:textFill>
        </w:rPr>
        <w:t>同时，以人民币</w:t>
      </w:r>
      <w:r>
        <w:rPr>
          <w:rFonts w:ascii="仿宋_GB2312" w:hAnsi="仿宋_GB2312" w:eastAsia="仿宋_GB2312" w:cs="仿宋_GB2312"/>
          <w:bCs/>
          <w:color w:val="000000" w:themeColor="text1"/>
          <w:spacing w:val="4"/>
          <w:sz w:val="32"/>
          <w:szCs w:val="32"/>
          <w14:textFill>
            <w14:solidFill>
              <w14:schemeClr w14:val="tx1"/>
            </w14:solidFill>
          </w14:textFill>
        </w:rPr>
        <w:t>1万元的合同价格，与上海联合产权交易所指定的北京智德盛投资顾问有限公司签订中介机构委托合同，负责摘牌指导工作。</w:t>
      </w:r>
    </w:p>
    <w:p>
      <w:pPr>
        <w:spacing w:line="600" w:lineRule="exact"/>
        <w:ind w:firstLine="656" w:firstLineChars="200"/>
        <w:rPr>
          <w:rFonts w:ascii="仿宋_GB2312" w:hAnsi="仿宋_GB2312" w:eastAsia="仿宋_GB2312" w:cs="仿宋_GB2312"/>
          <w:bCs/>
          <w:color w:val="000000" w:themeColor="text1"/>
          <w:spacing w:val="4"/>
          <w:sz w:val="32"/>
          <w:szCs w:val="32"/>
          <w14:textFill>
            <w14:solidFill>
              <w14:schemeClr w14:val="tx1"/>
            </w14:solidFill>
          </w14:textFill>
        </w:rPr>
      </w:pPr>
      <w:r>
        <w:rPr>
          <w:rFonts w:hint="eastAsia" w:ascii="仿宋_GB2312" w:hAnsi="仿宋_GB2312" w:eastAsia="仿宋_GB2312" w:cs="仿宋_GB2312"/>
          <w:bCs/>
          <w:color w:val="000000" w:themeColor="text1"/>
          <w:spacing w:val="4"/>
          <w:sz w:val="32"/>
          <w:szCs w:val="32"/>
          <w14:textFill>
            <w14:solidFill>
              <w14:schemeClr w14:val="tx1"/>
            </w14:solidFill>
          </w14:textFill>
        </w:rPr>
        <w:t>请予审议。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4472E"/>
    <w:rsid w:val="21D44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2020-11-20T12:08:00Z</dcterms:created>
  <dc:creator>黄金档</dc:creator>
  <cp:lastModifiedBy>黄金档</cp:lastModifiedBy>
  <dcterms:modified xsi:type="dcterms:W3CDTF">2020-11-20T12:10:12Z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