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黑体" w:hAnsi="黑体" w:eastAsia="黑体"/>
          <w:sz w:val="32"/>
          <w:szCs w:val="32"/>
        </w:rPr>
      </w:pPr>
      <w:r>
        <w:rPr>
          <w:rFonts w:hint="eastAsia" w:ascii="黑体" w:hAnsi="黑体" w:eastAsia="黑体"/>
          <w:sz w:val="32"/>
          <w:szCs w:val="32"/>
        </w:rPr>
        <w:t>附件2</w:t>
      </w:r>
    </w:p>
    <w:p>
      <w:pPr>
        <w:spacing w:line="600" w:lineRule="exact"/>
        <w:jc w:val="center"/>
        <w:rPr>
          <w:rFonts w:asciiTheme="minorEastAsia" w:hAnsiTheme="minorEastAsia" w:eastAsiaTheme="minorEastAsia"/>
          <w:b/>
          <w:sz w:val="44"/>
          <w:szCs w:val="44"/>
        </w:rPr>
      </w:pPr>
    </w:p>
    <w:p>
      <w:pPr>
        <w:spacing w:line="600" w:lineRule="exact"/>
        <w:jc w:val="center"/>
        <w:rPr>
          <w:rFonts w:asciiTheme="majorEastAsia" w:hAnsiTheme="majorEastAsia" w:eastAsiaTheme="majorEastAsia"/>
          <w:b/>
          <w:sz w:val="44"/>
          <w:szCs w:val="44"/>
        </w:rPr>
      </w:pPr>
      <w:bookmarkStart w:id="0" w:name="_GoBack"/>
      <w:r>
        <w:rPr>
          <w:rFonts w:hint="eastAsia" w:asciiTheme="majorEastAsia" w:hAnsiTheme="majorEastAsia" w:eastAsiaTheme="majorEastAsia"/>
          <w:b/>
          <w:sz w:val="44"/>
          <w:szCs w:val="44"/>
        </w:rPr>
        <w:t>贵州金元关于参与贵州大唐野马寨发电有限</w:t>
      </w:r>
    </w:p>
    <w:p>
      <w:pPr>
        <w:spacing w:line="60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公司破产重整的议案</w:t>
      </w:r>
    </w:p>
    <w:bookmarkEnd w:id="0"/>
    <w:p>
      <w:pPr>
        <w:widowControl/>
        <w:spacing w:line="600" w:lineRule="exact"/>
        <w:jc w:val="left"/>
        <w:rPr>
          <w:rFonts w:ascii="黑体" w:hAnsi="黑体" w:eastAsia="黑体"/>
          <w:sz w:val="32"/>
          <w:szCs w:val="32"/>
        </w:rPr>
      </w:pPr>
    </w:p>
    <w:p>
      <w:pPr>
        <w:spacing w:line="600" w:lineRule="exact"/>
        <w:rPr>
          <w:rFonts w:ascii="仿宋_GB2312" w:hAnsi="仿宋_GB2312" w:eastAsia="仿宋_GB2312" w:cs="仿宋_GB2312"/>
          <w:bCs/>
          <w:spacing w:val="4"/>
          <w:sz w:val="32"/>
          <w:szCs w:val="32"/>
        </w:rPr>
      </w:pPr>
      <w:r>
        <w:rPr>
          <w:rFonts w:hint="eastAsia" w:ascii="仿宋_GB2312" w:hAnsi="仿宋_GB2312" w:eastAsia="仿宋_GB2312" w:cs="仿宋_GB2312"/>
          <w:bCs/>
          <w:spacing w:val="4"/>
          <w:sz w:val="32"/>
          <w:szCs w:val="32"/>
        </w:rPr>
        <w:t>尊敬的各位股东：</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鉴于贵州大唐野马寨发电有限公司（以下简称野马寨公司）已破产清算，资不抵债，进入破产重整程序。公司经审慎分析后认为，拟同意并参与野马寨公司破产重整。具体情况如下：</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一、重整背景和基本情况</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野马寨公司成立于2008年6月4日，位于贵州省六盘水市钟山区汪家寨镇，系贵州金元控股子公司贵州西电电力股份有限公司（以下简称西电公司）的参股公司。现注册资本为5.3036亿元，股权结构为：大唐贵州发电有限公司（以下简称大唐贵州公司）持股52.70％，西电公司持股比例47.3%，主营业务为火力发电。</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2016年野马寨公司纳入国务院国资委“僵尸”企业处置范围，处置方式为破产清算。2018年，野马寨公司控股股东大唐贵州公司按照《中央企业处置“僵尸企业”工作方案》的要求，申请野马寨公司破产清算。同年8月30日，贵州省六盘水市中级人民法院裁定野马寨公司破产清算，并指定贵州省六盘水勤维律师事务所为破产管理人。截止破产裁定之日，野马寨公司欠贵州金元委贷本金9.20024亿元，欠大唐贵州公司委贷本金9.4188亿元，经管理人初步确认，含期间利息后，贵州金元与大唐贵州公司债权分别为10.5434亿元、10.5470亿元，待债权人大会最终确认。</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2020年4月，六盘水政府基于地方热源点需求，提出野马寨公司破产重整方案并获贵州省发改委批复同意：由六盘水市钟山区新兴工业投资发展有限公司注资，原有股东债转股形成对野马寨公司进行破产重整，破产重整后六盘水市钟山区新兴工业投资发展有限公司控股60%，大唐贵州公司、贵州金元公司分别持股20%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二、重整方案</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引进贵州省六盘水市钟山区人民政府成立的平台公司钟山新兴工业投资有限公司作为重整投资人，投入3亿元作为重整资金，持有重整后的野马寨公司60%股权，大唐贵州公司和贵州金元作为两大债权人各自将1亿元债权转为股权，分别持有重整后野马寨公司20%股权。</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2.野马寨公司应当清偿的债权包括：</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（1）按清偿比例39%，偿付给大唐公司及贵州金元公司8.66亿元债权，其中2亿债转股；</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（2）偿付职工债权5737.171524万元，其中已经清偿的债权金额为3564.881604万元，待付金额2172.28992万元；</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（3）一次性清偿除了大唐贵州公司和贵州金元以外的小额债权459万。</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3.重整后野马寨公司的还款计划：</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首付款金额、支付时间及还款用途：重整后的野马寨公司应当在法院批准《重整计划（草案）》一个月内付清首期还款8000万元，首付款支付后，应当先将2172.28992万元预提到大唐贵州能源服务有限公司，同时将所欠大唐贵州能源服务有限公司管护费付清，所余款项用于支付大唐贵州公司及贵州金元的债权。</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除首期还款外，剩余债权由重整后的野马寨公司从2021年12月31日开始归还，到2028年12月31日还完。2021年12月31日至2022年12月31日按照所余债权金额5%的比例清偿，2023年12月31日至2028年12月31日按照所余债权金额15%的比例清偿。</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4.野马寨公司《破产重整计划（草案）》经法院批准后，前三年由大唐贵州能源服务有限公司作为运营团队，期满后由新业主单位自行确定新的运维模式或队伍。</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三、参与重整方案对贵州金元的影响</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破产管理人按照直接破产资产处置的评估结果，整体资产可回收金额约0.8亿元，按着清偿顺序，贵州金元预计损失在10亿元左右，而重整方案下贵州金元确认债权无法受偿金额即损失控制在为6.5亿元以内，剩余债权约4亿中1亿债转股作为重组公司20%资本金，其余约3亿元债权停息挂账由重组后的野马寨公司分期偿还。</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野马寨公司破产重整有利于贵州金元作为债权人减小损失，建议同意贵州金元参与野马寨破产重整并积极配合重整方案推进，尽最大努力收回债权，同时同意贵州金元通过债转股1亿元的方式作为破产重整后的野马寨公司股东，持有其20%股权，并通过专业优势协助控股股东做好重整后野马寨公司的生产运营。</w:t>
      </w:r>
    </w:p>
    <w:p>
      <w:pPr>
        <w:spacing w:line="6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请予审议。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D339A"/>
    <w:rsid w:val="49CD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2020-11-20T12:08:00Z</dcterms:created>
  <dc:creator>黄金档</dc:creator>
  <cp:lastModifiedBy>黄金档</cp:lastModifiedBy>
  <dcterms:modified xsi:type="dcterms:W3CDTF">2020-11-20T12:10:58Z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