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color w:val="auto"/>
          <w:highlight w:val="none"/>
        </w:rPr>
      </w:pPr>
    </w:p>
    <w:p>
      <w:pPr>
        <w:rPr>
          <w:rFonts w:hint="eastAsia"/>
          <w:color w:val="auto"/>
          <w:highlight w:val="none"/>
        </w:rPr>
      </w:pPr>
    </w:p>
    <w:p>
      <w:pPr>
        <w:jc w:val="center"/>
        <w:outlineLvl w:val="2"/>
        <w:rPr>
          <w:rFonts w:hint="eastAsia" w:ascii="宋体" w:hAnsi="宋体" w:cs="宋体"/>
          <w:b/>
          <w:bCs/>
          <w:color w:val="auto"/>
          <w:sz w:val="48"/>
          <w:szCs w:val="48"/>
          <w:highlight w:val="none"/>
        </w:rPr>
      </w:pPr>
    </w:p>
    <w:p>
      <w:pPr>
        <w:jc w:val="center"/>
        <w:outlineLvl w:val="2"/>
        <w:rPr>
          <w:rFonts w:hint="eastAsia" w:ascii="宋体" w:hAnsi="宋体" w:cs="宋体"/>
          <w:b/>
          <w:bCs/>
          <w:color w:val="auto"/>
          <w:sz w:val="48"/>
          <w:szCs w:val="48"/>
          <w:highlight w:val="none"/>
        </w:rPr>
      </w:pPr>
    </w:p>
    <w:p>
      <w:pPr>
        <w:jc w:val="center"/>
        <w:outlineLvl w:val="2"/>
        <w:rPr>
          <w:rFonts w:hint="eastAsia" w:ascii="宋体" w:hAnsi="宋体" w:cs="宋体"/>
          <w:b/>
          <w:bCs/>
          <w:color w:val="auto"/>
          <w:sz w:val="48"/>
          <w:szCs w:val="48"/>
          <w:highlight w:val="none"/>
        </w:rPr>
      </w:pPr>
      <w:r>
        <w:rPr>
          <w:rFonts w:hint="eastAsia" w:ascii="宋体" w:hAnsi="宋体" w:cs="宋体"/>
          <w:b/>
          <w:bCs/>
          <w:color w:val="auto"/>
          <w:sz w:val="48"/>
          <w:szCs w:val="48"/>
          <w:highlight w:val="none"/>
        </w:rPr>
        <w:t>国家电投集团贵州金元股份有限公司</w:t>
      </w:r>
    </w:p>
    <w:p>
      <w:pPr>
        <w:spacing w:line="800" w:lineRule="exact"/>
        <w:jc w:val="center"/>
        <w:outlineLvl w:val="2"/>
        <w:rPr>
          <w:rFonts w:hint="eastAsia" w:ascii="宋体" w:hAnsi="宋体" w:cs="宋体"/>
          <w:b/>
          <w:bCs/>
          <w:color w:val="auto"/>
          <w:sz w:val="48"/>
          <w:szCs w:val="48"/>
          <w:highlight w:val="none"/>
        </w:rPr>
      </w:pPr>
      <w:r>
        <w:rPr>
          <w:rFonts w:hint="eastAsia" w:ascii="宋体" w:hAnsi="宋体" w:cs="宋体"/>
          <w:b/>
          <w:bCs/>
          <w:color w:val="auto"/>
          <w:sz w:val="48"/>
          <w:szCs w:val="48"/>
          <w:highlight w:val="none"/>
        </w:rPr>
        <w:t>202</w:t>
      </w:r>
      <w:r>
        <w:rPr>
          <w:rFonts w:hint="eastAsia" w:ascii="宋体" w:hAnsi="宋体" w:cs="宋体"/>
          <w:b/>
          <w:bCs/>
          <w:color w:val="auto"/>
          <w:sz w:val="48"/>
          <w:szCs w:val="48"/>
          <w:highlight w:val="none"/>
          <w:lang w:val="en-US" w:eastAsia="zh-CN"/>
        </w:rPr>
        <w:t>4</w:t>
      </w:r>
      <w:r>
        <w:rPr>
          <w:rFonts w:hint="eastAsia" w:ascii="宋体" w:hAnsi="宋体" w:cs="宋体"/>
          <w:b/>
          <w:bCs/>
          <w:color w:val="auto"/>
          <w:sz w:val="48"/>
          <w:szCs w:val="48"/>
          <w:highlight w:val="none"/>
        </w:rPr>
        <w:t>年年度报告</w:t>
      </w:r>
    </w:p>
    <w:p>
      <w:pPr>
        <w:jc w:val="center"/>
        <w:rPr>
          <w:rFonts w:hint="eastAsia" w:ascii="宋体" w:hAnsi="宋体" w:cs="宋体"/>
          <w:color w:val="auto"/>
          <w:sz w:val="24"/>
          <w:szCs w:val="24"/>
          <w:highlight w:val="none"/>
        </w:rPr>
      </w:pPr>
    </w:p>
    <w:p>
      <w:pPr>
        <w:jc w:val="center"/>
        <w:rPr>
          <w:rFonts w:hint="eastAsia" w:ascii="宋体" w:hAnsi="宋体" w:cs="宋体"/>
          <w:color w:val="auto"/>
          <w:sz w:val="24"/>
          <w:szCs w:val="24"/>
          <w:highlight w:val="none"/>
        </w:rPr>
      </w:pPr>
    </w:p>
    <w:p>
      <w:pPr>
        <w:jc w:val="center"/>
        <w:rPr>
          <w:rFonts w:hint="eastAsia" w:ascii="宋体" w:hAnsi="宋体" w:cs="宋体"/>
          <w:color w:val="auto"/>
          <w:sz w:val="24"/>
          <w:szCs w:val="24"/>
          <w:highlight w:val="none"/>
        </w:rPr>
      </w:pPr>
    </w:p>
    <w:p>
      <w:pPr>
        <w:jc w:val="center"/>
        <w:rPr>
          <w:rFonts w:hint="eastAsia" w:ascii="宋体" w:hAnsi="宋体" w:cs="宋体"/>
          <w:color w:val="auto"/>
          <w:sz w:val="24"/>
          <w:szCs w:val="24"/>
          <w:highlight w:val="none"/>
        </w:rPr>
      </w:pPr>
    </w:p>
    <w:p>
      <w:pPr>
        <w:jc w:val="center"/>
        <w:rPr>
          <w:rFonts w:hint="eastAsia" w:ascii="宋体" w:hAnsi="宋体" w:cs="宋体"/>
          <w:color w:val="auto"/>
          <w:sz w:val="24"/>
          <w:szCs w:val="24"/>
          <w:highlight w:val="none"/>
        </w:rPr>
      </w:pPr>
    </w:p>
    <w:p>
      <w:pPr>
        <w:jc w:val="center"/>
        <w:rPr>
          <w:rFonts w:hint="eastAsia" w:ascii="宋体" w:hAnsi="宋体" w:cs="宋体"/>
          <w:color w:val="auto"/>
          <w:sz w:val="24"/>
          <w:szCs w:val="24"/>
          <w:highlight w:val="none"/>
        </w:rPr>
      </w:pPr>
    </w:p>
    <w:p>
      <w:pPr>
        <w:jc w:val="center"/>
        <w:rPr>
          <w:rFonts w:hint="eastAsia" w:ascii="宋体" w:hAnsi="宋体" w:cs="宋体"/>
          <w:color w:val="auto"/>
          <w:sz w:val="24"/>
          <w:szCs w:val="24"/>
          <w:highlight w:val="none"/>
        </w:rPr>
      </w:pPr>
    </w:p>
    <w:p>
      <w:pPr>
        <w:jc w:val="center"/>
        <w:rPr>
          <w:rFonts w:hint="eastAsia" w:ascii="宋体" w:hAnsi="宋体" w:cs="宋体"/>
          <w:color w:val="auto"/>
          <w:sz w:val="24"/>
          <w:szCs w:val="24"/>
          <w:highlight w:val="none"/>
        </w:rPr>
      </w:pPr>
    </w:p>
    <w:p>
      <w:pPr>
        <w:pStyle w:val="15"/>
        <w:rPr>
          <w:rFonts w:hint="eastAsia" w:ascii="宋体" w:hAnsi="宋体" w:cs="宋体"/>
          <w:color w:val="auto"/>
          <w:sz w:val="24"/>
          <w:szCs w:val="24"/>
          <w:highlight w:val="none"/>
        </w:rPr>
      </w:pPr>
    </w:p>
    <w:p>
      <w:pPr>
        <w:pStyle w:val="15"/>
        <w:rPr>
          <w:rFonts w:hint="eastAsia" w:ascii="宋体" w:hAnsi="宋体" w:cs="宋体"/>
          <w:color w:val="auto"/>
          <w:sz w:val="24"/>
          <w:szCs w:val="24"/>
          <w:highlight w:val="none"/>
        </w:rPr>
      </w:pPr>
    </w:p>
    <w:p>
      <w:pPr>
        <w:pStyle w:val="15"/>
        <w:rPr>
          <w:rFonts w:hint="eastAsia" w:ascii="宋体" w:hAnsi="宋体" w:cs="宋体"/>
          <w:color w:val="auto"/>
          <w:sz w:val="24"/>
          <w:szCs w:val="24"/>
          <w:highlight w:val="none"/>
        </w:rPr>
      </w:pPr>
    </w:p>
    <w:p>
      <w:pPr>
        <w:pStyle w:val="15"/>
        <w:rPr>
          <w:rFonts w:hint="eastAsia" w:ascii="宋体" w:hAnsi="宋体" w:cs="宋体"/>
          <w:color w:val="auto"/>
          <w:sz w:val="24"/>
          <w:szCs w:val="24"/>
          <w:highlight w:val="none"/>
        </w:rPr>
      </w:pPr>
    </w:p>
    <w:p>
      <w:pPr>
        <w:pStyle w:val="15"/>
        <w:rPr>
          <w:rFonts w:hint="eastAsia" w:ascii="宋体" w:hAnsi="宋体" w:cs="宋体"/>
          <w:color w:val="auto"/>
          <w:sz w:val="24"/>
          <w:szCs w:val="24"/>
          <w:highlight w:val="none"/>
        </w:rPr>
      </w:pPr>
    </w:p>
    <w:p>
      <w:pPr>
        <w:pStyle w:val="15"/>
        <w:rPr>
          <w:rFonts w:hint="eastAsia" w:ascii="宋体" w:hAnsi="宋体" w:cs="宋体"/>
          <w:color w:val="auto"/>
          <w:sz w:val="24"/>
          <w:szCs w:val="24"/>
          <w:highlight w:val="none"/>
        </w:rPr>
      </w:pPr>
    </w:p>
    <w:p>
      <w:pPr>
        <w:jc w:val="center"/>
        <w:rPr>
          <w:rFonts w:hint="eastAsia" w:ascii="宋体" w:hAnsi="宋体" w:cs="宋体"/>
          <w:color w:val="auto"/>
          <w:sz w:val="24"/>
          <w:szCs w:val="24"/>
          <w:highlight w:val="none"/>
        </w:rPr>
      </w:pPr>
    </w:p>
    <w:p>
      <w:pPr>
        <w:jc w:val="center"/>
        <w:rPr>
          <w:rFonts w:hint="eastAsia" w:ascii="宋体" w:hAnsi="宋体" w:cs="宋体"/>
          <w:color w:val="auto"/>
          <w:sz w:val="24"/>
          <w:szCs w:val="24"/>
          <w:highlight w:val="none"/>
        </w:rPr>
      </w:pPr>
    </w:p>
    <w:p>
      <w:pPr>
        <w:jc w:val="center"/>
        <w:rPr>
          <w:rFonts w:hint="eastAsia" w:ascii="宋体" w:hAnsi="宋体" w:cs="宋体"/>
          <w:color w:val="auto"/>
          <w:sz w:val="24"/>
          <w:szCs w:val="24"/>
          <w:highlight w:val="none"/>
        </w:rPr>
      </w:pPr>
    </w:p>
    <w:p>
      <w:pPr>
        <w:jc w:val="center"/>
        <w:rPr>
          <w:rFonts w:hint="eastAsia" w:ascii="宋体" w:hAnsi="宋体" w:cs="宋体"/>
          <w:color w:val="auto"/>
          <w:sz w:val="24"/>
          <w:szCs w:val="24"/>
          <w:highlight w:val="none"/>
        </w:rPr>
      </w:pPr>
    </w:p>
    <w:p>
      <w:pPr>
        <w:jc w:val="center"/>
        <w:rPr>
          <w:rFonts w:hint="eastAsia" w:ascii="宋体" w:hAnsi="宋体" w:cs="宋体"/>
          <w:color w:val="auto"/>
          <w:sz w:val="24"/>
          <w:szCs w:val="24"/>
          <w:highlight w:val="none"/>
        </w:rPr>
      </w:pPr>
    </w:p>
    <w:p>
      <w:pPr>
        <w:jc w:val="center"/>
        <w:rPr>
          <w:rFonts w:hint="eastAsia" w:ascii="宋体" w:hAnsi="宋体" w:cs="宋体"/>
          <w:color w:val="auto"/>
          <w:sz w:val="24"/>
          <w:szCs w:val="24"/>
          <w:highlight w:val="none"/>
        </w:rPr>
      </w:pPr>
    </w:p>
    <w:p>
      <w:pPr>
        <w:pStyle w:val="33"/>
        <w:spacing w:line="360" w:lineRule="auto"/>
        <w:jc w:val="center"/>
        <w:rPr>
          <w:rFonts w:hint="eastAsia" w:ascii="宋体" w:hAnsi="宋体" w:eastAsia="宋体" w:cs="宋体"/>
          <w:color w:val="auto"/>
          <w:highlight w:val="none"/>
        </w:rPr>
      </w:pPr>
      <w:bookmarkStart w:id="0" w:name="_Toc15375"/>
      <w:bookmarkStart w:id="1" w:name="_Toc16728"/>
      <w:bookmarkStart w:id="2" w:name="_Toc15619"/>
      <w:bookmarkStart w:id="3" w:name="_Toc24683"/>
      <w:bookmarkStart w:id="4" w:name="_Toc20418"/>
      <w:r>
        <w:rPr>
          <w:rFonts w:hint="eastAsia" w:ascii="宋体" w:hAnsi="宋体" w:eastAsia="宋体" w:cs="宋体"/>
          <w:color w:val="auto"/>
          <w:highlight w:val="none"/>
        </w:rPr>
        <w:t>国家电投集团贵州金元股份有限公司</w:t>
      </w:r>
      <w:bookmarkEnd w:id="0"/>
      <w:bookmarkEnd w:id="1"/>
      <w:bookmarkEnd w:id="2"/>
      <w:bookmarkEnd w:id="3"/>
      <w:bookmarkEnd w:id="4"/>
    </w:p>
    <w:p>
      <w:pPr>
        <w:pStyle w:val="33"/>
        <w:spacing w:line="360" w:lineRule="auto"/>
        <w:jc w:val="center"/>
        <w:rPr>
          <w:rFonts w:hint="eastAsia" w:ascii="宋体" w:hAnsi="宋体" w:eastAsia="宋体" w:cs="宋体"/>
          <w:color w:val="auto"/>
          <w:highlight w:val="none"/>
          <w:lang w:val="zh-CN"/>
        </w:rPr>
      </w:pPr>
      <w:bookmarkStart w:id="5" w:name="_Toc23377"/>
      <w:bookmarkStart w:id="6" w:name="_Toc10027"/>
      <w:bookmarkStart w:id="7" w:name="_Toc15008"/>
      <w:bookmarkStart w:id="8" w:name="_Toc27321"/>
      <w:bookmarkStart w:id="9" w:name="_Toc20365"/>
      <w:r>
        <w:rPr>
          <w:rFonts w:hint="eastAsia" w:ascii="宋体" w:hAnsi="宋体" w:eastAsia="宋体" w:cs="宋体"/>
          <w:color w:val="auto"/>
          <w:highlight w:val="none"/>
          <w:lang w:val="zh-CN"/>
        </w:rPr>
        <w:t>202</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lang w:val="zh-CN"/>
        </w:rPr>
        <w:t>年</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lang w:val="zh-CN"/>
        </w:rPr>
        <w:t>月</w:t>
      </w:r>
      <w:bookmarkEnd w:id="5"/>
      <w:bookmarkEnd w:id="6"/>
      <w:bookmarkEnd w:id="7"/>
      <w:bookmarkEnd w:id="8"/>
      <w:bookmarkEnd w:id="9"/>
    </w:p>
    <w:p>
      <w:pPr>
        <w:rPr>
          <w:rFonts w:hint="eastAsia" w:ascii="宋体" w:hAnsi="宋体" w:cs="宋体"/>
          <w:color w:val="auto"/>
          <w:sz w:val="24"/>
          <w:szCs w:val="24"/>
          <w:highlight w:val="none"/>
          <w:lang w:val="zh-CN"/>
        </w:rPr>
      </w:pPr>
    </w:p>
    <w:p>
      <w:pPr>
        <w:rPr>
          <w:rFonts w:hint="eastAsia" w:ascii="宋体" w:hAnsi="宋体" w:cs="宋体"/>
          <w:color w:val="auto"/>
          <w:sz w:val="24"/>
          <w:szCs w:val="24"/>
          <w:highlight w:val="none"/>
          <w:lang w:val="zh-CN"/>
        </w:rPr>
      </w:pPr>
    </w:p>
    <w:p>
      <w:pPr>
        <w:rPr>
          <w:rFonts w:hint="eastAsia" w:ascii="宋体" w:hAnsi="宋体" w:cs="宋体"/>
          <w:color w:val="auto"/>
          <w:sz w:val="24"/>
          <w:szCs w:val="24"/>
          <w:highlight w:val="none"/>
          <w:lang w:val="zh-CN"/>
        </w:rPr>
        <w:sectPr>
          <w:footerReference r:id="rId3" w:type="default"/>
          <w:pgSz w:w="11907" w:h="16839"/>
          <w:pgMar w:top="1440" w:right="1797" w:bottom="1440" w:left="1797" w:header="680" w:footer="992" w:gutter="0"/>
          <w:pgNumType w:fmt="decimal"/>
          <w:cols w:space="720" w:num="1"/>
          <w:docGrid w:linePitch="312" w:charSpace="0"/>
        </w:sectPr>
      </w:pPr>
    </w:p>
    <w:p>
      <w:pPr>
        <w:pStyle w:val="15"/>
        <w:rPr>
          <w:rFonts w:hint="eastAsia"/>
          <w:color w:val="auto"/>
          <w:highlight w:val="none"/>
          <w:lang w:val="zh-CN"/>
        </w:rPr>
      </w:pPr>
    </w:p>
    <w:p>
      <w:pPr>
        <w:pStyle w:val="33"/>
        <w:spacing w:line="360" w:lineRule="auto"/>
        <w:jc w:val="center"/>
        <w:rPr>
          <w:rFonts w:hint="eastAsia" w:ascii="宋体" w:hAnsi="宋体" w:eastAsia="宋体" w:cs="宋体"/>
          <w:color w:val="auto"/>
          <w:sz w:val="24"/>
          <w:szCs w:val="24"/>
          <w:highlight w:val="none"/>
          <w:lang w:val="zh-CN"/>
        </w:rPr>
      </w:pPr>
    </w:p>
    <w:p>
      <w:pPr>
        <w:pStyle w:val="33"/>
        <w:spacing w:line="360" w:lineRule="auto"/>
        <w:jc w:val="center"/>
        <w:rPr>
          <w:rFonts w:hint="eastAsia" w:ascii="宋体" w:hAnsi="宋体" w:eastAsia="宋体" w:cs="宋体"/>
          <w:b/>
          <w:bCs/>
          <w:color w:val="auto"/>
          <w:sz w:val="44"/>
          <w:szCs w:val="44"/>
          <w:highlight w:val="none"/>
          <w:lang w:val="zh-CN"/>
        </w:rPr>
      </w:pPr>
      <w:bookmarkStart w:id="10" w:name="_Toc15043"/>
      <w:bookmarkStart w:id="11" w:name="_Toc5541"/>
      <w:bookmarkStart w:id="12" w:name="_Toc4211"/>
      <w:bookmarkStart w:id="13" w:name="_Toc13312"/>
      <w:bookmarkStart w:id="14" w:name="_Toc3056"/>
      <w:r>
        <w:rPr>
          <w:rFonts w:hint="eastAsia" w:ascii="宋体" w:hAnsi="宋体" w:eastAsia="宋体" w:cs="宋体"/>
          <w:b/>
          <w:bCs/>
          <w:color w:val="auto"/>
          <w:sz w:val="44"/>
          <w:szCs w:val="44"/>
          <w:highlight w:val="none"/>
          <w:lang w:val="zh-CN"/>
        </w:rPr>
        <w:t>目</w:t>
      </w:r>
      <w:r>
        <w:rPr>
          <w:rFonts w:hint="eastAsia" w:ascii="宋体" w:hAnsi="宋体" w:eastAsia="宋体" w:cs="宋体"/>
          <w:b/>
          <w:bCs/>
          <w:color w:val="auto"/>
          <w:sz w:val="44"/>
          <w:szCs w:val="44"/>
          <w:highlight w:val="none"/>
        </w:rPr>
        <w:t xml:space="preserve">  </w:t>
      </w:r>
      <w:r>
        <w:rPr>
          <w:rFonts w:hint="eastAsia" w:ascii="宋体" w:hAnsi="宋体" w:eastAsia="宋体" w:cs="宋体"/>
          <w:b/>
          <w:bCs/>
          <w:color w:val="auto"/>
          <w:sz w:val="44"/>
          <w:szCs w:val="44"/>
          <w:highlight w:val="none"/>
          <w:lang w:val="zh-CN"/>
        </w:rPr>
        <w:t>录</w:t>
      </w:r>
      <w:bookmarkEnd w:id="10"/>
      <w:bookmarkEnd w:id="11"/>
      <w:bookmarkEnd w:id="12"/>
      <w:bookmarkEnd w:id="13"/>
      <w:bookmarkEnd w:id="14"/>
    </w:p>
    <w:p>
      <w:pPr>
        <w:rPr>
          <w:rFonts w:hint="eastAsia"/>
          <w:color w:val="auto"/>
          <w:highlight w:val="none"/>
          <w:shd w:val="clear" w:color="FFFFFF" w:fill="D9D9D9"/>
        </w:rPr>
      </w:pPr>
    </w:p>
    <w:p>
      <w:pPr>
        <w:pStyle w:val="14"/>
        <w:tabs>
          <w:tab w:val="right" w:leader="dot" w:pos="8313"/>
        </w:tabs>
        <w:rPr>
          <w:color w:val="auto"/>
          <w:highlight w:val="none"/>
        </w:rPr>
      </w:pPr>
      <w:r>
        <w:rPr>
          <w:rFonts w:hint="eastAsia" w:ascii="宋体" w:hAnsi="宋体" w:cs="宋体"/>
          <w:color w:val="auto"/>
          <w:sz w:val="24"/>
          <w:szCs w:val="24"/>
          <w:highlight w:val="none"/>
          <w:shd w:val="clear" w:color="FFFFFF" w:fill="D9D9D9"/>
        </w:rPr>
        <w:fldChar w:fldCharType="begin"/>
      </w:r>
      <w:r>
        <w:rPr>
          <w:rFonts w:hint="eastAsia" w:ascii="宋体" w:hAnsi="宋体" w:cs="宋体"/>
          <w:color w:val="auto"/>
          <w:sz w:val="24"/>
          <w:szCs w:val="24"/>
          <w:highlight w:val="none"/>
          <w:shd w:val="clear" w:color="FFFFFF" w:fill="D9D9D9"/>
        </w:rPr>
        <w:instrText xml:space="preserve">TOC \o "1-1" \h \u </w:instrText>
      </w:r>
      <w:r>
        <w:rPr>
          <w:rFonts w:hint="eastAsia" w:ascii="宋体" w:hAnsi="宋体" w:cs="宋体"/>
          <w:color w:val="auto"/>
          <w:sz w:val="24"/>
          <w:szCs w:val="24"/>
          <w:highlight w:val="none"/>
          <w:shd w:val="clear" w:color="FFFFFF" w:fill="D9D9D9"/>
        </w:rPr>
        <w:fldChar w:fldCharType="separate"/>
      </w:r>
    </w:p>
    <w:p>
      <w:pPr>
        <w:pStyle w:val="14"/>
        <w:tabs>
          <w:tab w:val="right" w:leader="dot" w:pos="8313"/>
        </w:tabs>
        <w:spacing w:line="360" w:lineRule="auto"/>
        <w:rPr>
          <w:rFonts w:hint="eastAsia" w:ascii="宋体" w:hAnsi="宋体" w:cs="宋体"/>
          <w:color w:val="auto"/>
          <w:sz w:val="24"/>
          <w:szCs w:val="24"/>
          <w:highlight w:val="none"/>
        </w:rPr>
      </w:pPr>
      <w:r>
        <w:rPr>
          <w:rFonts w:hint="eastAsia" w:ascii="宋体" w:hAnsi="宋体" w:cs="宋体"/>
          <w:color w:val="auto"/>
          <w:sz w:val="24"/>
          <w:szCs w:val="32"/>
          <w:highlight w:val="none"/>
          <w:shd w:val="clear" w:color="FFFFFF" w:fill="D9D9D9"/>
        </w:rPr>
        <w:fldChar w:fldCharType="begin"/>
      </w:r>
      <w:r>
        <w:rPr>
          <w:rFonts w:hint="eastAsia" w:ascii="宋体" w:hAnsi="宋体" w:cs="宋体"/>
          <w:color w:val="auto"/>
          <w:sz w:val="24"/>
          <w:szCs w:val="32"/>
          <w:highlight w:val="none"/>
          <w:shd w:val="clear" w:color="FFFFFF" w:fill="D9D9D9"/>
        </w:rPr>
        <w:instrText xml:space="preserve"> HYPERLINK \l _Toc13928 </w:instrText>
      </w:r>
      <w:r>
        <w:rPr>
          <w:rFonts w:hint="eastAsia" w:ascii="宋体" w:hAnsi="宋体" w:cs="宋体"/>
          <w:color w:val="auto"/>
          <w:sz w:val="24"/>
          <w:szCs w:val="32"/>
          <w:highlight w:val="none"/>
          <w:shd w:val="clear" w:color="FFFFFF" w:fill="D9D9D9"/>
        </w:rPr>
        <w:fldChar w:fldCharType="separate"/>
      </w:r>
      <w:r>
        <w:rPr>
          <w:rFonts w:hint="eastAsia" w:ascii="宋体" w:hAnsi="宋体" w:cs="宋体"/>
          <w:color w:val="auto"/>
          <w:sz w:val="24"/>
          <w:szCs w:val="24"/>
          <w:highlight w:val="none"/>
        </w:rPr>
        <w:t>第一节 重要提示、目录和释义</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_Toc13928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1</w:t>
      </w:r>
      <w:r>
        <w:rPr>
          <w:rFonts w:hint="eastAsia" w:ascii="宋体" w:hAnsi="宋体" w:cs="宋体"/>
          <w:color w:val="auto"/>
          <w:sz w:val="24"/>
          <w:szCs w:val="24"/>
          <w:highlight w:val="none"/>
        </w:rPr>
        <w:fldChar w:fldCharType="end"/>
      </w:r>
      <w:r>
        <w:rPr>
          <w:rFonts w:hint="eastAsia" w:ascii="宋体" w:hAnsi="宋体" w:cs="宋体"/>
          <w:color w:val="auto"/>
          <w:sz w:val="24"/>
          <w:szCs w:val="32"/>
          <w:highlight w:val="none"/>
          <w:shd w:val="clear" w:color="FFFFFF" w:fill="D9D9D9"/>
        </w:rPr>
        <w:fldChar w:fldCharType="end"/>
      </w:r>
    </w:p>
    <w:p>
      <w:pPr>
        <w:pStyle w:val="14"/>
        <w:tabs>
          <w:tab w:val="right" w:leader="dot" w:pos="8313"/>
        </w:tabs>
        <w:spacing w:line="360" w:lineRule="auto"/>
        <w:rPr>
          <w:rFonts w:hint="eastAsia" w:ascii="宋体" w:hAnsi="宋体" w:cs="宋体"/>
          <w:color w:val="auto"/>
          <w:sz w:val="24"/>
          <w:szCs w:val="24"/>
          <w:highlight w:val="none"/>
        </w:rPr>
      </w:pPr>
      <w:r>
        <w:rPr>
          <w:rFonts w:hint="eastAsia" w:ascii="宋体" w:hAnsi="宋体" w:cs="宋体"/>
          <w:color w:val="auto"/>
          <w:sz w:val="24"/>
          <w:szCs w:val="32"/>
          <w:highlight w:val="none"/>
          <w:shd w:val="clear" w:color="FFFFFF" w:fill="D9D9D9"/>
        </w:rPr>
        <w:fldChar w:fldCharType="begin"/>
      </w:r>
      <w:r>
        <w:rPr>
          <w:rFonts w:hint="eastAsia" w:ascii="宋体" w:hAnsi="宋体" w:cs="宋体"/>
          <w:color w:val="auto"/>
          <w:sz w:val="24"/>
          <w:szCs w:val="32"/>
          <w:highlight w:val="none"/>
          <w:shd w:val="clear" w:color="FFFFFF" w:fill="D9D9D9"/>
        </w:rPr>
        <w:instrText xml:space="preserve"> HYPERLINK \l _Toc2937 </w:instrText>
      </w:r>
      <w:r>
        <w:rPr>
          <w:rFonts w:hint="eastAsia" w:ascii="宋体" w:hAnsi="宋体" w:cs="宋体"/>
          <w:color w:val="auto"/>
          <w:sz w:val="24"/>
          <w:szCs w:val="32"/>
          <w:highlight w:val="none"/>
          <w:shd w:val="clear" w:color="FFFFFF" w:fill="D9D9D9"/>
        </w:rPr>
        <w:fldChar w:fldCharType="separate"/>
      </w:r>
      <w:r>
        <w:rPr>
          <w:rFonts w:hint="eastAsia" w:ascii="宋体" w:hAnsi="宋体" w:cs="宋体"/>
          <w:color w:val="auto"/>
          <w:sz w:val="24"/>
          <w:szCs w:val="24"/>
          <w:highlight w:val="none"/>
        </w:rPr>
        <w:t>第二节 基本情况简介</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_Toc2937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3</w:t>
      </w:r>
      <w:r>
        <w:rPr>
          <w:rFonts w:hint="eastAsia" w:ascii="宋体" w:hAnsi="宋体" w:cs="宋体"/>
          <w:color w:val="auto"/>
          <w:sz w:val="24"/>
          <w:szCs w:val="24"/>
          <w:highlight w:val="none"/>
        </w:rPr>
        <w:fldChar w:fldCharType="end"/>
      </w:r>
      <w:r>
        <w:rPr>
          <w:rFonts w:hint="eastAsia" w:ascii="宋体" w:hAnsi="宋体" w:cs="宋体"/>
          <w:color w:val="auto"/>
          <w:sz w:val="24"/>
          <w:szCs w:val="32"/>
          <w:highlight w:val="none"/>
          <w:shd w:val="clear" w:color="FFFFFF" w:fill="D9D9D9"/>
        </w:rPr>
        <w:fldChar w:fldCharType="end"/>
      </w:r>
    </w:p>
    <w:p>
      <w:pPr>
        <w:pStyle w:val="14"/>
        <w:tabs>
          <w:tab w:val="right" w:leader="dot" w:pos="8313"/>
        </w:tabs>
        <w:spacing w:line="360" w:lineRule="auto"/>
        <w:rPr>
          <w:rFonts w:hint="eastAsia" w:ascii="宋体" w:hAnsi="宋体" w:cs="宋体"/>
          <w:color w:val="auto"/>
          <w:sz w:val="24"/>
          <w:szCs w:val="24"/>
          <w:highlight w:val="none"/>
        </w:rPr>
      </w:pPr>
      <w:r>
        <w:rPr>
          <w:rFonts w:hint="eastAsia" w:ascii="宋体" w:hAnsi="宋体" w:cs="宋体"/>
          <w:color w:val="auto"/>
          <w:sz w:val="24"/>
          <w:szCs w:val="32"/>
          <w:highlight w:val="none"/>
          <w:shd w:val="clear" w:color="FFFFFF" w:fill="D9D9D9"/>
        </w:rPr>
        <w:fldChar w:fldCharType="begin"/>
      </w:r>
      <w:r>
        <w:rPr>
          <w:rFonts w:hint="eastAsia" w:ascii="宋体" w:hAnsi="宋体" w:cs="宋体"/>
          <w:color w:val="auto"/>
          <w:sz w:val="24"/>
          <w:szCs w:val="32"/>
          <w:highlight w:val="none"/>
          <w:shd w:val="clear" w:color="FFFFFF" w:fill="D9D9D9"/>
        </w:rPr>
        <w:instrText xml:space="preserve"> HYPERLINK \l _Toc16334 </w:instrText>
      </w:r>
      <w:r>
        <w:rPr>
          <w:rFonts w:hint="eastAsia" w:ascii="宋体" w:hAnsi="宋体" w:cs="宋体"/>
          <w:color w:val="auto"/>
          <w:sz w:val="24"/>
          <w:szCs w:val="32"/>
          <w:highlight w:val="none"/>
          <w:shd w:val="clear" w:color="FFFFFF" w:fill="D9D9D9"/>
        </w:rPr>
        <w:fldChar w:fldCharType="separate"/>
      </w:r>
      <w:r>
        <w:rPr>
          <w:rFonts w:hint="eastAsia" w:ascii="宋体" w:hAnsi="宋体" w:cs="宋体"/>
          <w:bCs/>
          <w:color w:val="auto"/>
          <w:sz w:val="24"/>
          <w:szCs w:val="32"/>
          <w:highlight w:val="none"/>
        </w:rPr>
        <w:t>第三节 会计数据、经营情况和管理层分析</w:t>
      </w:r>
      <w:r>
        <w:rPr>
          <w:rFonts w:hint="eastAsia" w:ascii="宋体" w:hAnsi="宋体" w:cs="宋体"/>
          <w:color w:val="auto"/>
          <w:sz w:val="24"/>
          <w:szCs w:val="24"/>
          <w:highlight w:val="none"/>
        </w:rPr>
        <w:tab/>
      </w:r>
      <w:r>
        <w:rPr>
          <w:rFonts w:hint="eastAsia" w:ascii="宋体" w:hAnsi="宋体" w:cs="宋体"/>
          <w:color w:val="auto"/>
          <w:sz w:val="24"/>
          <w:szCs w:val="24"/>
          <w:highlight w:val="none"/>
          <w:lang w:val="en-US" w:eastAsia="zh-CN"/>
        </w:rPr>
        <w:t>3</w:t>
      </w:r>
      <w:r>
        <w:rPr>
          <w:rFonts w:hint="eastAsia" w:ascii="宋体" w:hAnsi="宋体" w:cs="宋体"/>
          <w:color w:val="auto"/>
          <w:sz w:val="24"/>
          <w:szCs w:val="32"/>
          <w:highlight w:val="none"/>
          <w:shd w:val="clear" w:color="FFFFFF" w:fill="D9D9D9"/>
        </w:rPr>
        <w:fldChar w:fldCharType="end"/>
      </w:r>
    </w:p>
    <w:p>
      <w:pPr>
        <w:pStyle w:val="14"/>
        <w:tabs>
          <w:tab w:val="right" w:leader="dot" w:pos="8313"/>
        </w:tabs>
        <w:spacing w:line="360" w:lineRule="auto"/>
        <w:rPr>
          <w:rFonts w:hint="eastAsia" w:ascii="宋体" w:hAnsi="宋体" w:cs="宋体"/>
          <w:color w:val="auto"/>
          <w:sz w:val="24"/>
          <w:szCs w:val="24"/>
          <w:highlight w:val="none"/>
        </w:rPr>
      </w:pPr>
      <w:r>
        <w:rPr>
          <w:rFonts w:hint="eastAsia" w:ascii="宋体" w:hAnsi="宋体" w:cs="宋体"/>
          <w:color w:val="auto"/>
          <w:sz w:val="24"/>
          <w:szCs w:val="32"/>
          <w:highlight w:val="none"/>
          <w:shd w:val="clear" w:color="FFFFFF" w:fill="D9D9D9"/>
        </w:rPr>
        <w:fldChar w:fldCharType="begin"/>
      </w:r>
      <w:r>
        <w:rPr>
          <w:rFonts w:hint="eastAsia" w:ascii="宋体" w:hAnsi="宋体" w:cs="宋体"/>
          <w:color w:val="auto"/>
          <w:sz w:val="24"/>
          <w:szCs w:val="32"/>
          <w:highlight w:val="none"/>
          <w:shd w:val="clear" w:color="FFFFFF" w:fill="D9D9D9"/>
        </w:rPr>
        <w:instrText xml:space="preserve"> HYPERLINK \l _Toc13665 </w:instrText>
      </w:r>
      <w:r>
        <w:rPr>
          <w:rFonts w:hint="eastAsia" w:ascii="宋体" w:hAnsi="宋体" w:cs="宋体"/>
          <w:color w:val="auto"/>
          <w:sz w:val="24"/>
          <w:szCs w:val="32"/>
          <w:highlight w:val="none"/>
          <w:shd w:val="clear" w:color="FFFFFF" w:fill="D9D9D9"/>
        </w:rPr>
        <w:fldChar w:fldCharType="separate"/>
      </w:r>
      <w:r>
        <w:rPr>
          <w:rFonts w:hint="eastAsia" w:ascii="宋体" w:hAnsi="宋体" w:cs="宋体"/>
          <w:bCs/>
          <w:color w:val="auto"/>
          <w:sz w:val="24"/>
          <w:szCs w:val="32"/>
          <w:highlight w:val="none"/>
        </w:rPr>
        <w:t>第四节 董事、监事、高级管理人员情况</w:t>
      </w:r>
      <w:r>
        <w:rPr>
          <w:rFonts w:hint="eastAsia" w:ascii="宋体" w:hAnsi="宋体" w:cs="宋体"/>
          <w:color w:val="auto"/>
          <w:sz w:val="24"/>
          <w:szCs w:val="24"/>
          <w:highlight w:val="none"/>
        </w:rPr>
        <w:tab/>
      </w:r>
      <w:r>
        <w:rPr>
          <w:rFonts w:hint="eastAsia" w:ascii="宋体" w:hAnsi="宋体" w:cs="宋体"/>
          <w:color w:val="auto"/>
          <w:sz w:val="24"/>
          <w:szCs w:val="24"/>
          <w:highlight w:val="none"/>
          <w:lang w:val="en-US" w:eastAsia="zh-CN"/>
        </w:rPr>
        <w:t>14</w:t>
      </w:r>
      <w:r>
        <w:rPr>
          <w:rFonts w:hint="eastAsia" w:ascii="宋体" w:hAnsi="宋体" w:cs="宋体"/>
          <w:color w:val="auto"/>
          <w:sz w:val="24"/>
          <w:szCs w:val="32"/>
          <w:highlight w:val="none"/>
          <w:shd w:val="clear" w:color="FFFFFF" w:fill="D9D9D9"/>
        </w:rPr>
        <w:fldChar w:fldCharType="end"/>
      </w:r>
    </w:p>
    <w:p>
      <w:pPr>
        <w:pStyle w:val="14"/>
        <w:tabs>
          <w:tab w:val="right" w:leader="dot" w:pos="8313"/>
        </w:tabs>
        <w:spacing w:line="360" w:lineRule="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32"/>
          <w:highlight w:val="none"/>
          <w:shd w:val="clear" w:color="FFFFFF" w:fill="D9D9D9"/>
        </w:rPr>
        <w:fldChar w:fldCharType="begin"/>
      </w:r>
      <w:r>
        <w:rPr>
          <w:rFonts w:hint="eastAsia" w:ascii="宋体" w:hAnsi="宋体" w:cs="宋体"/>
          <w:color w:val="auto"/>
          <w:sz w:val="24"/>
          <w:szCs w:val="32"/>
          <w:highlight w:val="none"/>
          <w:shd w:val="clear" w:color="FFFFFF" w:fill="D9D9D9"/>
        </w:rPr>
        <w:instrText xml:space="preserve"> HYPERLINK \l _Toc21854 </w:instrText>
      </w:r>
      <w:r>
        <w:rPr>
          <w:rFonts w:hint="eastAsia" w:ascii="宋体" w:hAnsi="宋体" w:cs="宋体"/>
          <w:color w:val="auto"/>
          <w:sz w:val="24"/>
          <w:szCs w:val="32"/>
          <w:highlight w:val="none"/>
          <w:shd w:val="clear" w:color="FFFFFF" w:fill="D9D9D9"/>
        </w:rPr>
        <w:fldChar w:fldCharType="separate"/>
      </w:r>
      <w:r>
        <w:rPr>
          <w:rFonts w:hint="eastAsia" w:ascii="宋体" w:hAnsi="宋体" w:cs="宋体"/>
          <w:bCs/>
          <w:color w:val="auto"/>
          <w:sz w:val="24"/>
          <w:szCs w:val="24"/>
          <w:highlight w:val="none"/>
        </w:rPr>
        <w:t>第五节 公司治理、内部控制和投资者保护</w:t>
      </w:r>
      <w:r>
        <w:rPr>
          <w:rFonts w:hint="eastAsia" w:ascii="宋体" w:hAnsi="宋体" w:cs="宋体"/>
          <w:color w:val="auto"/>
          <w:sz w:val="24"/>
          <w:szCs w:val="24"/>
          <w:highlight w:val="none"/>
        </w:rPr>
        <w:tab/>
      </w:r>
      <w:r>
        <w:rPr>
          <w:rFonts w:hint="eastAsia" w:ascii="宋体" w:hAnsi="宋体" w:cs="宋体"/>
          <w:color w:val="auto"/>
          <w:sz w:val="24"/>
          <w:szCs w:val="24"/>
          <w:highlight w:val="none"/>
          <w:lang w:val="en-US" w:eastAsia="zh-CN"/>
        </w:rPr>
        <w:t>2</w:t>
      </w:r>
      <w:r>
        <w:rPr>
          <w:rFonts w:hint="eastAsia" w:ascii="宋体" w:hAnsi="宋体" w:cs="宋体"/>
          <w:color w:val="auto"/>
          <w:sz w:val="24"/>
          <w:szCs w:val="32"/>
          <w:highlight w:val="none"/>
          <w:shd w:val="clear" w:color="FFFFFF" w:fill="D9D9D9"/>
        </w:rPr>
        <w:fldChar w:fldCharType="end"/>
      </w:r>
      <w:r>
        <w:rPr>
          <w:rFonts w:hint="eastAsia" w:ascii="宋体" w:hAnsi="宋体" w:cs="宋体"/>
          <w:color w:val="auto"/>
          <w:sz w:val="24"/>
          <w:szCs w:val="32"/>
          <w:highlight w:val="none"/>
          <w:shd w:val="clear" w:color="FFFFFF" w:fill="D9D9D9"/>
          <w:lang w:val="en-US" w:eastAsia="zh-CN"/>
        </w:rPr>
        <w:t>0</w:t>
      </w:r>
    </w:p>
    <w:p>
      <w:pPr>
        <w:pStyle w:val="14"/>
        <w:tabs>
          <w:tab w:val="right" w:leader="dot" w:pos="8313"/>
        </w:tabs>
        <w:spacing w:line="360" w:lineRule="auto"/>
        <w:rPr>
          <w:rFonts w:hint="eastAsia" w:ascii="宋体" w:hAnsi="宋体" w:cs="宋体"/>
          <w:color w:val="auto"/>
          <w:sz w:val="24"/>
          <w:szCs w:val="24"/>
          <w:highlight w:val="none"/>
        </w:rPr>
      </w:pPr>
      <w:r>
        <w:rPr>
          <w:rFonts w:hint="eastAsia" w:ascii="宋体" w:hAnsi="宋体" w:cs="宋体"/>
          <w:color w:val="auto"/>
          <w:sz w:val="24"/>
          <w:szCs w:val="32"/>
          <w:highlight w:val="none"/>
          <w:shd w:val="clear" w:color="FFFFFF" w:fill="D9D9D9"/>
        </w:rPr>
        <w:fldChar w:fldCharType="begin"/>
      </w:r>
      <w:r>
        <w:rPr>
          <w:rFonts w:hint="eastAsia" w:ascii="宋体" w:hAnsi="宋体" w:cs="宋体"/>
          <w:color w:val="auto"/>
          <w:sz w:val="24"/>
          <w:szCs w:val="32"/>
          <w:highlight w:val="none"/>
          <w:shd w:val="clear" w:color="FFFFFF" w:fill="D9D9D9"/>
        </w:rPr>
        <w:instrText xml:space="preserve"> HYPERLINK \l _Toc2550 </w:instrText>
      </w:r>
      <w:r>
        <w:rPr>
          <w:rFonts w:hint="eastAsia" w:ascii="宋体" w:hAnsi="宋体" w:cs="宋体"/>
          <w:color w:val="auto"/>
          <w:sz w:val="24"/>
          <w:szCs w:val="32"/>
          <w:highlight w:val="none"/>
          <w:shd w:val="clear" w:color="FFFFFF" w:fill="D9D9D9"/>
        </w:rPr>
        <w:fldChar w:fldCharType="separate"/>
      </w:r>
      <w:r>
        <w:rPr>
          <w:rFonts w:hint="eastAsia" w:ascii="宋体" w:hAnsi="宋体" w:cs="宋体"/>
          <w:bCs/>
          <w:color w:val="auto"/>
          <w:sz w:val="24"/>
          <w:szCs w:val="24"/>
          <w:highlight w:val="none"/>
        </w:rPr>
        <w:t>第六节 重要事项</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_Toc2550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2</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fldChar w:fldCharType="end"/>
      </w:r>
      <w:r>
        <w:rPr>
          <w:rFonts w:hint="eastAsia" w:ascii="宋体" w:hAnsi="宋体" w:cs="宋体"/>
          <w:color w:val="auto"/>
          <w:sz w:val="24"/>
          <w:szCs w:val="32"/>
          <w:highlight w:val="none"/>
          <w:shd w:val="clear" w:color="FFFFFF" w:fill="D9D9D9"/>
        </w:rPr>
        <w:fldChar w:fldCharType="end"/>
      </w:r>
    </w:p>
    <w:p>
      <w:pPr>
        <w:pStyle w:val="14"/>
        <w:tabs>
          <w:tab w:val="right" w:leader="dot" w:pos="8313"/>
        </w:tabs>
        <w:spacing w:line="360" w:lineRule="auto"/>
        <w:rPr>
          <w:rFonts w:hint="eastAsia" w:eastAsia="宋体"/>
          <w:color w:val="auto"/>
          <w:highlight w:val="none"/>
          <w:lang w:val="en-US" w:eastAsia="zh-CN"/>
        </w:rPr>
      </w:pPr>
      <w:r>
        <w:rPr>
          <w:rFonts w:hint="eastAsia" w:ascii="宋体" w:hAnsi="宋体" w:cs="宋体"/>
          <w:color w:val="auto"/>
          <w:sz w:val="24"/>
          <w:szCs w:val="32"/>
          <w:highlight w:val="none"/>
          <w:shd w:val="clear" w:color="FFFFFF" w:fill="D9D9D9"/>
        </w:rPr>
        <w:fldChar w:fldCharType="begin"/>
      </w:r>
      <w:r>
        <w:rPr>
          <w:rFonts w:hint="eastAsia" w:ascii="宋体" w:hAnsi="宋体" w:cs="宋体"/>
          <w:color w:val="auto"/>
          <w:sz w:val="24"/>
          <w:szCs w:val="32"/>
          <w:highlight w:val="none"/>
          <w:shd w:val="clear" w:color="FFFFFF" w:fill="D9D9D9"/>
        </w:rPr>
        <w:instrText xml:space="preserve"> HYPERLINK \l _Toc10869 </w:instrText>
      </w:r>
      <w:r>
        <w:rPr>
          <w:rFonts w:hint="eastAsia" w:ascii="宋体" w:hAnsi="宋体" w:cs="宋体"/>
          <w:color w:val="auto"/>
          <w:sz w:val="24"/>
          <w:szCs w:val="32"/>
          <w:highlight w:val="none"/>
          <w:shd w:val="clear" w:color="FFFFFF" w:fill="D9D9D9"/>
        </w:rPr>
        <w:fldChar w:fldCharType="separate"/>
      </w:r>
      <w:r>
        <w:rPr>
          <w:rFonts w:hint="eastAsia" w:ascii="宋体" w:hAnsi="宋体" w:cs="宋体"/>
          <w:bCs/>
          <w:color w:val="auto"/>
          <w:sz w:val="24"/>
          <w:szCs w:val="24"/>
          <w:highlight w:val="none"/>
        </w:rPr>
        <w:t>第七节 会计财务报告</w:t>
      </w:r>
      <w:r>
        <w:rPr>
          <w:rFonts w:hint="eastAsia" w:ascii="宋体" w:hAnsi="宋体" w:cs="宋体"/>
          <w:color w:val="auto"/>
          <w:sz w:val="24"/>
          <w:szCs w:val="24"/>
          <w:highlight w:val="none"/>
        </w:rPr>
        <w:tab/>
      </w:r>
      <w:r>
        <w:rPr>
          <w:rFonts w:hint="eastAsia" w:ascii="宋体" w:hAnsi="宋体" w:cs="宋体"/>
          <w:color w:val="auto"/>
          <w:sz w:val="24"/>
          <w:szCs w:val="24"/>
          <w:highlight w:val="none"/>
          <w:lang w:val="en-US" w:eastAsia="zh-CN"/>
        </w:rPr>
        <w:t>2</w:t>
      </w:r>
      <w:r>
        <w:rPr>
          <w:rFonts w:hint="eastAsia" w:ascii="宋体" w:hAnsi="宋体" w:cs="宋体"/>
          <w:color w:val="auto"/>
          <w:sz w:val="24"/>
          <w:szCs w:val="32"/>
          <w:highlight w:val="none"/>
          <w:shd w:val="clear" w:color="FFFFFF" w:fill="D9D9D9"/>
        </w:rPr>
        <w:fldChar w:fldCharType="end"/>
      </w:r>
      <w:r>
        <w:rPr>
          <w:rFonts w:hint="eastAsia" w:ascii="宋体" w:hAnsi="宋体" w:cs="宋体"/>
          <w:color w:val="auto"/>
          <w:sz w:val="24"/>
          <w:szCs w:val="32"/>
          <w:highlight w:val="none"/>
          <w:shd w:val="clear" w:color="FFFFFF" w:fill="D9D9D9"/>
          <w:lang w:val="en-US" w:eastAsia="zh-CN"/>
        </w:rPr>
        <w:t>7</w:t>
      </w:r>
    </w:p>
    <w:p>
      <w:pPr>
        <w:pStyle w:val="14"/>
        <w:tabs>
          <w:tab w:val="right" w:leader="dot" w:pos="8313"/>
        </w:tabs>
        <w:rPr>
          <w:color w:val="auto"/>
          <w:highlight w:val="none"/>
        </w:rPr>
      </w:pPr>
    </w:p>
    <w:p>
      <w:pPr>
        <w:pStyle w:val="14"/>
        <w:tabs>
          <w:tab w:val="right" w:leader="dot" w:pos="8313"/>
        </w:tabs>
        <w:rPr>
          <w:color w:val="auto"/>
          <w:highlight w:val="none"/>
        </w:rPr>
      </w:pPr>
    </w:p>
    <w:p>
      <w:pPr>
        <w:spacing w:line="360" w:lineRule="auto"/>
        <w:rPr>
          <w:rFonts w:hint="eastAsia" w:ascii="宋体" w:hAnsi="宋体" w:cs="宋体"/>
          <w:color w:val="auto"/>
          <w:sz w:val="24"/>
          <w:szCs w:val="24"/>
          <w:highlight w:val="none"/>
        </w:rPr>
      </w:pPr>
      <w:r>
        <w:rPr>
          <w:rFonts w:hint="eastAsia" w:ascii="宋体" w:hAnsi="宋体" w:cs="宋体"/>
          <w:color w:val="auto"/>
          <w:szCs w:val="24"/>
          <w:highlight w:val="none"/>
          <w:shd w:val="clear" w:color="FFFFFF" w:fill="D9D9D9"/>
        </w:rPr>
        <w:fldChar w:fldCharType="end"/>
      </w:r>
    </w:p>
    <w:p>
      <w:pPr>
        <w:spacing w:line="360" w:lineRule="auto"/>
        <w:jc w:val="center"/>
        <w:rPr>
          <w:rFonts w:hint="eastAsia" w:ascii="宋体" w:hAnsi="宋体" w:cs="宋体"/>
          <w:b/>
          <w:bCs/>
          <w:color w:val="auto"/>
          <w:sz w:val="24"/>
          <w:szCs w:val="24"/>
          <w:highlight w:val="none"/>
        </w:rPr>
      </w:pPr>
    </w:p>
    <w:p>
      <w:pPr>
        <w:spacing w:line="360" w:lineRule="auto"/>
        <w:jc w:val="center"/>
        <w:rPr>
          <w:rFonts w:hint="eastAsia" w:ascii="宋体" w:hAnsi="宋体" w:cs="宋体"/>
          <w:b/>
          <w:bCs/>
          <w:color w:val="auto"/>
          <w:sz w:val="24"/>
          <w:szCs w:val="24"/>
          <w:highlight w:val="none"/>
        </w:rPr>
      </w:pPr>
    </w:p>
    <w:p>
      <w:pPr>
        <w:spacing w:line="360" w:lineRule="auto"/>
        <w:jc w:val="center"/>
        <w:rPr>
          <w:rFonts w:hint="eastAsia" w:ascii="宋体" w:hAnsi="宋体" w:cs="宋体"/>
          <w:b/>
          <w:bCs/>
          <w:color w:val="auto"/>
          <w:sz w:val="24"/>
          <w:szCs w:val="24"/>
          <w:highlight w:val="none"/>
        </w:rPr>
      </w:pPr>
    </w:p>
    <w:p>
      <w:pPr>
        <w:spacing w:line="360" w:lineRule="auto"/>
        <w:jc w:val="center"/>
        <w:rPr>
          <w:rFonts w:hint="eastAsia" w:ascii="宋体" w:hAnsi="宋体" w:cs="宋体"/>
          <w:b/>
          <w:bCs/>
          <w:color w:val="auto"/>
          <w:sz w:val="24"/>
          <w:szCs w:val="24"/>
          <w:highlight w:val="none"/>
        </w:rPr>
      </w:pPr>
    </w:p>
    <w:p>
      <w:pPr>
        <w:spacing w:line="360" w:lineRule="auto"/>
        <w:jc w:val="center"/>
        <w:rPr>
          <w:rFonts w:hint="eastAsia" w:ascii="宋体" w:hAnsi="宋体" w:cs="宋体"/>
          <w:b/>
          <w:bCs/>
          <w:color w:val="auto"/>
          <w:sz w:val="24"/>
          <w:szCs w:val="24"/>
          <w:highlight w:val="none"/>
        </w:rPr>
      </w:pPr>
    </w:p>
    <w:p>
      <w:pPr>
        <w:spacing w:line="360" w:lineRule="auto"/>
        <w:jc w:val="center"/>
        <w:rPr>
          <w:rFonts w:hint="eastAsia" w:ascii="宋体" w:hAnsi="宋体" w:cs="宋体"/>
          <w:b/>
          <w:bCs/>
          <w:color w:val="auto"/>
          <w:sz w:val="24"/>
          <w:szCs w:val="24"/>
          <w:highlight w:val="none"/>
        </w:rPr>
      </w:pPr>
    </w:p>
    <w:p>
      <w:pPr>
        <w:spacing w:line="360" w:lineRule="auto"/>
        <w:jc w:val="center"/>
        <w:rPr>
          <w:rFonts w:hint="eastAsia" w:ascii="宋体" w:hAnsi="宋体" w:cs="宋体"/>
          <w:b/>
          <w:bCs/>
          <w:color w:val="auto"/>
          <w:sz w:val="24"/>
          <w:szCs w:val="24"/>
          <w:highlight w:val="none"/>
        </w:rPr>
      </w:pPr>
    </w:p>
    <w:p>
      <w:pPr>
        <w:spacing w:line="360" w:lineRule="auto"/>
        <w:jc w:val="center"/>
        <w:rPr>
          <w:rFonts w:hint="eastAsia" w:ascii="宋体" w:hAnsi="宋体" w:cs="宋体"/>
          <w:b/>
          <w:bCs/>
          <w:color w:val="auto"/>
          <w:sz w:val="24"/>
          <w:szCs w:val="24"/>
          <w:highlight w:val="none"/>
        </w:rPr>
      </w:pPr>
    </w:p>
    <w:p>
      <w:pPr>
        <w:spacing w:line="360" w:lineRule="auto"/>
        <w:jc w:val="center"/>
        <w:rPr>
          <w:rFonts w:hint="eastAsia" w:ascii="宋体" w:hAnsi="宋体" w:cs="宋体"/>
          <w:b/>
          <w:bCs/>
          <w:color w:val="auto"/>
          <w:sz w:val="24"/>
          <w:szCs w:val="24"/>
          <w:highlight w:val="none"/>
        </w:rPr>
      </w:pPr>
    </w:p>
    <w:p>
      <w:pPr>
        <w:spacing w:line="360" w:lineRule="auto"/>
        <w:jc w:val="center"/>
        <w:rPr>
          <w:rFonts w:hint="eastAsia" w:ascii="宋体" w:hAnsi="宋体" w:cs="宋体"/>
          <w:b/>
          <w:bCs/>
          <w:color w:val="auto"/>
          <w:sz w:val="24"/>
          <w:szCs w:val="24"/>
          <w:highlight w:val="none"/>
        </w:rPr>
      </w:pPr>
    </w:p>
    <w:p>
      <w:pPr>
        <w:spacing w:line="360" w:lineRule="auto"/>
        <w:jc w:val="center"/>
        <w:rPr>
          <w:rFonts w:hint="eastAsia" w:ascii="宋体" w:hAnsi="宋体" w:cs="宋体"/>
          <w:b/>
          <w:bCs/>
          <w:color w:val="auto"/>
          <w:sz w:val="24"/>
          <w:szCs w:val="24"/>
          <w:highlight w:val="none"/>
        </w:rPr>
      </w:pPr>
    </w:p>
    <w:p>
      <w:pPr>
        <w:spacing w:line="360" w:lineRule="auto"/>
        <w:jc w:val="center"/>
        <w:rPr>
          <w:rFonts w:hint="eastAsia" w:ascii="宋体" w:hAnsi="宋体" w:cs="宋体"/>
          <w:b/>
          <w:bCs/>
          <w:color w:val="auto"/>
          <w:sz w:val="24"/>
          <w:szCs w:val="24"/>
          <w:highlight w:val="none"/>
        </w:rPr>
      </w:pPr>
    </w:p>
    <w:p>
      <w:pPr>
        <w:spacing w:line="360" w:lineRule="auto"/>
        <w:rPr>
          <w:rFonts w:hint="eastAsia" w:ascii="宋体" w:hAnsi="宋体" w:cs="宋体"/>
          <w:b/>
          <w:bCs/>
          <w:color w:val="auto"/>
          <w:sz w:val="24"/>
          <w:szCs w:val="24"/>
          <w:highlight w:val="none"/>
        </w:rPr>
      </w:pPr>
    </w:p>
    <w:p>
      <w:pPr>
        <w:spacing w:line="360" w:lineRule="auto"/>
        <w:rPr>
          <w:rFonts w:hint="eastAsia" w:ascii="宋体" w:hAnsi="宋体" w:cs="宋体"/>
          <w:b/>
          <w:bCs/>
          <w:color w:val="auto"/>
          <w:sz w:val="24"/>
          <w:szCs w:val="24"/>
          <w:highlight w:val="none"/>
        </w:rPr>
      </w:pPr>
    </w:p>
    <w:p>
      <w:pPr>
        <w:spacing w:line="360" w:lineRule="auto"/>
        <w:rPr>
          <w:rFonts w:hint="eastAsia" w:ascii="宋体" w:hAnsi="宋体" w:cs="宋体"/>
          <w:b/>
          <w:bCs/>
          <w:color w:val="auto"/>
          <w:sz w:val="24"/>
          <w:szCs w:val="24"/>
          <w:highlight w:val="none"/>
        </w:rPr>
      </w:pPr>
    </w:p>
    <w:p>
      <w:pPr>
        <w:spacing w:line="360" w:lineRule="auto"/>
        <w:ind w:firstLine="420"/>
        <w:jc w:val="center"/>
        <w:outlineLvl w:val="0"/>
        <w:rPr>
          <w:rFonts w:hint="eastAsia" w:ascii="宋体" w:hAnsi="宋体" w:cs="宋体"/>
          <w:b/>
          <w:bCs/>
          <w:color w:val="auto"/>
          <w:sz w:val="24"/>
          <w:szCs w:val="24"/>
          <w:highlight w:val="none"/>
        </w:rPr>
        <w:sectPr>
          <w:footerReference r:id="rId4" w:type="default"/>
          <w:pgSz w:w="11907" w:h="16839"/>
          <w:pgMar w:top="1440" w:right="1797" w:bottom="1440" w:left="1797" w:header="680" w:footer="992" w:gutter="0"/>
          <w:pgNumType w:fmt="decimal" w:start="1"/>
          <w:cols w:space="720" w:num="1"/>
          <w:docGrid w:linePitch="312" w:charSpace="0"/>
        </w:sectPr>
      </w:pPr>
      <w:bookmarkStart w:id="15" w:name="_Toc129711701"/>
    </w:p>
    <w:p>
      <w:pPr>
        <w:pStyle w:val="3"/>
        <w:numPr>
          <w:ilvl w:val="0"/>
          <w:numId w:val="0"/>
        </w:numPr>
        <w:spacing w:before="120" w:after="120"/>
        <w:rPr>
          <w:rFonts w:hint="eastAsia" w:ascii="黑体" w:hAnsi="黑体" w:eastAsia="黑体" w:cs="黑体"/>
          <w:color w:val="auto"/>
          <w:spacing w:val="-5"/>
          <w:sz w:val="28"/>
          <w:szCs w:val="28"/>
          <w:highlight w:val="none"/>
        </w:rPr>
      </w:pPr>
      <w:bookmarkStart w:id="16" w:name="_Toc25750"/>
      <w:bookmarkStart w:id="17" w:name="_Toc21591"/>
      <w:bookmarkStart w:id="18" w:name="_Toc24498"/>
      <w:bookmarkStart w:id="19" w:name="_Toc18253"/>
      <w:r>
        <w:rPr>
          <w:rFonts w:hint="eastAsia" w:ascii="黑体" w:hAnsi="黑体" w:eastAsia="黑体" w:cs="黑体"/>
          <w:b/>
          <w:bCs w:val="0"/>
          <w:color w:val="auto"/>
          <w:sz w:val="28"/>
          <w:szCs w:val="28"/>
          <w:highlight w:val="none"/>
        </w:rPr>
        <w:t xml:space="preserve">第一节 </w:t>
      </w:r>
      <w:bookmarkStart w:id="20" w:name="_Toc13928"/>
      <w:r>
        <w:rPr>
          <w:rFonts w:hint="eastAsia" w:ascii="黑体" w:hAnsi="黑体" w:eastAsia="黑体" w:cs="黑体"/>
          <w:b/>
          <w:bCs w:val="0"/>
          <w:color w:val="auto"/>
          <w:sz w:val="28"/>
          <w:szCs w:val="28"/>
          <w:highlight w:val="none"/>
        </w:rPr>
        <w:t>重要提示、目录和释义</w:t>
      </w:r>
      <w:bookmarkEnd w:id="15"/>
      <w:bookmarkEnd w:id="16"/>
      <w:bookmarkEnd w:id="17"/>
      <w:bookmarkEnd w:id="18"/>
      <w:bookmarkEnd w:id="19"/>
      <w:bookmarkEnd w:id="20"/>
    </w:p>
    <w:p>
      <w:pPr>
        <w:pStyle w:val="34"/>
        <w:keepNext w:val="0"/>
        <w:keepLines w:val="0"/>
        <w:pageBreakBefore w:val="0"/>
        <w:widowControl w:val="0"/>
        <w:kinsoku/>
        <w:wordWrap/>
        <w:overflowPunct/>
        <w:topLinePunct w:val="0"/>
        <w:bidi w:val="0"/>
        <w:snapToGrid/>
        <w:spacing w:line="480" w:lineRule="exact"/>
        <w:ind w:left="0" w:leftChars="0" w:firstLine="0" w:firstLineChars="0"/>
        <w:jc w:val="left"/>
        <w:rPr>
          <w:rFonts w:hint="eastAsia" w:ascii="宋体" w:hAnsi="宋体" w:eastAsia="宋体" w:cs="宋体"/>
          <w:b/>
          <w:bCs/>
          <w:color w:val="auto"/>
          <w:spacing w:val="-5"/>
          <w:kern w:val="2"/>
          <w:sz w:val="24"/>
          <w:szCs w:val="24"/>
          <w:highlight w:val="none"/>
          <w:lang w:val="en-US"/>
        </w:rPr>
      </w:pPr>
      <w:r>
        <w:rPr>
          <w:rFonts w:hint="eastAsia" w:ascii="宋体" w:hAnsi="宋体" w:eastAsia="宋体" w:cs="宋体"/>
          <w:b/>
          <w:bCs/>
          <w:color w:val="auto"/>
          <w:spacing w:val="-5"/>
          <w:kern w:val="2"/>
          <w:sz w:val="24"/>
          <w:szCs w:val="24"/>
          <w:highlight w:val="none"/>
          <w:lang w:val="en-US"/>
        </w:rPr>
        <w:t>【声明】</w:t>
      </w:r>
    </w:p>
    <w:p>
      <w:pPr>
        <w:keepNext w:val="0"/>
        <w:keepLines w:val="0"/>
        <w:pageBreakBefore w:val="0"/>
        <w:widowControl w:val="0"/>
        <w:kinsoku/>
        <w:wordWrap/>
        <w:overflowPunct/>
        <w:topLinePunct w:val="0"/>
        <w:autoSpaceDE/>
        <w:autoSpaceDN/>
        <w:bidi w:val="0"/>
        <w:adjustRightInd/>
        <w:snapToGrid/>
        <w:spacing w:line="400" w:lineRule="exact"/>
        <w:ind w:firstLine="460" w:firstLineChars="200"/>
        <w:textAlignment w:val="auto"/>
        <w:rPr>
          <w:rFonts w:hint="eastAsia" w:ascii="宋体" w:hAnsi="宋体" w:cs="宋体"/>
          <w:color w:val="auto"/>
          <w:sz w:val="24"/>
          <w:szCs w:val="24"/>
          <w:highlight w:val="none"/>
        </w:rPr>
      </w:pPr>
      <w:r>
        <w:rPr>
          <w:rFonts w:hint="eastAsia" w:ascii="宋体" w:hAnsi="宋体" w:cs="宋体"/>
          <w:color w:val="auto"/>
          <w:spacing w:val="-5"/>
          <w:sz w:val="24"/>
          <w:szCs w:val="24"/>
          <w:highlight w:val="none"/>
        </w:rPr>
        <w:t>公</w:t>
      </w:r>
      <w:r>
        <w:rPr>
          <w:rFonts w:hint="eastAsia" w:ascii="宋体" w:hAnsi="宋体" w:cs="宋体"/>
          <w:color w:val="auto"/>
          <w:sz w:val="24"/>
          <w:szCs w:val="24"/>
          <w:highlight w:val="none"/>
        </w:rPr>
        <w:t>司控股股东、实际控制人、董事、监事、高级管理人员保证本报告所载资料不存在任何虚假记载、误导性陈述或者重大遗漏，并对其内容的真实性、准确性和完整性承担个别及连带责任。</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公司负责人朱绍纯、主管会计工作负责人</w:t>
      </w:r>
      <w:r>
        <w:rPr>
          <w:rFonts w:hint="eastAsia" w:ascii="宋体" w:hAnsi="宋体" w:cs="宋体"/>
          <w:color w:val="auto"/>
          <w:sz w:val="24"/>
          <w:szCs w:val="24"/>
          <w:highlight w:val="none"/>
          <w:lang w:val="en-US" w:eastAsia="zh-CN"/>
        </w:rPr>
        <w:t>马梦萧</w:t>
      </w:r>
      <w:r>
        <w:rPr>
          <w:rFonts w:hint="eastAsia" w:ascii="宋体" w:hAnsi="宋体" w:cs="宋体"/>
          <w:color w:val="auto"/>
          <w:sz w:val="24"/>
          <w:szCs w:val="24"/>
          <w:highlight w:val="none"/>
        </w:rPr>
        <w:t>及会计机构负责人（会计主管人员）徐学强保证年度报告中财务报告的真实、准确、完整。</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立信会计师事务所（特殊普通合伙）</w:t>
      </w:r>
      <w:r>
        <w:rPr>
          <w:rFonts w:hint="eastAsia" w:ascii="宋体" w:hAnsi="宋体" w:cs="宋体"/>
          <w:color w:val="auto"/>
          <w:sz w:val="24"/>
          <w:szCs w:val="24"/>
          <w:highlight w:val="none"/>
        </w:rPr>
        <w:t>对公司出具了标准无保留意见的审计报告。</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本年度报告涉及未来计划等前瞻性陈述，不构成公司对投资者的实质承诺，投资者及相关人士均应对此保持足够的风险认识，并且应当理解计划、预测与承诺之间的差异。</w:t>
      </w:r>
    </w:p>
    <w:tbl>
      <w:tblPr>
        <w:tblStyle w:val="22"/>
        <w:tblW w:w="0" w:type="auto"/>
        <w:tblInd w:w="0"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6724"/>
        <w:gridCol w:w="1803"/>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78" w:hRule="atLeast"/>
        </w:trPr>
        <w:tc>
          <w:tcPr>
            <w:tcW w:w="6724" w:type="dxa"/>
            <w:noWrap w:val="0"/>
            <w:vAlign w:val="center"/>
          </w:tcPr>
          <w:p>
            <w:pPr>
              <w:spacing w:line="360" w:lineRule="auto"/>
              <w:jc w:val="center"/>
              <w:rPr>
                <w:rFonts w:hint="eastAsia" w:ascii="宋体" w:hAnsi="宋体" w:cs="宋体"/>
                <w:b/>
                <w:bCs/>
                <w:color w:val="auto"/>
                <w:kern w:val="0"/>
                <w:sz w:val="20"/>
                <w:szCs w:val="22"/>
                <w:highlight w:val="none"/>
              </w:rPr>
            </w:pPr>
            <w:r>
              <w:rPr>
                <w:rFonts w:hint="eastAsia" w:ascii="宋体" w:hAnsi="宋体" w:cs="宋体"/>
                <w:b/>
                <w:bCs/>
                <w:color w:val="auto"/>
                <w:kern w:val="0"/>
                <w:sz w:val="20"/>
                <w:szCs w:val="22"/>
                <w:highlight w:val="none"/>
              </w:rPr>
              <w:t>事项</w:t>
            </w:r>
          </w:p>
        </w:tc>
        <w:tc>
          <w:tcPr>
            <w:tcW w:w="1803" w:type="dxa"/>
            <w:noWrap w:val="0"/>
            <w:vAlign w:val="center"/>
          </w:tcPr>
          <w:p>
            <w:pPr>
              <w:spacing w:line="360" w:lineRule="auto"/>
              <w:jc w:val="center"/>
              <w:rPr>
                <w:rFonts w:hint="eastAsia" w:ascii="宋体" w:hAnsi="宋体" w:cs="宋体"/>
                <w:b/>
                <w:bCs/>
                <w:color w:val="auto"/>
                <w:kern w:val="0"/>
                <w:sz w:val="20"/>
                <w:szCs w:val="22"/>
                <w:highlight w:val="none"/>
              </w:rPr>
            </w:pPr>
            <w:r>
              <w:rPr>
                <w:rFonts w:hint="eastAsia" w:ascii="宋体" w:hAnsi="宋体" w:cs="宋体"/>
                <w:b/>
                <w:bCs/>
                <w:color w:val="auto"/>
                <w:kern w:val="0"/>
                <w:sz w:val="20"/>
                <w:szCs w:val="22"/>
                <w:highlight w:val="none"/>
              </w:rPr>
              <w:t>是或否</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6724" w:type="dxa"/>
            <w:noWrap w:val="0"/>
            <w:vAlign w:val="top"/>
          </w:tcPr>
          <w:p>
            <w:pPr>
              <w:spacing w:line="360" w:lineRule="auto"/>
              <w:rPr>
                <w:rFonts w:hint="eastAsia" w:ascii="宋体" w:hAnsi="宋体" w:cs="宋体"/>
                <w:color w:val="auto"/>
                <w:kern w:val="0"/>
                <w:sz w:val="20"/>
                <w:szCs w:val="22"/>
                <w:highlight w:val="none"/>
              </w:rPr>
            </w:pPr>
            <w:r>
              <w:rPr>
                <w:rFonts w:hint="eastAsia" w:ascii="宋体" w:hAnsi="宋体" w:cs="宋体"/>
                <w:color w:val="auto"/>
                <w:spacing w:val="-5"/>
                <w:kern w:val="0"/>
                <w:sz w:val="20"/>
                <w:szCs w:val="22"/>
                <w:highlight w:val="none"/>
              </w:rPr>
              <w:t>是否存在控股股东、实际控制人、董事、监事、高级管理人员对年度报告内容存在异议或无法保证其真实、准确、完整</w:t>
            </w:r>
          </w:p>
        </w:tc>
        <w:tc>
          <w:tcPr>
            <w:tcW w:w="1803" w:type="dxa"/>
            <w:noWrap w:val="0"/>
            <w:vAlign w:val="top"/>
          </w:tcPr>
          <w:p>
            <w:pPr>
              <w:spacing w:line="360" w:lineRule="auto"/>
              <w:jc w:val="center"/>
              <w:rPr>
                <w:rFonts w:hint="eastAsia" w:ascii="宋体" w:hAnsi="宋体" w:cs="宋体"/>
                <w:color w:val="auto"/>
                <w:kern w:val="0"/>
                <w:sz w:val="20"/>
                <w:szCs w:val="22"/>
                <w:highlight w:val="none"/>
              </w:rPr>
            </w:pPr>
            <w:r>
              <w:rPr>
                <w:rFonts w:hint="eastAsia" w:ascii="宋体" w:hAnsi="宋体" w:cs="宋体"/>
                <w:color w:val="auto"/>
                <w:kern w:val="0"/>
                <w:sz w:val="20"/>
                <w:szCs w:val="22"/>
                <w:highlight w:val="none"/>
              </w:rPr>
              <w:fldChar w:fldCharType="begin"/>
            </w:r>
            <w:r>
              <w:rPr>
                <w:rFonts w:hint="eastAsia" w:ascii="宋体" w:hAnsi="宋体" w:cs="宋体"/>
                <w:color w:val="auto"/>
                <w:kern w:val="0"/>
                <w:sz w:val="20"/>
                <w:szCs w:val="22"/>
                <w:highlight w:val="none"/>
              </w:rPr>
              <w:instrText xml:space="preserve"> MACROBUTTON  SnrToggleCheckbox □是 </w:instrText>
            </w:r>
            <w:r>
              <w:rPr>
                <w:rFonts w:hint="eastAsia" w:ascii="宋体" w:hAnsi="宋体" w:cs="宋体"/>
                <w:color w:val="auto"/>
                <w:kern w:val="0"/>
                <w:sz w:val="20"/>
                <w:szCs w:val="22"/>
                <w:highlight w:val="none"/>
              </w:rPr>
              <w:fldChar w:fldCharType="end"/>
            </w:r>
            <w:r>
              <w:rPr>
                <w:rFonts w:hint="eastAsia" w:ascii="宋体" w:hAnsi="宋体" w:cs="宋体"/>
                <w:color w:val="auto"/>
                <w:kern w:val="0"/>
                <w:sz w:val="20"/>
                <w:szCs w:val="22"/>
                <w:highlight w:val="none"/>
              </w:rPr>
              <w:fldChar w:fldCharType="begin"/>
            </w:r>
            <w:r>
              <w:rPr>
                <w:rFonts w:hint="eastAsia" w:ascii="宋体" w:hAnsi="宋体" w:cs="宋体"/>
                <w:color w:val="auto"/>
                <w:kern w:val="0"/>
                <w:sz w:val="20"/>
                <w:szCs w:val="22"/>
                <w:highlight w:val="none"/>
              </w:rPr>
              <w:instrText xml:space="preserve"> MACROBUTTON  SnrToggleCheckbox √否 </w:instrText>
            </w:r>
            <w:r>
              <w:rPr>
                <w:rFonts w:hint="eastAsia" w:ascii="宋体" w:hAnsi="宋体" w:cs="宋体"/>
                <w:color w:val="auto"/>
                <w:kern w:val="0"/>
                <w:sz w:val="20"/>
                <w:szCs w:val="22"/>
                <w:highlight w:val="none"/>
              </w:rPr>
              <w:fldChar w:fldCharType="end"/>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724" w:type="dxa"/>
            <w:noWrap w:val="0"/>
            <w:vAlign w:val="top"/>
          </w:tcPr>
          <w:p>
            <w:pPr>
              <w:spacing w:line="360" w:lineRule="auto"/>
              <w:rPr>
                <w:rFonts w:hint="eastAsia" w:ascii="宋体" w:hAnsi="宋体" w:cs="宋体"/>
                <w:color w:val="auto"/>
                <w:kern w:val="0"/>
                <w:sz w:val="20"/>
                <w:szCs w:val="22"/>
                <w:highlight w:val="none"/>
              </w:rPr>
            </w:pPr>
            <w:r>
              <w:rPr>
                <w:rFonts w:hint="eastAsia" w:ascii="宋体" w:hAnsi="宋体" w:cs="宋体"/>
                <w:color w:val="auto"/>
                <w:kern w:val="0"/>
                <w:sz w:val="20"/>
                <w:szCs w:val="22"/>
                <w:highlight w:val="none"/>
              </w:rPr>
              <w:t>是否存在半数以上董事无法完全保证年度报告的真实性、准确性和完整性</w:t>
            </w:r>
          </w:p>
        </w:tc>
        <w:tc>
          <w:tcPr>
            <w:tcW w:w="1803" w:type="dxa"/>
            <w:noWrap w:val="0"/>
            <w:vAlign w:val="top"/>
          </w:tcPr>
          <w:p>
            <w:pPr>
              <w:spacing w:line="360" w:lineRule="auto"/>
              <w:jc w:val="center"/>
              <w:rPr>
                <w:rFonts w:hint="eastAsia" w:ascii="宋体" w:hAnsi="宋体" w:cs="宋体"/>
                <w:color w:val="auto"/>
                <w:kern w:val="0"/>
                <w:sz w:val="20"/>
                <w:szCs w:val="22"/>
                <w:highlight w:val="none"/>
              </w:rPr>
            </w:pPr>
            <w:r>
              <w:rPr>
                <w:rFonts w:hint="eastAsia" w:ascii="宋体" w:hAnsi="宋体" w:cs="宋体"/>
                <w:color w:val="auto"/>
                <w:kern w:val="0"/>
                <w:sz w:val="20"/>
                <w:szCs w:val="22"/>
                <w:highlight w:val="none"/>
              </w:rPr>
              <w:fldChar w:fldCharType="begin"/>
            </w:r>
            <w:r>
              <w:rPr>
                <w:rFonts w:hint="eastAsia" w:ascii="宋体" w:hAnsi="宋体" w:cs="宋体"/>
                <w:color w:val="auto"/>
                <w:kern w:val="0"/>
                <w:sz w:val="20"/>
                <w:szCs w:val="22"/>
                <w:highlight w:val="none"/>
              </w:rPr>
              <w:instrText xml:space="preserve"> MACROBUTTON  SnrToggleCheckbox □是 </w:instrText>
            </w:r>
            <w:r>
              <w:rPr>
                <w:rFonts w:hint="eastAsia" w:ascii="宋体" w:hAnsi="宋体" w:cs="宋体"/>
                <w:color w:val="auto"/>
                <w:kern w:val="0"/>
                <w:sz w:val="20"/>
                <w:szCs w:val="22"/>
                <w:highlight w:val="none"/>
              </w:rPr>
              <w:fldChar w:fldCharType="end"/>
            </w:r>
            <w:r>
              <w:rPr>
                <w:rFonts w:hint="eastAsia" w:ascii="宋体" w:hAnsi="宋体" w:cs="宋体"/>
                <w:color w:val="auto"/>
                <w:kern w:val="0"/>
                <w:sz w:val="20"/>
                <w:szCs w:val="22"/>
                <w:highlight w:val="none"/>
              </w:rPr>
              <w:fldChar w:fldCharType="begin"/>
            </w:r>
            <w:r>
              <w:rPr>
                <w:rFonts w:hint="eastAsia" w:ascii="宋体" w:hAnsi="宋体" w:cs="宋体"/>
                <w:color w:val="auto"/>
                <w:kern w:val="0"/>
                <w:sz w:val="20"/>
                <w:szCs w:val="22"/>
                <w:highlight w:val="none"/>
              </w:rPr>
              <w:instrText xml:space="preserve"> MACROBUTTON  SnrToggleCheckbox √否 </w:instrText>
            </w:r>
            <w:r>
              <w:rPr>
                <w:rFonts w:hint="eastAsia" w:ascii="宋体" w:hAnsi="宋体" w:cs="宋体"/>
                <w:color w:val="auto"/>
                <w:kern w:val="0"/>
                <w:sz w:val="20"/>
                <w:szCs w:val="22"/>
                <w:highlight w:val="none"/>
              </w:rPr>
              <w:fldChar w:fldCharType="end"/>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57" w:hRule="atLeast"/>
        </w:trPr>
        <w:tc>
          <w:tcPr>
            <w:tcW w:w="6724" w:type="dxa"/>
            <w:noWrap w:val="0"/>
            <w:vAlign w:val="top"/>
          </w:tcPr>
          <w:p>
            <w:pPr>
              <w:spacing w:line="360" w:lineRule="auto"/>
              <w:rPr>
                <w:rFonts w:hint="eastAsia" w:ascii="宋体" w:hAnsi="宋体" w:cs="宋体"/>
                <w:color w:val="auto"/>
                <w:kern w:val="0"/>
                <w:sz w:val="20"/>
                <w:szCs w:val="22"/>
                <w:highlight w:val="none"/>
              </w:rPr>
            </w:pPr>
            <w:r>
              <w:rPr>
                <w:rFonts w:hint="eastAsia" w:ascii="宋体" w:hAnsi="宋体" w:cs="宋体"/>
                <w:color w:val="auto"/>
                <w:kern w:val="0"/>
                <w:sz w:val="20"/>
                <w:szCs w:val="22"/>
                <w:highlight w:val="none"/>
              </w:rPr>
              <w:t>董事会是否审议通过年度报告</w:t>
            </w:r>
          </w:p>
        </w:tc>
        <w:tc>
          <w:tcPr>
            <w:tcW w:w="1803" w:type="dxa"/>
            <w:noWrap w:val="0"/>
            <w:vAlign w:val="top"/>
          </w:tcPr>
          <w:p>
            <w:pPr>
              <w:spacing w:line="360" w:lineRule="auto"/>
              <w:jc w:val="center"/>
              <w:rPr>
                <w:rFonts w:hint="eastAsia" w:ascii="宋体" w:hAnsi="宋体" w:cs="宋体"/>
                <w:color w:val="auto"/>
                <w:kern w:val="0"/>
                <w:sz w:val="20"/>
                <w:szCs w:val="22"/>
                <w:highlight w:val="none"/>
              </w:rPr>
            </w:pPr>
            <w:r>
              <w:rPr>
                <w:rFonts w:hint="eastAsia" w:ascii="宋体" w:hAnsi="宋体" w:cs="宋体"/>
                <w:color w:val="auto"/>
                <w:kern w:val="0"/>
                <w:sz w:val="20"/>
                <w:szCs w:val="22"/>
                <w:highlight w:val="none"/>
              </w:rPr>
              <w:fldChar w:fldCharType="begin"/>
            </w:r>
            <w:r>
              <w:rPr>
                <w:rFonts w:hint="eastAsia" w:ascii="宋体" w:hAnsi="宋体" w:cs="宋体"/>
                <w:color w:val="auto"/>
                <w:kern w:val="0"/>
                <w:sz w:val="20"/>
                <w:szCs w:val="22"/>
                <w:highlight w:val="none"/>
              </w:rPr>
              <w:instrText xml:space="preserve"> MACROBUTTON  SnrToggleCheckbox √是 </w:instrText>
            </w:r>
            <w:r>
              <w:rPr>
                <w:rFonts w:hint="eastAsia" w:ascii="宋体" w:hAnsi="宋体" w:cs="宋体"/>
                <w:color w:val="auto"/>
                <w:kern w:val="0"/>
                <w:sz w:val="20"/>
                <w:szCs w:val="22"/>
                <w:highlight w:val="none"/>
              </w:rPr>
              <w:fldChar w:fldCharType="end"/>
            </w:r>
            <w:r>
              <w:rPr>
                <w:rFonts w:hint="eastAsia" w:ascii="宋体" w:hAnsi="宋体" w:cs="宋体"/>
                <w:color w:val="auto"/>
                <w:kern w:val="0"/>
                <w:sz w:val="20"/>
                <w:szCs w:val="22"/>
                <w:highlight w:val="none"/>
              </w:rPr>
              <w:fldChar w:fldCharType="begin"/>
            </w:r>
            <w:r>
              <w:rPr>
                <w:rFonts w:hint="eastAsia" w:ascii="宋体" w:hAnsi="宋体" w:cs="宋体"/>
                <w:color w:val="auto"/>
                <w:kern w:val="0"/>
                <w:sz w:val="20"/>
                <w:szCs w:val="22"/>
                <w:highlight w:val="none"/>
              </w:rPr>
              <w:instrText xml:space="preserve"> MACROBUTTON  SnrToggleCheckbox □否 </w:instrText>
            </w:r>
            <w:r>
              <w:rPr>
                <w:rFonts w:hint="eastAsia" w:ascii="宋体" w:hAnsi="宋体" w:cs="宋体"/>
                <w:color w:val="auto"/>
                <w:kern w:val="0"/>
                <w:sz w:val="20"/>
                <w:szCs w:val="22"/>
                <w:highlight w:val="none"/>
              </w:rPr>
              <w:fldChar w:fldCharType="end"/>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19" w:hRule="atLeast"/>
        </w:trPr>
        <w:tc>
          <w:tcPr>
            <w:tcW w:w="6724" w:type="dxa"/>
            <w:noWrap w:val="0"/>
            <w:vAlign w:val="top"/>
          </w:tcPr>
          <w:p>
            <w:pPr>
              <w:spacing w:line="360" w:lineRule="auto"/>
              <w:rPr>
                <w:rFonts w:hint="eastAsia" w:ascii="宋体" w:hAnsi="宋体" w:cs="宋体"/>
                <w:color w:val="auto"/>
                <w:kern w:val="0"/>
                <w:sz w:val="20"/>
                <w:szCs w:val="22"/>
                <w:highlight w:val="none"/>
              </w:rPr>
            </w:pPr>
            <w:r>
              <w:rPr>
                <w:rFonts w:hint="eastAsia" w:ascii="宋体" w:hAnsi="宋体" w:cs="宋体"/>
                <w:color w:val="auto"/>
                <w:kern w:val="0"/>
                <w:sz w:val="20"/>
                <w:szCs w:val="22"/>
                <w:highlight w:val="none"/>
              </w:rPr>
              <w:t>是否存在未出席董事会审议年度报告的董事</w:t>
            </w:r>
          </w:p>
        </w:tc>
        <w:tc>
          <w:tcPr>
            <w:tcW w:w="1803" w:type="dxa"/>
            <w:noWrap w:val="0"/>
            <w:vAlign w:val="top"/>
          </w:tcPr>
          <w:p>
            <w:pPr>
              <w:spacing w:line="360" w:lineRule="auto"/>
              <w:jc w:val="center"/>
              <w:rPr>
                <w:rFonts w:hint="eastAsia" w:ascii="宋体" w:hAnsi="宋体" w:cs="宋体"/>
                <w:color w:val="auto"/>
                <w:kern w:val="0"/>
                <w:sz w:val="20"/>
                <w:szCs w:val="22"/>
                <w:highlight w:val="none"/>
              </w:rPr>
            </w:pPr>
            <w:r>
              <w:rPr>
                <w:rFonts w:hint="eastAsia" w:ascii="宋体" w:hAnsi="宋体" w:cs="宋体"/>
                <w:color w:val="auto"/>
                <w:kern w:val="0"/>
                <w:sz w:val="20"/>
                <w:szCs w:val="22"/>
                <w:highlight w:val="none"/>
              </w:rPr>
              <w:fldChar w:fldCharType="begin"/>
            </w:r>
            <w:r>
              <w:rPr>
                <w:rFonts w:hint="eastAsia" w:ascii="宋体" w:hAnsi="宋体" w:cs="宋体"/>
                <w:color w:val="auto"/>
                <w:kern w:val="0"/>
                <w:sz w:val="20"/>
                <w:szCs w:val="22"/>
                <w:highlight w:val="none"/>
              </w:rPr>
              <w:instrText xml:space="preserve"> MACROBUTTON  SnrToggleCheckbox □是 </w:instrText>
            </w:r>
            <w:r>
              <w:rPr>
                <w:rFonts w:hint="eastAsia" w:ascii="宋体" w:hAnsi="宋体" w:cs="宋体"/>
                <w:color w:val="auto"/>
                <w:kern w:val="0"/>
                <w:sz w:val="20"/>
                <w:szCs w:val="22"/>
                <w:highlight w:val="none"/>
              </w:rPr>
              <w:fldChar w:fldCharType="end"/>
            </w:r>
            <w:r>
              <w:rPr>
                <w:rFonts w:hint="eastAsia" w:ascii="宋体" w:hAnsi="宋体" w:cs="宋体"/>
                <w:color w:val="auto"/>
                <w:kern w:val="0"/>
                <w:sz w:val="20"/>
                <w:szCs w:val="22"/>
                <w:highlight w:val="none"/>
              </w:rPr>
              <w:fldChar w:fldCharType="begin"/>
            </w:r>
            <w:r>
              <w:rPr>
                <w:rFonts w:hint="eastAsia" w:ascii="宋体" w:hAnsi="宋体" w:cs="宋体"/>
                <w:color w:val="auto"/>
                <w:kern w:val="0"/>
                <w:sz w:val="20"/>
                <w:szCs w:val="22"/>
                <w:highlight w:val="none"/>
              </w:rPr>
              <w:instrText xml:space="preserve"> MACROBUTTON  SnrToggleCheckbox √否 </w:instrText>
            </w:r>
            <w:r>
              <w:rPr>
                <w:rFonts w:hint="eastAsia" w:ascii="宋体" w:hAnsi="宋体" w:cs="宋体"/>
                <w:color w:val="auto"/>
                <w:kern w:val="0"/>
                <w:sz w:val="20"/>
                <w:szCs w:val="22"/>
                <w:highlight w:val="none"/>
              </w:rPr>
              <w:fldChar w:fldCharType="end"/>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19" w:hRule="atLeast"/>
        </w:trPr>
        <w:tc>
          <w:tcPr>
            <w:tcW w:w="6724" w:type="dxa"/>
            <w:noWrap w:val="0"/>
            <w:vAlign w:val="top"/>
          </w:tcPr>
          <w:p>
            <w:pPr>
              <w:spacing w:line="360" w:lineRule="auto"/>
              <w:rPr>
                <w:rFonts w:hint="eastAsia" w:ascii="宋体" w:hAnsi="宋体" w:cs="宋体"/>
                <w:color w:val="auto"/>
                <w:kern w:val="0"/>
                <w:sz w:val="20"/>
                <w:szCs w:val="22"/>
                <w:highlight w:val="none"/>
              </w:rPr>
            </w:pPr>
            <w:r>
              <w:rPr>
                <w:rFonts w:hint="eastAsia" w:ascii="宋体" w:hAnsi="宋体" w:cs="宋体"/>
                <w:color w:val="auto"/>
                <w:kern w:val="0"/>
                <w:sz w:val="20"/>
                <w:szCs w:val="22"/>
                <w:highlight w:val="none"/>
              </w:rPr>
              <w:t>是否存在未按要求披露的事项</w:t>
            </w:r>
          </w:p>
        </w:tc>
        <w:tc>
          <w:tcPr>
            <w:tcW w:w="1803" w:type="dxa"/>
            <w:noWrap w:val="0"/>
            <w:vAlign w:val="top"/>
          </w:tcPr>
          <w:p>
            <w:pPr>
              <w:spacing w:line="360" w:lineRule="auto"/>
              <w:jc w:val="center"/>
              <w:rPr>
                <w:rFonts w:hint="eastAsia" w:ascii="宋体" w:hAnsi="宋体" w:cs="宋体"/>
                <w:color w:val="auto"/>
                <w:kern w:val="0"/>
                <w:sz w:val="20"/>
                <w:szCs w:val="22"/>
                <w:highlight w:val="none"/>
              </w:rPr>
            </w:pPr>
            <w:r>
              <w:rPr>
                <w:rFonts w:hint="eastAsia" w:ascii="宋体" w:hAnsi="宋体" w:cs="宋体"/>
                <w:color w:val="auto"/>
                <w:kern w:val="0"/>
                <w:sz w:val="20"/>
                <w:szCs w:val="22"/>
                <w:highlight w:val="none"/>
              </w:rPr>
              <w:fldChar w:fldCharType="begin"/>
            </w:r>
            <w:r>
              <w:rPr>
                <w:rFonts w:hint="eastAsia" w:ascii="宋体" w:hAnsi="宋体" w:cs="宋体"/>
                <w:color w:val="auto"/>
                <w:kern w:val="0"/>
                <w:sz w:val="20"/>
                <w:szCs w:val="22"/>
                <w:highlight w:val="none"/>
              </w:rPr>
              <w:instrText xml:space="preserve"> MACROBUTTON  SnrToggleCheckbox □是 </w:instrText>
            </w:r>
            <w:r>
              <w:rPr>
                <w:rFonts w:hint="eastAsia" w:ascii="宋体" w:hAnsi="宋体" w:cs="宋体"/>
                <w:color w:val="auto"/>
                <w:kern w:val="0"/>
                <w:sz w:val="20"/>
                <w:szCs w:val="22"/>
                <w:highlight w:val="none"/>
              </w:rPr>
              <w:fldChar w:fldCharType="end"/>
            </w:r>
            <w:r>
              <w:rPr>
                <w:rFonts w:hint="eastAsia" w:ascii="宋体" w:hAnsi="宋体" w:cs="宋体"/>
                <w:color w:val="auto"/>
                <w:kern w:val="0"/>
                <w:sz w:val="20"/>
                <w:szCs w:val="22"/>
                <w:highlight w:val="none"/>
              </w:rPr>
              <w:fldChar w:fldCharType="begin"/>
            </w:r>
            <w:r>
              <w:rPr>
                <w:rFonts w:hint="eastAsia" w:ascii="宋体" w:hAnsi="宋体" w:cs="宋体"/>
                <w:color w:val="auto"/>
                <w:kern w:val="0"/>
                <w:sz w:val="20"/>
                <w:szCs w:val="22"/>
                <w:highlight w:val="none"/>
              </w:rPr>
              <w:instrText xml:space="preserve"> MACROBUTTON  SnrToggleCheckbox √否 </w:instrText>
            </w:r>
            <w:r>
              <w:rPr>
                <w:rFonts w:hint="eastAsia" w:ascii="宋体" w:hAnsi="宋体" w:cs="宋体"/>
                <w:color w:val="auto"/>
                <w:kern w:val="0"/>
                <w:sz w:val="20"/>
                <w:szCs w:val="22"/>
                <w:highlight w:val="none"/>
              </w:rPr>
              <w:fldChar w:fldCharType="end"/>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19" w:hRule="atLeast"/>
        </w:trPr>
        <w:tc>
          <w:tcPr>
            <w:tcW w:w="6724" w:type="dxa"/>
            <w:noWrap w:val="0"/>
            <w:vAlign w:val="top"/>
          </w:tcPr>
          <w:p>
            <w:pPr>
              <w:spacing w:line="360" w:lineRule="auto"/>
              <w:rPr>
                <w:rFonts w:hint="eastAsia" w:ascii="宋体" w:hAnsi="宋体" w:cs="宋体"/>
                <w:color w:val="auto"/>
                <w:kern w:val="0"/>
                <w:sz w:val="20"/>
                <w:szCs w:val="22"/>
                <w:highlight w:val="none"/>
              </w:rPr>
            </w:pPr>
            <w:r>
              <w:rPr>
                <w:rFonts w:hint="eastAsia" w:ascii="宋体" w:hAnsi="宋体" w:cs="宋体"/>
                <w:color w:val="auto"/>
                <w:kern w:val="0"/>
                <w:sz w:val="20"/>
                <w:szCs w:val="22"/>
                <w:highlight w:val="none"/>
              </w:rPr>
              <w:t>是否被出具非标准审计意见</w:t>
            </w:r>
          </w:p>
        </w:tc>
        <w:tc>
          <w:tcPr>
            <w:tcW w:w="1803" w:type="dxa"/>
            <w:noWrap w:val="0"/>
            <w:vAlign w:val="top"/>
          </w:tcPr>
          <w:p>
            <w:pPr>
              <w:spacing w:line="360" w:lineRule="auto"/>
              <w:jc w:val="center"/>
              <w:rPr>
                <w:rFonts w:hint="eastAsia" w:ascii="宋体" w:hAnsi="宋体" w:cs="宋体"/>
                <w:color w:val="auto"/>
                <w:kern w:val="0"/>
                <w:sz w:val="20"/>
                <w:szCs w:val="22"/>
                <w:highlight w:val="none"/>
              </w:rPr>
            </w:pPr>
            <w:r>
              <w:rPr>
                <w:rFonts w:hint="eastAsia" w:ascii="宋体" w:hAnsi="宋体" w:cs="宋体"/>
                <w:color w:val="auto"/>
                <w:kern w:val="0"/>
                <w:sz w:val="20"/>
                <w:szCs w:val="22"/>
                <w:highlight w:val="none"/>
              </w:rPr>
              <w:fldChar w:fldCharType="begin"/>
            </w:r>
            <w:r>
              <w:rPr>
                <w:rFonts w:hint="eastAsia" w:ascii="宋体" w:hAnsi="宋体" w:cs="宋体"/>
                <w:color w:val="auto"/>
                <w:kern w:val="0"/>
                <w:sz w:val="20"/>
                <w:szCs w:val="22"/>
                <w:highlight w:val="none"/>
              </w:rPr>
              <w:instrText xml:space="preserve"> MACROBUTTON  SnrToggleCheckbox □是 </w:instrText>
            </w:r>
            <w:r>
              <w:rPr>
                <w:rFonts w:hint="eastAsia" w:ascii="宋体" w:hAnsi="宋体" w:cs="宋体"/>
                <w:color w:val="auto"/>
                <w:kern w:val="0"/>
                <w:sz w:val="20"/>
                <w:szCs w:val="22"/>
                <w:highlight w:val="none"/>
              </w:rPr>
              <w:fldChar w:fldCharType="end"/>
            </w:r>
            <w:r>
              <w:rPr>
                <w:rFonts w:hint="eastAsia" w:ascii="宋体" w:hAnsi="宋体" w:cs="宋体"/>
                <w:color w:val="auto"/>
                <w:kern w:val="0"/>
                <w:sz w:val="20"/>
                <w:szCs w:val="22"/>
                <w:highlight w:val="none"/>
              </w:rPr>
              <w:fldChar w:fldCharType="begin"/>
            </w:r>
            <w:r>
              <w:rPr>
                <w:rFonts w:hint="eastAsia" w:ascii="宋体" w:hAnsi="宋体" w:cs="宋体"/>
                <w:color w:val="auto"/>
                <w:kern w:val="0"/>
                <w:sz w:val="20"/>
                <w:szCs w:val="22"/>
                <w:highlight w:val="none"/>
              </w:rPr>
              <w:instrText xml:space="preserve"> MACROBUTTON  SnrToggleCheckbox √否 </w:instrText>
            </w:r>
            <w:r>
              <w:rPr>
                <w:rFonts w:hint="eastAsia" w:ascii="宋体" w:hAnsi="宋体" w:cs="宋体"/>
                <w:color w:val="auto"/>
                <w:kern w:val="0"/>
                <w:sz w:val="20"/>
                <w:szCs w:val="22"/>
                <w:highlight w:val="none"/>
              </w:rPr>
              <w:fldChar w:fldCharType="end"/>
            </w:r>
          </w:p>
        </w:tc>
      </w:tr>
    </w:tbl>
    <w:p>
      <w:pPr>
        <w:keepNext w:val="0"/>
        <w:keepLines w:val="0"/>
        <w:pageBreakBefore w:val="0"/>
        <w:widowControl w:val="0"/>
        <w:kinsoku/>
        <w:wordWrap/>
        <w:overflowPunct/>
        <w:topLinePunct w:val="0"/>
        <w:bidi w:val="0"/>
        <w:snapToGrid/>
        <w:spacing w:line="480" w:lineRule="exact"/>
        <w:ind w:firstLine="480" w:firstLineChars="200"/>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bidi w:val="0"/>
        <w:snapToGrid/>
        <w:spacing w:line="480" w:lineRule="exact"/>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【重大风险提示表】</w:t>
      </w:r>
    </w:p>
    <w:tbl>
      <w:tblPr>
        <w:tblStyle w:val="22"/>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516"/>
        <w:gridCol w:w="501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3516" w:type="dxa"/>
            <w:noWrap w:val="0"/>
            <w:vAlign w:val="center"/>
          </w:tcPr>
          <w:p>
            <w:pPr>
              <w:spacing w:line="360" w:lineRule="auto"/>
              <w:jc w:val="center"/>
              <w:rPr>
                <w:rFonts w:hint="eastAsia" w:ascii="宋体" w:hAnsi="宋体" w:cs="宋体"/>
                <w:b/>
                <w:bCs/>
                <w:color w:val="auto"/>
                <w:kern w:val="0"/>
                <w:sz w:val="20"/>
                <w:szCs w:val="20"/>
                <w:highlight w:val="none"/>
                <w:shd w:val="clear" w:color="auto" w:fill="auto"/>
              </w:rPr>
            </w:pPr>
            <w:r>
              <w:rPr>
                <w:rFonts w:hint="eastAsia" w:ascii="宋体" w:hAnsi="宋体" w:cs="宋体"/>
                <w:b/>
                <w:bCs/>
                <w:color w:val="auto"/>
                <w:kern w:val="0"/>
                <w:sz w:val="20"/>
                <w:szCs w:val="20"/>
                <w:highlight w:val="none"/>
                <w:shd w:val="clear" w:color="auto" w:fill="auto"/>
              </w:rPr>
              <w:t>重大风险事项名称</w:t>
            </w:r>
          </w:p>
        </w:tc>
        <w:tc>
          <w:tcPr>
            <w:tcW w:w="5011" w:type="dxa"/>
            <w:noWrap w:val="0"/>
            <w:vAlign w:val="center"/>
          </w:tcPr>
          <w:p>
            <w:pPr>
              <w:spacing w:line="360" w:lineRule="auto"/>
              <w:jc w:val="center"/>
              <w:rPr>
                <w:rFonts w:hint="eastAsia" w:ascii="宋体" w:hAnsi="宋体" w:cs="宋体"/>
                <w:b/>
                <w:bCs/>
                <w:color w:val="auto"/>
                <w:kern w:val="0"/>
                <w:sz w:val="20"/>
                <w:szCs w:val="20"/>
                <w:highlight w:val="none"/>
                <w:shd w:val="clear" w:color="auto" w:fill="auto"/>
              </w:rPr>
            </w:pPr>
            <w:r>
              <w:rPr>
                <w:rFonts w:hint="eastAsia" w:ascii="宋体" w:hAnsi="宋体" w:cs="宋体"/>
                <w:b/>
                <w:bCs/>
                <w:color w:val="auto"/>
                <w:kern w:val="0"/>
                <w:sz w:val="20"/>
                <w:szCs w:val="20"/>
                <w:highlight w:val="none"/>
                <w:shd w:val="clear" w:color="auto" w:fill="auto"/>
              </w:rPr>
              <w:t>重大风险事项描述及分析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516" w:type="dxa"/>
            <w:noWrap w:val="0"/>
            <w:vAlign w:val="center"/>
          </w:tcPr>
          <w:p>
            <w:pPr>
              <w:spacing w:line="360" w:lineRule="auto"/>
              <w:jc w:val="both"/>
              <w:rPr>
                <w:rFonts w:hint="eastAsia" w:ascii="宋体" w:hAnsi="宋体" w:cs="宋体"/>
                <w:color w:val="auto"/>
                <w:kern w:val="0"/>
                <w:sz w:val="20"/>
                <w:szCs w:val="20"/>
                <w:highlight w:val="none"/>
                <w:shd w:val="clear" w:color="auto" w:fill="auto"/>
              </w:rPr>
            </w:pPr>
            <w:r>
              <w:rPr>
                <w:rFonts w:hint="eastAsia" w:ascii="宋体" w:hAnsi="宋体" w:cs="宋体"/>
                <w:color w:val="auto"/>
                <w:sz w:val="20"/>
                <w:szCs w:val="20"/>
                <w:highlight w:val="none"/>
                <w:shd w:val="clear" w:color="auto" w:fill="auto"/>
                <w:lang w:val="en-US" w:eastAsia="zh-CN"/>
              </w:rPr>
              <w:t>1</w:t>
            </w:r>
            <w:r>
              <w:rPr>
                <w:rFonts w:hint="eastAsia" w:ascii="宋体" w:hAnsi="宋体" w:cs="宋体"/>
                <w:color w:val="auto"/>
                <w:kern w:val="0"/>
                <w:sz w:val="20"/>
                <w:szCs w:val="20"/>
                <w:highlight w:val="none"/>
                <w:lang w:val="en-US" w:eastAsia="zh-CN"/>
              </w:rPr>
              <w:t>.</w:t>
            </w:r>
            <w:r>
              <w:rPr>
                <w:rFonts w:hint="default" w:ascii="宋体" w:hAnsi="宋体" w:cs="宋体"/>
                <w:color w:val="auto"/>
                <w:kern w:val="0"/>
                <w:sz w:val="20"/>
                <w:szCs w:val="20"/>
                <w:highlight w:val="none"/>
                <w:lang w:val="en-US" w:eastAsia="zh-CN"/>
              </w:rPr>
              <w:t>发展转型风险</w:t>
            </w:r>
          </w:p>
        </w:tc>
        <w:tc>
          <w:tcPr>
            <w:tcW w:w="5011" w:type="dxa"/>
            <w:noWrap w:val="0"/>
            <w:vAlign w:val="center"/>
          </w:tcPr>
          <w:p>
            <w:pPr>
              <w:spacing w:line="240" w:lineRule="auto"/>
              <w:jc w:val="both"/>
              <w:rPr>
                <w:rFonts w:hint="eastAsia" w:ascii="宋体" w:hAnsi="宋体" w:cs="宋体"/>
                <w:color w:val="auto"/>
                <w:kern w:val="0"/>
                <w:sz w:val="20"/>
                <w:szCs w:val="20"/>
                <w:highlight w:val="none"/>
                <w:lang w:val="en-US" w:eastAsia="zh-CN"/>
              </w:rPr>
            </w:pPr>
            <w:r>
              <w:rPr>
                <w:rFonts w:hint="eastAsia" w:ascii="宋体" w:hAnsi="宋体" w:eastAsia="宋体" w:cs="宋体"/>
                <w:color w:val="auto"/>
                <w:kern w:val="0"/>
                <w:sz w:val="20"/>
                <w:szCs w:val="22"/>
                <w:highlight w:val="none"/>
                <w:lang w:val="en-US" w:eastAsia="zh-CN"/>
              </w:rPr>
              <w:t>一是贵州金元火电现有30万千瓦亚临界机组20台，占全省30万千瓦等级机组63%，占比较高，且贵州金元平均单机容量仅34.7万千瓦，机组煤耗高，亟需升级换代；二是贵州金元前期转型以光伏为主，目前风光比例仅0.07:1，面对未来新能源全电量入市，抗风险能力弱，风光比例亟需调整。火电结构调整、发展转型风险和减排压力大，可能面临亏损风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3516" w:type="dxa"/>
            <w:noWrap w:val="0"/>
            <w:vAlign w:val="top"/>
          </w:tcPr>
          <w:p>
            <w:pPr>
              <w:spacing w:line="360" w:lineRule="auto"/>
              <w:rPr>
                <w:rFonts w:hint="eastAsia" w:ascii="宋体" w:hAnsi="宋体" w:eastAsia="宋体" w:cs="宋体"/>
                <w:color w:val="auto"/>
                <w:kern w:val="0"/>
                <w:sz w:val="20"/>
                <w:szCs w:val="20"/>
                <w:highlight w:val="none"/>
                <w:shd w:val="clear" w:color="auto" w:fill="auto"/>
                <w:lang w:eastAsia="zh-CN"/>
              </w:rPr>
            </w:pPr>
            <w:r>
              <w:rPr>
                <w:rFonts w:hint="eastAsia" w:ascii="宋体" w:hAnsi="宋体" w:cs="宋体"/>
                <w:color w:val="auto"/>
                <w:kern w:val="0"/>
                <w:sz w:val="20"/>
                <w:szCs w:val="20"/>
                <w:highlight w:val="none"/>
                <w:shd w:val="clear" w:color="auto" w:fill="auto"/>
                <w:lang w:val="en-US" w:eastAsia="zh-CN"/>
              </w:rPr>
              <w:t>2、</w:t>
            </w:r>
            <w:r>
              <w:rPr>
                <w:rFonts w:hint="eastAsia" w:ascii="宋体" w:hAnsi="宋体" w:cs="宋体"/>
                <w:color w:val="auto"/>
                <w:kern w:val="0"/>
                <w:sz w:val="20"/>
                <w:szCs w:val="20"/>
                <w:highlight w:val="none"/>
                <w:shd w:val="clear" w:color="auto" w:fill="auto"/>
                <w:lang w:eastAsia="zh-CN"/>
              </w:rPr>
              <w:t>其他风险</w:t>
            </w:r>
          </w:p>
        </w:tc>
        <w:tc>
          <w:tcPr>
            <w:tcW w:w="5011" w:type="dxa"/>
            <w:noWrap w:val="0"/>
            <w:vAlign w:val="top"/>
          </w:tcPr>
          <w:p>
            <w:pPr>
              <w:spacing w:line="360" w:lineRule="auto"/>
              <w:jc w:val="both"/>
              <w:rPr>
                <w:rFonts w:hint="eastAsia" w:ascii="宋体" w:hAnsi="宋体" w:cs="宋体"/>
                <w:color w:val="auto"/>
                <w:kern w:val="0"/>
                <w:sz w:val="20"/>
                <w:szCs w:val="20"/>
                <w:highlight w:val="none"/>
                <w:lang w:val="en-US" w:eastAsia="zh-CN"/>
              </w:rPr>
            </w:pPr>
            <w:r>
              <w:rPr>
                <w:rFonts w:hint="default" w:ascii="宋体" w:hAnsi="宋体" w:cs="宋体"/>
                <w:color w:val="auto"/>
                <w:kern w:val="0"/>
                <w:sz w:val="20"/>
                <w:szCs w:val="20"/>
                <w:highlight w:val="none"/>
                <w:lang w:val="en-US" w:eastAsia="zh-CN"/>
              </w:rPr>
              <w:t>投资效益</w:t>
            </w:r>
            <w:r>
              <w:rPr>
                <w:rFonts w:hint="eastAsia" w:ascii="宋体" w:hAnsi="宋体" w:cs="宋体"/>
                <w:color w:val="auto"/>
                <w:kern w:val="0"/>
                <w:sz w:val="20"/>
                <w:szCs w:val="20"/>
                <w:highlight w:val="none"/>
                <w:lang w:val="en-US" w:eastAsia="zh-CN"/>
              </w:rPr>
              <w:t>；新能源补贴回收；</w:t>
            </w:r>
            <w:r>
              <w:rPr>
                <w:rFonts w:hint="default" w:ascii="宋体" w:hAnsi="宋体" w:cs="宋体"/>
                <w:color w:val="auto"/>
                <w:kern w:val="0"/>
                <w:sz w:val="20"/>
                <w:szCs w:val="20"/>
                <w:highlight w:val="none"/>
                <w:lang w:val="en-US" w:eastAsia="zh-CN"/>
              </w:rPr>
              <w:t>债务及现金流</w:t>
            </w:r>
            <w:r>
              <w:rPr>
                <w:rFonts w:hint="eastAsia" w:ascii="宋体" w:hAnsi="宋体" w:cs="宋体"/>
                <w:color w:val="auto"/>
                <w:kern w:val="0"/>
                <w:sz w:val="20"/>
                <w:szCs w:val="20"/>
                <w:highlight w:val="none"/>
                <w:lang w:val="en-US" w:eastAsia="zh-CN"/>
              </w:rPr>
              <w:t>；安全、质量、环保；依法合规等</w:t>
            </w:r>
            <w:r>
              <w:rPr>
                <w:rFonts w:hint="default" w:ascii="宋体" w:hAnsi="宋体" w:cs="宋体"/>
                <w:color w:val="auto"/>
                <w:kern w:val="0"/>
                <w:sz w:val="20"/>
                <w:szCs w:val="20"/>
                <w:highlight w:val="none"/>
                <w:lang w:val="en-US" w:eastAsia="zh-CN"/>
              </w:rPr>
              <w:t>风险</w:t>
            </w:r>
            <w:r>
              <w:rPr>
                <w:rFonts w:hint="eastAsia" w:ascii="宋体" w:hAnsi="宋体" w:cs="宋体"/>
                <w:color w:val="auto"/>
                <w:kern w:val="0"/>
                <w:sz w:val="20"/>
                <w:szCs w:val="20"/>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3516" w:type="dxa"/>
            <w:noWrap w:val="0"/>
            <w:vAlign w:val="top"/>
          </w:tcPr>
          <w:p>
            <w:pPr>
              <w:spacing w:line="360" w:lineRule="auto"/>
              <w:rPr>
                <w:rFonts w:hint="eastAsia" w:ascii="宋体" w:hAnsi="宋体" w:cs="宋体"/>
                <w:color w:val="auto"/>
                <w:kern w:val="0"/>
                <w:sz w:val="20"/>
                <w:szCs w:val="20"/>
                <w:highlight w:val="none"/>
                <w:shd w:val="clear" w:color="auto" w:fill="auto"/>
                <w:lang w:val="en-US" w:eastAsia="zh-CN" w:bidi="ar-SA"/>
              </w:rPr>
            </w:pPr>
            <w:r>
              <w:rPr>
                <w:rFonts w:hint="eastAsia" w:ascii="宋体" w:hAnsi="宋体" w:cs="宋体"/>
                <w:color w:val="auto"/>
                <w:kern w:val="0"/>
                <w:sz w:val="20"/>
                <w:szCs w:val="20"/>
                <w:highlight w:val="none"/>
                <w:shd w:val="clear" w:color="auto" w:fill="auto"/>
                <w:lang w:val="en-US" w:eastAsia="zh-CN"/>
              </w:rPr>
              <w:t>3、</w:t>
            </w:r>
            <w:r>
              <w:rPr>
                <w:rFonts w:hint="eastAsia" w:ascii="宋体" w:hAnsi="宋体" w:cs="宋体"/>
                <w:color w:val="auto"/>
                <w:kern w:val="0"/>
                <w:sz w:val="20"/>
                <w:szCs w:val="20"/>
                <w:highlight w:val="none"/>
                <w:shd w:val="clear" w:color="auto" w:fill="auto"/>
              </w:rPr>
              <w:t>本期重大风险是否发生重大变化</w:t>
            </w:r>
          </w:p>
        </w:tc>
        <w:tc>
          <w:tcPr>
            <w:tcW w:w="5011" w:type="dxa"/>
            <w:noWrap w:val="0"/>
            <w:vAlign w:val="top"/>
          </w:tcPr>
          <w:p>
            <w:pPr>
              <w:spacing w:line="360" w:lineRule="auto"/>
              <w:jc w:val="both"/>
              <w:rPr>
                <w:rFonts w:hint="eastAsia" w:ascii="宋体" w:hAnsi="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本期重大风险未发生重大变化。</w:t>
            </w:r>
          </w:p>
        </w:tc>
      </w:tr>
    </w:tbl>
    <w:p>
      <w:pPr>
        <w:spacing w:line="360" w:lineRule="auto"/>
        <w:rPr>
          <w:rFonts w:hint="eastAsia" w:ascii="宋体" w:hAnsi="宋体" w:cs="宋体"/>
          <w:color w:val="auto"/>
          <w:sz w:val="24"/>
          <w:szCs w:val="24"/>
          <w:highlight w:val="none"/>
        </w:rPr>
      </w:pPr>
    </w:p>
    <w:p>
      <w:pPr>
        <w:spacing w:line="360" w:lineRule="auto"/>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释义</w:t>
      </w:r>
    </w:p>
    <w:tbl>
      <w:tblPr>
        <w:tblStyle w:val="22"/>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385"/>
        <w:gridCol w:w="628"/>
        <w:gridCol w:w="451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7" w:hRule="atLeast"/>
        </w:trPr>
        <w:tc>
          <w:tcPr>
            <w:tcW w:w="3385" w:type="dxa"/>
            <w:noWrap w:val="0"/>
            <w:vAlign w:val="top"/>
          </w:tcPr>
          <w:p>
            <w:pPr>
              <w:jc w:val="center"/>
              <w:rPr>
                <w:rFonts w:hint="eastAsia" w:ascii="宋体" w:hAnsi="宋体" w:cs="宋体"/>
                <w:b/>
                <w:bCs/>
                <w:color w:val="auto"/>
                <w:kern w:val="0"/>
                <w:sz w:val="20"/>
                <w:szCs w:val="22"/>
                <w:highlight w:val="none"/>
              </w:rPr>
            </w:pPr>
            <w:r>
              <w:rPr>
                <w:rFonts w:hint="eastAsia" w:ascii="宋体" w:hAnsi="宋体" w:cs="宋体"/>
                <w:b/>
                <w:bCs/>
                <w:color w:val="auto"/>
                <w:kern w:val="0"/>
                <w:sz w:val="20"/>
                <w:szCs w:val="22"/>
                <w:highlight w:val="none"/>
              </w:rPr>
              <w:t>释义项目</w:t>
            </w:r>
          </w:p>
        </w:tc>
        <w:tc>
          <w:tcPr>
            <w:tcW w:w="628" w:type="dxa"/>
            <w:noWrap w:val="0"/>
            <w:vAlign w:val="top"/>
          </w:tcPr>
          <w:p>
            <w:pPr>
              <w:jc w:val="center"/>
              <w:rPr>
                <w:rFonts w:hint="eastAsia" w:ascii="宋体" w:hAnsi="宋体" w:cs="宋体"/>
                <w:b/>
                <w:bCs/>
                <w:color w:val="auto"/>
                <w:kern w:val="0"/>
                <w:sz w:val="20"/>
                <w:szCs w:val="22"/>
                <w:highlight w:val="none"/>
              </w:rPr>
            </w:pPr>
          </w:p>
        </w:tc>
        <w:tc>
          <w:tcPr>
            <w:tcW w:w="4514" w:type="dxa"/>
            <w:noWrap w:val="0"/>
            <w:vAlign w:val="top"/>
          </w:tcPr>
          <w:p>
            <w:pPr>
              <w:jc w:val="center"/>
              <w:rPr>
                <w:rFonts w:hint="eastAsia" w:ascii="宋体" w:hAnsi="宋体" w:cs="宋体"/>
                <w:b/>
                <w:bCs/>
                <w:color w:val="auto"/>
                <w:kern w:val="0"/>
                <w:sz w:val="20"/>
                <w:szCs w:val="22"/>
                <w:highlight w:val="none"/>
              </w:rPr>
            </w:pPr>
            <w:r>
              <w:rPr>
                <w:rFonts w:hint="eastAsia" w:ascii="宋体" w:hAnsi="宋体" w:cs="宋体"/>
                <w:b/>
                <w:bCs/>
                <w:color w:val="auto"/>
                <w:kern w:val="0"/>
                <w:sz w:val="20"/>
                <w:szCs w:val="22"/>
                <w:highlight w:val="none"/>
              </w:rPr>
              <w:t>释义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3385" w:type="dxa"/>
            <w:noWrap w:val="0"/>
            <w:vAlign w:val="top"/>
          </w:tcPr>
          <w:p>
            <w:pPr>
              <w:jc w:val="left"/>
              <w:rPr>
                <w:rFonts w:hint="eastAsia" w:ascii="宋体" w:hAnsi="宋体" w:cs="宋体"/>
                <w:color w:val="auto"/>
                <w:kern w:val="0"/>
                <w:sz w:val="20"/>
                <w:szCs w:val="22"/>
                <w:highlight w:val="none"/>
              </w:rPr>
            </w:pPr>
            <w:r>
              <w:rPr>
                <w:rFonts w:hint="eastAsia" w:ascii="宋体" w:hAnsi="宋体" w:cs="宋体"/>
                <w:color w:val="auto"/>
                <w:sz w:val="20"/>
                <w:szCs w:val="22"/>
                <w:highlight w:val="none"/>
              </w:rPr>
              <w:t>关联关系</w:t>
            </w:r>
          </w:p>
        </w:tc>
        <w:tc>
          <w:tcPr>
            <w:tcW w:w="628" w:type="dxa"/>
            <w:noWrap w:val="0"/>
            <w:vAlign w:val="top"/>
          </w:tcPr>
          <w:p>
            <w:pPr>
              <w:jc w:val="center"/>
              <w:rPr>
                <w:rFonts w:hint="eastAsia" w:ascii="宋体" w:hAnsi="宋体" w:cs="宋体"/>
                <w:color w:val="auto"/>
                <w:kern w:val="0"/>
                <w:sz w:val="20"/>
                <w:szCs w:val="22"/>
                <w:highlight w:val="none"/>
              </w:rPr>
            </w:pPr>
            <w:r>
              <w:rPr>
                <w:rFonts w:hint="eastAsia" w:ascii="宋体" w:hAnsi="宋体" w:cs="宋体"/>
                <w:color w:val="auto"/>
                <w:kern w:val="0"/>
                <w:sz w:val="20"/>
                <w:szCs w:val="22"/>
                <w:highlight w:val="none"/>
              </w:rPr>
              <w:t>指</w:t>
            </w:r>
          </w:p>
        </w:tc>
        <w:tc>
          <w:tcPr>
            <w:tcW w:w="4514" w:type="dxa"/>
            <w:noWrap w:val="0"/>
            <w:vAlign w:val="top"/>
          </w:tcPr>
          <w:p>
            <w:pPr>
              <w:rPr>
                <w:rFonts w:hint="eastAsia" w:ascii="宋体" w:hAnsi="宋体" w:cs="宋体"/>
                <w:color w:val="auto"/>
                <w:kern w:val="0"/>
                <w:sz w:val="20"/>
                <w:szCs w:val="22"/>
                <w:highlight w:val="none"/>
              </w:rPr>
            </w:pPr>
            <w:r>
              <w:rPr>
                <w:rFonts w:hint="eastAsia" w:ascii="宋体" w:hAnsi="宋体" w:cs="宋体"/>
                <w:color w:val="auto"/>
                <w:kern w:val="0"/>
                <w:sz w:val="20"/>
                <w:szCs w:val="22"/>
                <w:highlight w:val="none"/>
              </w:rPr>
              <w:t>公司控股股东、实际控制人、董事、监事、高级管理人员及其直接或间接控制的企业，以及可能导致公司利益转移的其他关系。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3385" w:type="dxa"/>
            <w:noWrap w:val="0"/>
            <w:vAlign w:val="top"/>
          </w:tcPr>
          <w:p>
            <w:pPr>
              <w:jc w:val="left"/>
              <w:rPr>
                <w:rFonts w:hint="eastAsia" w:ascii="宋体" w:hAnsi="宋体" w:cs="宋体"/>
                <w:color w:val="auto"/>
                <w:kern w:val="0"/>
                <w:sz w:val="20"/>
                <w:szCs w:val="22"/>
                <w:highlight w:val="none"/>
              </w:rPr>
            </w:pPr>
            <w:r>
              <w:rPr>
                <w:rFonts w:hint="eastAsia" w:ascii="宋体" w:hAnsi="宋体" w:cs="宋体"/>
                <w:color w:val="auto"/>
                <w:sz w:val="20"/>
                <w:szCs w:val="22"/>
                <w:highlight w:val="none"/>
              </w:rPr>
              <w:t>“三会”议事规则</w:t>
            </w:r>
          </w:p>
        </w:tc>
        <w:tc>
          <w:tcPr>
            <w:tcW w:w="628" w:type="dxa"/>
            <w:noWrap w:val="0"/>
            <w:vAlign w:val="top"/>
          </w:tcPr>
          <w:p>
            <w:pPr>
              <w:jc w:val="center"/>
              <w:rPr>
                <w:rFonts w:hint="eastAsia" w:ascii="宋体" w:hAnsi="宋体" w:cs="宋体"/>
                <w:color w:val="auto"/>
                <w:kern w:val="0"/>
                <w:sz w:val="20"/>
                <w:szCs w:val="22"/>
                <w:highlight w:val="none"/>
              </w:rPr>
            </w:pPr>
            <w:r>
              <w:rPr>
                <w:rFonts w:hint="eastAsia" w:ascii="宋体" w:hAnsi="宋体" w:cs="宋体"/>
                <w:color w:val="auto"/>
                <w:kern w:val="0"/>
                <w:sz w:val="20"/>
                <w:szCs w:val="22"/>
                <w:highlight w:val="none"/>
              </w:rPr>
              <w:t>指</w:t>
            </w:r>
          </w:p>
        </w:tc>
        <w:tc>
          <w:tcPr>
            <w:tcW w:w="4514" w:type="dxa"/>
            <w:noWrap w:val="0"/>
            <w:vAlign w:val="top"/>
          </w:tcPr>
          <w:p>
            <w:pPr>
              <w:rPr>
                <w:rFonts w:hint="eastAsia" w:ascii="宋体" w:hAnsi="宋体" w:cs="宋体"/>
                <w:color w:val="auto"/>
                <w:kern w:val="0"/>
                <w:sz w:val="20"/>
                <w:szCs w:val="22"/>
                <w:highlight w:val="none"/>
              </w:rPr>
            </w:pPr>
            <w:r>
              <w:rPr>
                <w:rFonts w:hint="eastAsia" w:ascii="宋体" w:hAnsi="宋体" w:cs="宋体"/>
                <w:color w:val="auto"/>
                <w:kern w:val="0"/>
                <w:sz w:val="20"/>
                <w:szCs w:val="22"/>
                <w:highlight w:val="none"/>
              </w:rPr>
              <w:t>《股东会议事规则》</w:t>
            </w:r>
            <w:r>
              <w:rPr>
                <w:rFonts w:hint="eastAsia" w:ascii="宋体" w:hAnsi="宋体" w:cs="宋体"/>
                <w:color w:val="auto"/>
                <w:kern w:val="0"/>
                <w:sz w:val="20"/>
                <w:szCs w:val="22"/>
                <w:highlight w:val="none"/>
                <w:lang w:eastAsia="zh-CN"/>
              </w:rPr>
              <w:t>、</w:t>
            </w:r>
            <w:r>
              <w:rPr>
                <w:rFonts w:hint="eastAsia" w:ascii="宋体" w:hAnsi="宋体" w:cs="宋体"/>
                <w:color w:val="auto"/>
                <w:kern w:val="0"/>
                <w:sz w:val="20"/>
                <w:szCs w:val="22"/>
                <w:highlight w:val="none"/>
              </w:rPr>
              <w:t>《董事会议事规则》、《监事会议事规则》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3385" w:type="dxa"/>
            <w:noWrap w:val="0"/>
            <w:vAlign w:val="top"/>
          </w:tcPr>
          <w:p>
            <w:pPr>
              <w:jc w:val="left"/>
              <w:rPr>
                <w:rFonts w:hint="eastAsia" w:ascii="宋体" w:hAnsi="宋体" w:cs="宋体"/>
                <w:color w:val="auto"/>
                <w:kern w:val="0"/>
                <w:sz w:val="20"/>
                <w:szCs w:val="22"/>
                <w:highlight w:val="none"/>
              </w:rPr>
            </w:pPr>
            <w:r>
              <w:rPr>
                <w:rFonts w:hint="eastAsia" w:ascii="宋体" w:hAnsi="宋体" w:cs="宋体"/>
                <w:color w:val="auto"/>
                <w:sz w:val="20"/>
                <w:szCs w:val="22"/>
                <w:highlight w:val="none"/>
              </w:rPr>
              <w:t>三会</w:t>
            </w:r>
          </w:p>
        </w:tc>
        <w:tc>
          <w:tcPr>
            <w:tcW w:w="628" w:type="dxa"/>
            <w:noWrap w:val="0"/>
            <w:vAlign w:val="top"/>
          </w:tcPr>
          <w:p>
            <w:pPr>
              <w:jc w:val="center"/>
              <w:rPr>
                <w:rFonts w:hint="eastAsia" w:ascii="宋体" w:hAnsi="宋体" w:cs="宋体"/>
                <w:color w:val="auto"/>
                <w:kern w:val="0"/>
                <w:sz w:val="20"/>
                <w:szCs w:val="22"/>
                <w:highlight w:val="none"/>
              </w:rPr>
            </w:pPr>
            <w:r>
              <w:rPr>
                <w:rFonts w:hint="eastAsia" w:ascii="宋体" w:hAnsi="宋体" w:cs="宋体"/>
                <w:color w:val="auto"/>
                <w:sz w:val="20"/>
                <w:szCs w:val="22"/>
                <w:highlight w:val="none"/>
              </w:rPr>
              <w:t>指</w:t>
            </w:r>
          </w:p>
        </w:tc>
        <w:tc>
          <w:tcPr>
            <w:tcW w:w="4514" w:type="dxa"/>
            <w:noWrap w:val="0"/>
            <w:vAlign w:val="top"/>
          </w:tcPr>
          <w:p>
            <w:pPr>
              <w:rPr>
                <w:rFonts w:hint="eastAsia" w:ascii="宋体" w:hAnsi="宋体" w:cs="宋体"/>
                <w:color w:val="auto"/>
                <w:kern w:val="0"/>
                <w:sz w:val="20"/>
                <w:szCs w:val="22"/>
                <w:highlight w:val="none"/>
              </w:rPr>
            </w:pPr>
            <w:r>
              <w:rPr>
                <w:rFonts w:hint="eastAsia" w:ascii="宋体" w:hAnsi="宋体" w:cs="宋体"/>
                <w:color w:val="auto"/>
                <w:kern w:val="0"/>
                <w:sz w:val="20"/>
                <w:szCs w:val="22"/>
                <w:highlight w:val="none"/>
              </w:rPr>
              <w:t>股东会、董事会、监事会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3385" w:type="dxa"/>
            <w:noWrap w:val="0"/>
            <w:vAlign w:val="top"/>
          </w:tcPr>
          <w:p>
            <w:pPr>
              <w:jc w:val="left"/>
              <w:rPr>
                <w:rFonts w:hint="eastAsia" w:ascii="宋体" w:hAnsi="宋体" w:cs="宋体"/>
                <w:color w:val="auto"/>
                <w:kern w:val="0"/>
                <w:sz w:val="20"/>
                <w:szCs w:val="22"/>
                <w:highlight w:val="none"/>
              </w:rPr>
            </w:pPr>
            <w:r>
              <w:rPr>
                <w:rFonts w:hint="eastAsia" w:ascii="宋体" w:hAnsi="宋体" w:cs="宋体"/>
                <w:color w:val="auto"/>
                <w:sz w:val="20"/>
                <w:szCs w:val="22"/>
                <w:highlight w:val="none"/>
              </w:rPr>
              <w:t>高级管理人员</w:t>
            </w:r>
          </w:p>
        </w:tc>
        <w:tc>
          <w:tcPr>
            <w:tcW w:w="628" w:type="dxa"/>
            <w:noWrap w:val="0"/>
            <w:vAlign w:val="top"/>
          </w:tcPr>
          <w:p>
            <w:pPr>
              <w:jc w:val="center"/>
              <w:rPr>
                <w:rFonts w:hint="eastAsia" w:ascii="宋体" w:hAnsi="宋体" w:cs="宋体"/>
                <w:color w:val="auto"/>
                <w:kern w:val="0"/>
                <w:sz w:val="20"/>
                <w:szCs w:val="22"/>
                <w:highlight w:val="none"/>
              </w:rPr>
            </w:pPr>
            <w:r>
              <w:rPr>
                <w:rFonts w:hint="eastAsia" w:ascii="宋体" w:hAnsi="宋体" w:cs="宋体"/>
                <w:color w:val="auto"/>
                <w:sz w:val="20"/>
                <w:szCs w:val="22"/>
                <w:highlight w:val="none"/>
              </w:rPr>
              <w:t>指</w:t>
            </w:r>
          </w:p>
        </w:tc>
        <w:tc>
          <w:tcPr>
            <w:tcW w:w="4514" w:type="dxa"/>
            <w:noWrap w:val="0"/>
            <w:vAlign w:val="top"/>
          </w:tcPr>
          <w:p>
            <w:pPr>
              <w:rPr>
                <w:rFonts w:hint="eastAsia" w:ascii="宋体" w:hAnsi="宋体" w:cs="宋体"/>
                <w:color w:val="auto"/>
                <w:kern w:val="0"/>
                <w:sz w:val="20"/>
                <w:szCs w:val="22"/>
                <w:highlight w:val="none"/>
              </w:rPr>
            </w:pPr>
            <w:r>
              <w:rPr>
                <w:rFonts w:hint="eastAsia" w:ascii="宋体" w:hAnsi="宋体" w:cs="宋体"/>
                <w:color w:val="auto"/>
                <w:kern w:val="0"/>
                <w:sz w:val="20"/>
                <w:szCs w:val="22"/>
                <w:highlight w:val="none"/>
              </w:rPr>
              <w:t>公司总经理、副总经理、董事会秘书、总会计师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3385" w:type="dxa"/>
            <w:noWrap w:val="0"/>
            <w:vAlign w:val="top"/>
          </w:tcPr>
          <w:p>
            <w:pPr>
              <w:jc w:val="left"/>
              <w:rPr>
                <w:rFonts w:hint="eastAsia" w:ascii="宋体" w:hAnsi="宋体" w:cs="宋体"/>
                <w:color w:val="auto"/>
                <w:kern w:val="0"/>
                <w:sz w:val="20"/>
                <w:szCs w:val="22"/>
                <w:highlight w:val="none"/>
              </w:rPr>
            </w:pPr>
            <w:r>
              <w:rPr>
                <w:rFonts w:hint="eastAsia" w:ascii="宋体" w:hAnsi="宋体" w:cs="宋体"/>
                <w:color w:val="auto"/>
                <w:sz w:val="20"/>
                <w:szCs w:val="22"/>
                <w:highlight w:val="none"/>
              </w:rPr>
              <w:t>元、万元</w:t>
            </w:r>
          </w:p>
        </w:tc>
        <w:tc>
          <w:tcPr>
            <w:tcW w:w="628" w:type="dxa"/>
            <w:noWrap w:val="0"/>
            <w:vAlign w:val="top"/>
          </w:tcPr>
          <w:p>
            <w:pPr>
              <w:jc w:val="center"/>
              <w:rPr>
                <w:rFonts w:hint="eastAsia" w:ascii="宋体" w:hAnsi="宋体" w:cs="宋体"/>
                <w:color w:val="auto"/>
                <w:kern w:val="0"/>
                <w:sz w:val="20"/>
                <w:szCs w:val="22"/>
                <w:highlight w:val="none"/>
              </w:rPr>
            </w:pPr>
            <w:r>
              <w:rPr>
                <w:rFonts w:hint="eastAsia" w:ascii="宋体" w:hAnsi="宋体" w:cs="宋体"/>
                <w:color w:val="auto"/>
                <w:sz w:val="20"/>
                <w:szCs w:val="22"/>
                <w:highlight w:val="none"/>
              </w:rPr>
              <w:t>指</w:t>
            </w:r>
          </w:p>
        </w:tc>
        <w:tc>
          <w:tcPr>
            <w:tcW w:w="4514" w:type="dxa"/>
            <w:noWrap w:val="0"/>
            <w:vAlign w:val="top"/>
          </w:tcPr>
          <w:p>
            <w:pPr>
              <w:rPr>
                <w:rFonts w:hint="eastAsia" w:ascii="宋体" w:hAnsi="宋体" w:cs="宋体"/>
                <w:color w:val="auto"/>
                <w:kern w:val="0"/>
                <w:sz w:val="20"/>
                <w:szCs w:val="22"/>
                <w:highlight w:val="none"/>
              </w:rPr>
            </w:pPr>
            <w:r>
              <w:rPr>
                <w:rFonts w:hint="eastAsia" w:ascii="宋体" w:hAnsi="宋体" w:cs="宋体"/>
                <w:color w:val="auto"/>
                <w:kern w:val="0"/>
                <w:sz w:val="20"/>
                <w:szCs w:val="22"/>
                <w:highlight w:val="none"/>
              </w:rPr>
              <w:t>人民币元、人民币万元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3385" w:type="dxa"/>
            <w:noWrap w:val="0"/>
            <w:vAlign w:val="top"/>
          </w:tcPr>
          <w:p>
            <w:pPr>
              <w:jc w:val="left"/>
              <w:rPr>
                <w:rFonts w:hint="eastAsia" w:ascii="宋体" w:hAnsi="宋体" w:cs="宋体"/>
                <w:color w:val="auto"/>
                <w:kern w:val="0"/>
                <w:sz w:val="20"/>
                <w:szCs w:val="22"/>
                <w:highlight w:val="none"/>
              </w:rPr>
            </w:pPr>
            <w:r>
              <w:rPr>
                <w:rFonts w:hint="eastAsia" w:ascii="宋体" w:hAnsi="宋体" w:cs="宋体"/>
                <w:color w:val="auto"/>
                <w:sz w:val="20"/>
                <w:szCs w:val="22"/>
                <w:highlight w:val="none"/>
              </w:rPr>
              <w:t>证监会</w:t>
            </w:r>
          </w:p>
        </w:tc>
        <w:tc>
          <w:tcPr>
            <w:tcW w:w="628" w:type="dxa"/>
            <w:noWrap w:val="0"/>
            <w:vAlign w:val="top"/>
          </w:tcPr>
          <w:p>
            <w:pPr>
              <w:jc w:val="center"/>
              <w:rPr>
                <w:rFonts w:hint="eastAsia" w:ascii="宋体" w:hAnsi="宋体" w:cs="宋体"/>
                <w:color w:val="auto"/>
                <w:kern w:val="0"/>
                <w:sz w:val="20"/>
                <w:szCs w:val="22"/>
                <w:highlight w:val="none"/>
              </w:rPr>
            </w:pPr>
            <w:r>
              <w:rPr>
                <w:rFonts w:hint="eastAsia" w:ascii="宋体" w:hAnsi="宋体" w:cs="宋体"/>
                <w:color w:val="auto"/>
                <w:sz w:val="20"/>
                <w:szCs w:val="22"/>
                <w:highlight w:val="none"/>
              </w:rPr>
              <w:t>指</w:t>
            </w:r>
          </w:p>
        </w:tc>
        <w:tc>
          <w:tcPr>
            <w:tcW w:w="4514" w:type="dxa"/>
            <w:noWrap w:val="0"/>
            <w:vAlign w:val="top"/>
          </w:tcPr>
          <w:p>
            <w:pPr>
              <w:rPr>
                <w:rFonts w:hint="eastAsia" w:ascii="宋体" w:hAnsi="宋体" w:eastAsia="宋体" w:cs="宋体"/>
                <w:color w:val="auto"/>
                <w:kern w:val="0"/>
                <w:sz w:val="20"/>
                <w:szCs w:val="22"/>
                <w:highlight w:val="none"/>
              </w:rPr>
            </w:pPr>
            <w:r>
              <w:rPr>
                <w:rFonts w:hint="eastAsia" w:ascii="宋体" w:hAnsi="宋体" w:eastAsia="宋体" w:cs="宋体"/>
                <w:color w:val="auto"/>
                <w:kern w:val="0"/>
                <w:sz w:val="20"/>
                <w:szCs w:val="22"/>
                <w:highlight w:val="none"/>
              </w:rPr>
              <w:t>中国证券监督管理委员会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3385" w:type="dxa"/>
            <w:noWrap w:val="0"/>
            <w:vAlign w:val="top"/>
          </w:tcPr>
          <w:p>
            <w:pPr>
              <w:jc w:val="left"/>
              <w:rPr>
                <w:rFonts w:hint="eastAsia" w:ascii="宋体" w:hAnsi="宋体" w:cs="宋体"/>
                <w:color w:val="auto"/>
                <w:kern w:val="0"/>
                <w:sz w:val="20"/>
                <w:szCs w:val="22"/>
                <w:highlight w:val="none"/>
              </w:rPr>
            </w:pPr>
            <w:r>
              <w:rPr>
                <w:rFonts w:hint="eastAsia" w:ascii="宋体" w:hAnsi="宋体" w:cs="宋体"/>
                <w:color w:val="auto"/>
                <w:sz w:val="20"/>
                <w:szCs w:val="22"/>
                <w:highlight w:val="none"/>
              </w:rPr>
              <w:t>审计报告</w:t>
            </w:r>
          </w:p>
        </w:tc>
        <w:tc>
          <w:tcPr>
            <w:tcW w:w="628" w:type="dxa"/>
            <w:noWrap w:val="0"/>
            <w:vAlign w:val="top"/>
          </w:tcPr>
          <w:p>
            <w:pPr>
              <w:jc w:val="center"/>
              <w:rPr>
                <w:rFonts w:hint="eastAsia" w:ascii="宋体" w:hAnsi="宋体" w:cs="宋体"/>
                <w:color w:val="auto"/>
                <w:kern w:val="0"/>
                <w:sz w:val="20"/>
                <w:szCs w:val="22"/>
                <w:highlight w:val="none"/>
              </w:rPr>
            </w:pPr>
            <w:r>
              <w:rPr>
                <w:rFonts w:hint="eastAsia" w:ascii="宋体" w:hAnsi="宋体" w:cs="宋体"/>
                <w:color w:val="auto"/>
                <w:sz w:val="20"/>
                <w:szCs w:val="22"/>
                <w:highlight w:val="none"/>
              </w:rPr>
              <w:t>指</w:t>
            </w:r>
          </w:p>
        </w:tc>
        <w:tc>
          <w:tcPr>
            <w:tcW w:w="4514" w:type="dxa"/>
            <w:noWrap w:val="0"/>
            <w:vAlign w:val="top"/>
          </w:tcPr>
          <w:p>
            <w:pPr>
              <w:rPr>
                <w:rFonts w:hint="eastAsia" w:ascii="宋体" w:hAnsi="宋体" w:eastAsia="宋体" w:cs="宋体"/>
                <w:color w:val="auto"/>
                <w:kern w:val="0"/>
                <w:sz w:val="20"/>
                <w:szCs w:val="22"/>
                <w:highlight w:val="none"/>
                <w:lang w:eastAsia="zh-CN"/>
              </w:rPr>
            </w:pPr>
            <w:r>
              <w:rPr>
                <w:rFonts w:hint="eastAsia" w:ascii="宋体" w:hAnsi="宋体" w:eastAsia="宋体" w:cs="宋体"/>
                <w:color w:val="auto"/>
                <w:kern w:val="0"/>
                <w:sz w:val="20"/>
                <w:szCs w:val="22"/>
                <w:highlight w:val="none"/>
                <w:lang w:val="en-US" w:eastAsia="zh-CN"/>
              </w:rPr>
              <w:t>立信会计师事务所（特殊普通合伙）信会师报字[2025]第ZG25875号</w:t>
            </w:r>
            <w:r>
              <w:rPr>
                <w:rFonts w:hint="eastAsia" w:ascii="宋体" w:hAnsi="宋体" w:eastAsia="宋体" w:cs="宋体"/>
                <w:color w:val="auto"/>
                <w:kern w:val="0"/>
                <w:sz w:val="20"/>
                <w:szCs w:val="22"/>
                <w:highlight w:val="none"/>
              </w:rPr>
              <w:t>标准无保留意见的审计报告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3385" w:type="dxa"/>
            <w:noWrap w:val="0"/>
            <w:vAlign w:val="top"/>
          </w:tcPr>
          <w:p>
            <w:pPr>
              <w:jc w:val="left"/>
              <w:rPr>
                <w:rFonts w:hint="eastAsia" w:ascii="宋体" w:hAnsi="宋体" w:cs="宋体"/>
                <w:color w:val="auto"/>
                <w:kern w:val="0"/>
                <w:sz w:val="20"/>
                <w:szCs w:val="22"/>
                <w:highlight w:val="none"/>
              </w:rPr>
            </w:pPr>
            <w:r>
              <w:rPr>
                <w:rFonts w:hint="eastAsia" w:ascii="宋体" w:hAnsi="宋体" w:cs="宋体"/>
                <w:color w:val="auto"/>
                <w:sz w:val="20"/>
                <w:szCs w:val="22"/>
                <w:highlight w:val="none"/>
              </w:rPr>
              <w:t>报告期内</w:t>
            </w:r>
          </w:p>
        </w:tc>
        <w:tc>
          <w:tcPr>
            <w:tcW w:w="628" w:type="dxa"/>
            <w:noWrap w:val="0"/>
            <w:vAlign w:val="top"/>
          </w:tcPr>
          <w:p>
            <w:pPr>
              <w:jc w:val="center"/>
              <w:rPr>
                <w:rFonts w:hint="eastAsia" w:ascii="宋体" w:hAnsi="宋体" w:cs="宋体"/>
                <w:color w:val="auto"/>
                <w:kern w:val="0"/>
                <w:sz w:val="20"/>
                <w:szCs w:val="22"/>
                <w:highlight w:val="none"/>
              </w:rPr>
            </w:pPr>
            <w:r>
              <w:rPr>
                <w:rFonts w:hint="eastAsia" w:ascii="宋体" w:hAnsi="宋体" w:cs="宋体"/>
                <w:color w:val="auto"/>
                <w:sz w:val="20"/>
                <w:szCs w:val="22"/>
                <w:highlight w:val="none"/>
              </w:rPr>
              <w:t>指</w:t>
            </w:r>
          </w:p>
        </w:tc>
        <w:tc>
          <w:tcPr>
            <w:tcW w:w="4514" w:type="dxa"/>
            <w:noWrap w:val="0"/>
            <w:vAlign w:val="top"/>
          </w:tcPr>
          <w:p>
            <w:pPr>
              <w:rPr>
                <w:rFonts w:hint="eastAsia" w:ascii="宋体" w:hAnsi="宋体" w:cs="宋体"/>
                <w:color w:val="auto"/>
                <w:kern w:val="0"/>
                <w:sz w:val="20"/>
                <w:szCs w:val="22"/>
                <w:highlight w:val="none"/>
              </w:rPr>
            </w:pPr>
            <w:r>
              <w:rPr>
                <w:rFonts w:hint="eastAsia" w:ascii="宋体" w:hAnsi="宋体" w:cs="宋体"/>
                <w:color w:val="auto"/>
                <w:kern w:val="0"/>
                <w:sz w:val="20"/>
                <w:szCs w:val="22"/>
                <w:highlight w:val="none"/>
              </w:rPr>
              <w:t>202</w:t>
            </w:r>
            <w:r>
              <w:rPr>
                <w:rFonts w:hint="eastAsia" w:ascii="宋体" w:hAnsi="宋体" w:cs="宋体"/>
                <w:color w:val="auto"/>
                <w:kern w:val="0"/>
                <w:sz w:val="20"/>
                <w:szCs w:val="22"/>
                <w:highlight w:val="none"/>
                <w:lang w:val="en-US" w:eastAsia="zh-CN"/>
              </w:rPr>
              <w:t>4</w:t>
            </w:r>
            <w:r>
              <w:rPr>
                <w:rFonts w:hint="eastAsia" w:ascii="宋体" w:hAnsi="宋体" w:cs="宋体"/>
                <w:color w:val="auto"/>
                <w:kern w:val="0"/>
                <w:sz w:val="20"/>
                <w:szCs w:val="22"/>
                <w:highlight w:val="none"/>
              </w:rPr>
              <w:t>年1月1日至202</w:t>
            </w:r>
            <w:r>
              <w:rPr>
                <w:rFonts w:hint="eastAsia" w:ascii="宋体" w:hAnsi="宋体" w:cs="宋体"/>
                <w:color w:val="auto"/>
                <w:kern w:val="0"/>
                <w:sz w:val="20"/>
                <w:szCs w:val="22"/>
                <w:highlight w:val="none"/>
                <w:lang w:val="en-US" w:eastAsia="zh-CN"/>
              </w:rPr>
              <w:t>4</w:t>
            </w:r>
            <w:r>
              <w:rPr>
                <w:rFonts w:hint="eastAsia" w:ascii="宋体" w:hAnsi="宋体" w:cs="宋体"/>
                <w:color w:val="auto"/>
                <w:kern w:val="0"/>
                <w:sz w:val="20"/>
                <w:szCs w:val="22"/>
                <w:highlight w:val="none"/>
              </w:rPr>
              <w:t>年12月31日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3385" w:type="dxa"/>
            <w:noWrap w:val="0"/>
            <w:vAlign w:val="top"/>
          </w:tcPr>
          <w:p>
            <w:pPr>
              <w:jc w:val="left"/>
              <w:rPr>
                <w:rFonts w:hint="eastAsia" w:ascii="宋体" w:hAnsi="宋体" w:cs="宋体"/>
                <w:color w:val="auto"/>
                <w:kern w:val="0"/>
                <w:sz w:val="20"/>
                <w:szCs w:val="22"/>
                <w:highlight w:val="none"/>
              </w:rPr>
            </w:pPr>
            <w:r>
              <w:rPr>
                <w:rFonts w:hint="eastAsia" w:ascii="宋体" w:hAnsi="宋体" w:cs="宋体"/>
                <w:color w:val="auto"/>
                <w:sz w:val="20"/>
                <w:szCs w:val="22"/>
                <w:highlight w:val="none"/>
              </w:rPr>
              <w:t>公司章程</w:t>
            </w:r>
          </w:p>
        </w:tc>
        <w:tc>
          <w:tcPr>
            <w:tcW w:w="628" w:type="dxa"/>
            <w:noWrap w:val="0"/>
            <w:vAlign w:val="top"/>
          </w:tcPr>
          <w:p>
            <w:pPr>
              <w:jc w:val="center"/>
              <w:rPr>
                <w:rFonts w:hint="eastAsia" w:ascii="宋体" w:hAnsi="宋体" w:cs="宋体"/>
                <w:color w:val="auto"/>
                <w:kern w:val="0"/>
                <w:sz w:val="20"/>
                <w:szCs w:val="22"/>
                <w:highlight w:val="none"/>
              </w:rPr>
            </w:pPr>
            <w:r>
              <w:rPr>
                <w:rFonts w:hint="eastAsia" w:ascii="宋体" w:hAnsi="宋体" w:cs="宋体"/>
                <w:color w:val="auto"/>
                <w:sz w:val="20"/>
                <w:szCs w:val="22"/>
                <w:highlight w:val="none"/>
              </w:rPr>
              <w:t>指</w:t>
            </w:r>
          </w:p>
        </w:tc>
        <w:tc>
          <w:tcPr>
            <w:tcW w:w="4514" w:type="dxa"/>
            <w:noWrap w:val="0"/>
            <w:vAlign w:val="top"/>
          </w:tcPr>
          <w:p>
            <w:pPr>
              <w:rPr>
                <w:rFonts w:hint="eastAsia" w:ascii="宋体" w:hAnsi="宋体" w:cs="宋体"/>
                <w:color w:val="auto"/>
                <w:kern w:val="0"/>
                <w:sz w:val="20"/>
                <w:szCs w:val="22"/>
                <w:highlight w:val="none"/>
              </w:rPr>
            </w:pPr>
            <w:r>
              <w:rPr>
                <w:rFonts w:hint="eastAsia" w:ascii="宋体" w:hAnsi="宋体" w:cs="宋体"/>
                <w:color w:val="auto"/>
                <w:kern w:val="0"/>
                <w:sz w:val="20"/>
                <w:szCs w:val="22"/>
                <w:highlight w:val="none"/>
              </w:rPr>
              <w:t>《国家电投集团贵州金元股份有限公司章程》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385" w:type="dxa"/>
            <w:noWrap w:val="0"/>
            <w:vAlign w:val="top"/>
          </w:tcPr>
          <w:p>
            <w:pPr>
              <w:jc w:val="left"/>
              <w:rPr>
                <w:rFonts w:hint="eastAsia" w:ascii="宋体" w:hAnsi="宋体" w:cs="宋体"/>
                <w:color w:val="auto"/>
                <w:kern w:val="0"/>
                <w:sz w:val="20"/>
                <w:szCs w:val="22"/>
                <w:highlight w:val="none"/>
              </w:rPr>
            </w:pPr>
            <w:r>
              <w:rPr>
                <w:rFonts w:hint="eastAsia" w:ascii="宋体" w:hAnsi="宋体" w:cs="宋体"/>
                <w:color w:val="auto"/>
                <w:sz w:val="20"/>
                <w:szCs w:val="22"/>
                <w:highlight w:val="none"/>
              </w:rPr>
              <w:t>《证券法》</w:t>
            </w:r>
          </w:p>
        </w:tc>
        <w:tc>
          <w:tcPr>
            <w:tcW w:w="628" w:type="dxa"/>
            <w:noWrap w:val="0"/>
            <w:vAlign w:val="top"/>
          </w:tcPr>
          <w:p>
            <w:pPr>
              <w:jc w:val="center"/>
              <w:rPr>
                <w:rFonts w:hint="eastAsia" w:ascii="宋体" w:hAnsi="宋体" w:cs="宋体"/>
                <w:color w:val="auto"/>
                <w:kern w:val="0"/>
                <w:sz w:val="20"/>
                <w:szCs w:val="22"/>
                <w:highlight w:val="none"/>
              </w:rPr>
            </w:pPr>
            <w:r>
              <w:rPr>
                <w:rFonts w:hint="eastAsia" w:ascii="宋体" w:hAnsi="宋体" w:cs="宋体"/>
                <w:color w:val="auto"/>
                <w:sz w:val="20"/>
                <w:szCs w:val="22"/>
                <w:highlight w:val="none"/>
              </w:rPr>
              <w:t>指</w:t>
            </w:r>
          </w:p>
        </w:tc>
        <w:tc>
          <w:tcPr>
            <w:tcW w:w="4514" w:type="dxa"/>
            <w:noWrap w:val="0"/>
            <w:vAlign w:val="top"/>
          </w:tcPr>
          <w:p>
            <w:pPr>
              <w:rPr>
                <w:rFonts w:hint="eastAsia" w:ascii="宋体" w:hAnsi="宋体" w:cs="宋体"/>
                <w:color w:val="auto"/>
                <w:kern w:val="0"/>
                <w:sz w:val="20"/>
                <w:szCs w:val="22"/>
                <w:highlight w:val="none"/>
              </w:rPr>
            </w:pPr>
            <w:r>
              <w:rPr>
                <w:rFonts w:hint="eastAsia" w:ascii="宋体" w:hAnsi="宋体" w:cs="宋体"/>
                <w:color w:val="auto"/>
                <w:kern w:val="0"/>
                <w:sz w:val="20"/>
                <w:szCs w:val="22"/>
                <w:highlight w:val="none"/>
              </w:rPr>
              <w:t>《中华人民共和国证券法》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3385" w:type="dxa"/>
            <w:noWrap w:val="0"/>
            <w:vAlign w:val="top"/>
          </w:tcPr>
          <w:p>
            <w:pPr>
              <w:jc w:val="left"/>
              <w:rPr>
                <w:rFonts w:hint="eastAsia" w:ascii="宋体" w:hAnsi="宋体" w:cs="宋体"/>
                <w:color w:val="auto"/>
                <w:kern w:val="0"/>
                <w:sz w:val="20"/>
                <w:szCs w:val="22"/>
                <w:highlight w:val="none"/>
              </w:rPr>
            </w:pPr>
            <w:r>
              <w:rPr>
                <w:rFonts w:hint="eastAsia" w:ascii="宋体" w:hAnsi="宋体" w:cs="宋体"/>
                <w:color w:val="auto"/>
                <w:sz w:val="20"/>
                <w:szCs w:val="22"/>
                <w:highlight w:val="none"/>
              </w:rPr>
              <w:t>《公司法》</w:t>
            </w:r>
          </w:p>
        </w:tc>
        <w:tc>
          <w:tcPr>
            <w:tcW w:w="628" w:type="dxa"/>
            <w:noWrap w:val="0"/>
            <w:vAlign w:val="top"/>
          </w:tcPr>
          <w:p>
            <w:pPr>
              <w:jc w:val="center"/>
              <w:rPr>
                <w:rFonts w:hint="eastAsia" w:ascii="宋体" w:hAnsi="宋体" w:cs="宋体"/>
                <w:color w:val="auto"/>
                <w:kern w:val="0"/>
                <w:sz w:val="20"/>
                <w:szCs w:val="22"/>
                <w:highlight w:val="none"/>
              </w:rPr>
            </w:pPr>
            <w:r>
              <w:rPr>
                <w:rFonts w:hint="eastAsia" w:ascii="宋体" w:hAnsi="宋体" w:cs="宋体"/>
                <w:color w:val="auto"/>
                <w:sz w:val="20"/>
                <w:szCs w:val="22"/>
                <w:highlight w:val="none"/>
              </w:rPr>
              <w:t>指</w:t>
            </w:r>
          </w:p>
        </w:tc>
        <w:tc>
          <w:tcPr>
            <w:tcW w:w="4514" w:type="dxa"/>
            <w:noWrap w:val="0"/>
            <w:vAlign w:val="top"/>
          </w:tcPr>
          <w:p>
            <w:pPr>
              <w:rPr>
                <w:rFonts w:hint="eastAsia" w:ascii="宋体" w:hAnsi="宋体" w:cs="宋体"/>
                <w:color w:val="auto"/>
                <w:kern w:val="0"/>
                <w:sz w:val="20"/>
                <w:szCs w:val="22"/>
                <w:highlight w:val="none"/>
              </w:rPr>
            </w:pPr>
            <w:r>
              <w:rPr>
                <w:rFonts w:hint="eastAsia" w:ascii="宋体" w:hAnsi="宋体" w:cs="宋体"/>
                <w:color w:val="auto"/>
                <w:kern w:val="0"/>
                <w:sz w:val="20"/>
                <w:szCs w:val="22"/>
                <w:highlight w:val="none"/>
              </w:rPr>
              <w:t>《中华人民共和国公司法》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3385" w:type="dxa"/>
            <w:noWrap w:val="0"/>
            <w:vAlign w:val="top"/>
          </w:tcPr>
          <w:p>
            <w:pPr>
              <w:jc w:val="left"/>
              <w:rPr>
                <w:rFonts w:hint="eastAsia" w:ascii="宋体" w:hAnsi="宋体" w:cs="宋体"/>
                <w:color w:val="auto"/>
                <w:kern w:val="0"/>
                <w:sz w:val="20"/>
                <w:szCs w:val="22"/>
                <w:highlight w:val="none"/>
              </w:rPr>
            </w:pPr>
            <w:r>
              <w:rPr>
                <w:rFonts w:hint="eastAsia" w:ascii="宋体" w:hAnsi="宋体" w:cs="宋体"/>
                <w:color w:val="auto"/>
                <w:sz w:val="20"/>
                <w:szCs w:val="22"/>
                <w:highlight w:val="none"/>
              </w:rPr>
              <w:t>公司、本公司</w:t>
            </w:r>
          </w:p>
        </w:tc>
        <w:tc>
          <w:tcPr>
            <w:tcW w:w="628" w:type="dxa"/>
            <w:noWrap w:val="0"/>
            <w:vAlign w:val="top"/>
          </w:tcPr>
          <w:p>
            <w:pPr>
              <w:jc w:val="center"/>
              <w:rPr>
                <w:rFonts w:hint="eastAsia" w:ascii="宋体" w:hAnsi="宋体" w:cs="宋体"/>
                <w:color w:val="auto"/>
                <w:kern w:val="0"/>
                <w:sz w:val="20"/>
                <w:szCs w:val="22"/>
                <w:highlight w:val="none"/>
              </w:rPr>
            </w:pPr>
            <w:r>
              <w:rPr>
                <w:rFonts w:hint="eastAsia" w:ascii="宋体" w:hAnsi="宋体" w:cs="宋体"/>
                <w:color w:val="auto"/>
                <w:kern w:val="0"/>
                <w:sz w:val="20"/>
                <w:szCs w:val="22"/>
                <w:highlight w:val="none"/>
              </w:rPr>
              <w:t>指</w:t>
            </w:r>
          </w:p>
        </w:tc>
        <w:tc>
          <w:tcPr>
            <w:tcW w:w="4514" w:type="dxa"/>
            <w:noWrap w:val="0"/>
            <w:vAlign w:val="top"/>
          </w:tcPr>
          <w:p>
            <w:pPr>
              <w:rPr>
                <w:rFonts w:hint="eastAsia" w:ascii="宋体" w:hAnsi="宋体" w:cs="宋体"/>
                <w:color w:val="auto"/>
                <w:kern w:val="0"/>
                <w:sz w:val="20"/>
                <w:szCs w:val="22"/>
                <w:highlight w:val="none"/>
              </w:rPr>
            </w:pPr>
            <w:r>
              <w:rPr>
                <w:rFonts w:hint="eastAsia" w:ascii="宋体" w:hAnsi="宋体" w:cs="宋体"/>
                <w:color w:val="auto"/>
                <w:kern w:val="0"/>
                <w:sz w:val="20"/>
                <w:szCs w:val="22"/>
                <w:highlight w:val="none"/>
              </w:rPr>
              <w:t>国家电投集团贵州金元股份有限公司</w:t>
            </w:r>
          </w:p>
        </w:tc>
      </w:tr>
    </w:tbl>
    <w:p>
      <w:pPr>
        <w:spacing w:line="360" w:lineRule="auto"/>
        <w:jc w:val="center"/>
        <w:rPr>
          <w:rFonts w:hint="eastAsia" w:ascii="宋体" w:hAnsi="宋体" w:cs="宋体"/>
          <w:b/>
          <w:bCs/>
          <w:color w:val="auto"/>
          <w:sz w:val="24"/>
          <w:szCs w:val="24"/>
          <w:highlight w:val="none"/>
        </w:rPr>
      </w:pPr>
    </w:p>
    <w:p>
      <w:pPr>
        <w:spacing w:line="360" w:lineRule="auto"/>
        <w:jc w:val="both"/>
        <w:rPr>
          <w:rFonts w:hint="eastAsia" w:ascii="宋体" w:hAnsi="宋体" w:cs="宋体"/>
          <w:b/>
          <w:bCs/>
          <w:color w:val="auto"/>
          <w:sz w:val="24"/>
          <w:szCs w:val="24"/>
          <w:highlight w:val="none"/>
        </w:rPr>
      </w:pPr>
    </w:p>
    <w:p>
      <w:pPr>
        <w:spacing w:line="360" w:lineRule="auto"/>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备查文件目录</w:t>
      </w:r>
    </w:p>
    <w:p>
      <w:pPr>
        <w:widowControl/>
        <w:jc w:val="left"/>
        <w:rPr>
          <w:rFonts w:hint="eastAsia" w:ascii="宋体" w:hAnsi="宋体" w:cs="宋体"/>
          <w:b/>
          <w:bCs/>
          <w:color w:val="auto"/>
          <w:highlight w:val="none"/>
        </w:rPr>
      </w:pPr>
    </w:p>
    <w:p>
      <w:pPr>
        <w:widowControl/>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一、载有法定代表人、主管会计工作负责人、会计机构负责人签名并盖章的财务报表。</w:t>
      </w:r>
    </w:p>
    <w:p>
      <w:pPr>
        <w:widowControl/>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二、有会计师事务所盖章、注册会计师签名并盖章的审计报告原件。</w:t>
      </w:r>
    </w:p>
    <w:p>
      <w:pPr>
        <w:widowControl/>
        <w:jc w:val="left"/>
        <w:rPr>
          <w:rFonts w:hint="eastAsia" w:ascii="宋体" w:hAnsi="宋体" w:cs="宋体"/>
          <w:color w:val="auto"/>
          <w:spacing w:val="-5"/>
          <w:highlight w:val="none"/>
        </w:rPr>
      </w:pPr>
    </w:p>
    <w:p>
      <w:pPr>
        <w:widowControl/>
        <w:jc w:val="left"/>
        <w:rPr>
          <w:rFonts w:hint="eastAsia"/>
          <w:color w:val="auto"/>
          <w:highlight w:val="none"/>
        </w:rPr>
      </w:pPr>
    </w:p>
    <w:p>
      <w:pPr>
        <w:widowControl/>
        <w:jc w:val="left"/>
        <w:rPr>
          <w:rFonts w:hint="eastAsia"/>
          <w:color w:val="auto"/>
          <w:highlight w:val="none"/>
        </w:rPr>
      </w:pPr>
    </w:p>
    <w:p>
      <w:pPr>
        <w:pStyle w:val="3"/>
        <w:numPr>
          <w:ilvl w:val="0"/>
          <w:numId w:val="0"/>
        </w:numPr>
        <w:spacing w:before="120" w:after="120"/>
        <w:rPr>
          <w:rFonts w:hint="eastAsia" w:ascii="黑体" w:hAnsi="黑体" w:eastAsia="黑体" w:cs="黑体"/>
          <w:b/>
          <w:bCs w:val="0"/>
          <w:color w:val="auto"/>
          <w:sz w:val="28"/>
          <w:szCs w:val="28"/>
          <w:highlight w:val="none"/>
        </w:rPr>
      </w:pPr>
      <w:bookmarkStart w:id="21" w:name="_Toc26875"/>
      <w:bookmarkStart w:id="22" w:name="_Toc18186"/>
      <w:bookmarkStart w:id="23" w:name="_Toc129711702"/>
      <w:bookmarkStart w:id="24" w:name="_Toc17152"/>
      <w:bookmarkStart w:id="25" w:name="_Toc11105"/>
      <w:r>
        <w:rPr>
          <w:rFonts w:hint="eastAsia" w:ascii="黑体" w:hAnsi="黑体" w:eastAsia="黑体" w:cs="黑体"/>
          <w:b/>
          <w:bCs w:val="0"/>
          <w:color w:val="auto"/>
          <w:sz w:val="28"/>
          <w:szCs w:val="28"/>
          <w:highlight w:val="none"/>
        </w:rPr>
        <w:t>第二节</w:t>
      </w:r>
      <w:r>
        <w:rPr>
          <w:rFonts w:hint="eastAsia" w:ascii="黑体" w:hAnsi="黑体" w:eastAsia="黑体" w:cs="黑体"/>
          <w:b/>
          <w:bCs w:val="0"/>
          <w:color w:val="auto"/>
          <w:sz w:val="28"/>
          <w:szCs w:val="28"/>
          <w:highlight w:val="none"/>
        </w:rPr>
        <w:tab/>
      </w:r>
      <w:bookmarkStart w:id="26" w:name="_Toc2937"/>
      <w:r>
        <w:rPr>
          <w:rFonts w:hint="eastAsia" w:ascii="黑体" w:hAnsi="黑体" w:eastAsia="黑体" w:cs="黑体"/>
          <w:b/>
          <w:bCs w:val="0"/>
          <w:color w:val="auto"/>
          <w:sz w:val="28"/>
          <w:szCs w:val="28"/>
          <w:highlight w:val="none"/>
        </w:rPr>
        <w:t>基本情况简介</w:t>
      </w:r>
      <w:bookmarkEnd w:id="21"/>
      <w:bookmarkEnd w:id="22"/>
      <w:bookmarkEnd w:id="23"/>
      <w:bookmarkEnd w:id="24"/>
      <w:bookmarkEnd w:id="25"/>
      <w:bookmarkEnd w:id="26"/>
    </w:p>
    <w:p>
      <w:pPr>
        <w:spacing w:line="360" w:lineRule="auto"/>
        <w:ind w:firstLine="482" w:firstLineChars="200"/>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一、基本信息</w:t>
      </w:r>
    </w:p>
    <w:tbl>
      <w:tblPr>
        <w:tblStyle w:val="22"/>
        <w:tblW w:w="0" w:type="auto"/>
        <w:tblInd w:w="1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55"/>
        <w:gridCol w:w="63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exact"/>
        </w:trPr>
        <w:tc>
          <w:tcPr>
            <w:tcW w:w="2155" w:type="dxa"/>
            <w:noWrap w:val="0"/>
            <w:vAlign w:val="center"/>
          </w:tcPr>
          <w:p>
            <w:pPr>
              <w:autoSpaceDE w:val="0"/>
              <w:autoSpaceDN w:val="0"/>
              <w:spacing w:line="360" w:lineRule="auto"/>
              <w:jc w:val="both"/>
              <w:rPr>
                <w:rFonts w:hint="eastAsia" w:ascii="宋体" w:hAnsi="宋体" w:cs="宋体"/>
                <w:color w:val="auto"/>
                <w:kern w:val="0"/>
                <w:sz w:val="20"/>
                <w:szCs w:val="20"/>
                <w:highlight w:val="none"/>
                <w:lang w:eastAsia="en-US"/>
              </w:rPr>
            </w:pPr>
            <w:r>
              <w:rPr>
                <w:rFonts w:hint="eastAsia" w:ascii="宋体" w:hAnsi="宋体" w:cs="宋体"/>
                <w:color w:val="auto"/>
                <w:kern w:val="0"/>
                <w:sz w:val="20"/>
                <w:szCs w:val="20"/>
                <w:highlight w:val="none"/>
                <w:lang w:eastAsia="en-US"/>
              </w:rPr>
              <w:t>法定中文名称</w:t>
            </w:r>
          </w:p>
        </w:tc>
        <w:tc>
          <w:tcPr>
            <w:tcW w:w="6367" w:type="dxa"/>
            <w:noWrap w:val="0"/>
            <w:vAlign w:val="center"/>
          </w:tcPr>
          <w:p>
            <w:pPr>
              <w:autoSpaceDE w:val="0"/>
              <w:autoSpaceDN w:val="0"/>
              <w:spacing w:line="360" w:lineRule="auto"/>
              <w:jc w:val="both"/>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国家电投集团贵州金元股份有限公司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7" w:hRule="exact"/>
        </w:trPr>
        <w:tc>
          <w:tcPr>
            <w:tcW w:w="2155" w:type="dxa"/>
            <w:noWrap w:val="0"/>
            <w:vAlign w:val="center"/>
          </w:tcPr>
          <w:p>
            <w:pPr>
              <w:autoSpaceDE w:val="0"/>
              <w:autoSpaceDN w:val="0"/>
              <w:spacing w:line="360" w:lineRule="auto"/>
              <w:jc w:val="both"/>
              <w:rPr>
                <w:rFonts w:hint="eastAsia" w:ascii="宋体" w:hAnsi="宋体" w:cs="宋体"/>
                <w:color w:val="auto"/>
                <w:kern w:val="0"/>
                <w:sz w:val="20"/>
                <w:szCs w:val="20"/>
                <w:highlight w:val="none"/>
                <w:lang w:eastAsia="en-US"/>
              </w:rPr>
            </w:pPr>
            <w:r>
              <w:rPr>
                <w:rFonts w:hint="eastAsia" w:ascii="宋体" w:hAnsi="宋体" w:cs="宋体"/>
                <w:color w:val="auto"/>
                <w:kern w:val="0"/>
                <w:sz w:val="20"/>
                <w:szCs w:val="20"/>
                <w:highlight w:val="none"/>
                <w:lang w:eastAsia="en-US"/>
              </w:rPr>
              <w:t>中文简称</w:t>
            </w:r>
          </w:p>
        </w:tc>
        <w:tc>
          <w:tcPr>
            <w:tcW w:w="6367" w:type="dxa"/>
            <w:noWrap w:val="0"/>
            <w:vAlign w:val="center"/>
          </w:tcPr>
          <w:p>
            <w:pPr>
              <w:autoSpaceDE w:val="0"/>
              <w:autoSpaceDN w:val="0"/>
              <w:spacing w:line="360" w:lineRule="auto"/>
              <w:jc w:val="both"/>
              <w:rPr>
                <w:rFonts w:hint="eastAsia" w:ascii="宋体" w:hAnsi="宋体" w:cs="宋体"/>
                <w:color w:val="auto"/>
                <w:kern w:val="0"/>
                <w:sz w:val="20"/>
                <w:szCs w:val="20"/>
                <w:highlight w:val="none"/>
                <w:lang w:eastAsia="en-US"/>
              </w:rPr>
            </w:pPr>
            <w:r>
              <w:rPr>
                <w:rFonts w:hint="eastAsia" w:ascii="宋体" w:hAnsi="宋体" w:cs="宋体"/>
                <w:color w:val="auto"/>
                <w:kern w:val="0"/>
                <w:sz w:val="20"/>
                <w:szCs w:val="20"/>
                <w:highlight w:val="none"/>
              </w:rPr>
              <w:t>贵州金元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exact"/>
        </w:trPr>
        <w:tc>
          <w:tcPr>
            <w:tcW w:w="2155" w:type="dxa"/>
            <w:vMerge w:val="restart"/>
            <w:noWrap w:val="0"/>
            <w:vAlign w:val="center"/>
          </w:tcPr>
          <w:p>
            <w:pPr>
              <w:autoSpaceDE w:val="0"/>
              <w:autoSpaceDN w:val="0"/>
              <w:spacing w:line="360" w:lineRule="auto"/>
              <w:jc w:val="both"/>
              <w:rPr>
                <w:rFonts w:hint="eastAsia" w:ascii="宋体" w:hAnsi="宋体" w:cs="宋体"/>
                <w:color w:val="auto"/>
                <w:kern w:val="0"/>
                <w:sz w:val="20"/>
                <w:szCs w:val="20"/>
                <w:highlight w:val="none"/>
                <w:lang w:eastAsia="en-US"/>
              </w:rPr>
            </w:pPr>
            <w:r>
              <w:rPr>
                <w:rFonts w:hint="eastAsia" w:ascii="宋体" w:hAnsi="宋体" w:cs="宋体"/>
                <w:color w:val="auto"/>
                <w:kern w:val="0"/>
                <w:sz w:val="20"/>
                <w:szCs w:val="20"/>
                <w:highlight w:val="none"/>
                <w:lang w:eastAsia="en-US"/>
              </w:rPr>
              <w:t>英文名称及缩写</w:t>
            </w:r>
          </w:p>
        </w:tc>
        <w:tc>
          <w:tcPr>
            <w:tcW w:w="6367" w:type="dxa"/>
            <w:noWrap w:val="0"/>
            <w:vAlign w:val="center"/>
          </w:tcPr>
          <w:p>
            <w:pPr>
              <w:autoSpaceDE w:val="0"/>
              <w:autoSpaceDN w:val="0"/>
              <w:spacing w:line="360" w:lineRule="auto"/>
              <w:jc w:val="both"/>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SPIC GUIZHOU JINYUAN CO.LTD.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7" w:hRule="exact"/>
        </w:trPr>
        <w:tc>
          <w:tcPr>
            <w:tcW w:w="2155" w:type="dxa"/>
            <w:vMerge w:val="continue"/>
            <w:noWrap w:val="0"/>
            <w:vAlign w:val="center"/>
          </w:tcPr>
          <w:p>
            <w:pPr>
              <w:autoSpaceDE w:val="0"/>
              <w:autoSpaceDN w:val="0"/>
              <w:spacing w:line="360" w:lineRule="auto"/>
              <w:jc w:val="both"/>
              <w:rPr>
                <w:rFonts w:hint="eastAsia" w:ascii="宋体" w:hAnsi="宋体" w:cs="宋体"/>
                <w:color w:val="auto"/>
                <w:kern w:val="0"/>
                <w:sz w:val="20"/>
                <w:szCs w:val="20"/>
                <w:highlight w:val="none"/>
                <w:lang w:eastAsia="en-US"/>
              </w:rPr>
            </w:pPr>
          </w:p>
        </w:tc>
        <w:tc>
          <w:tcPr>
            <w:tcW w:w="6367" w:type="dxa"/>
            <w:noWrap w:val="0"/>
            <w:vAlign w:val="center"/>
          </w:tcPr>
          <w:p>
            <w:pPr>
              <w:autoSpaceDE w:val="0"/>
              <w:autoSpaceDN w:val="0"/>
              <w:spacing w:line="360" w:lineRule="auto"/>
              <w:jc w:val="both"/>
              <w:rPr>
                <w:rFonts w:hint="eastAsia" w:ascii="宋体" w:hAnsi="宋体" w:cs="宋体"/>
                <w:color w:val="auto"/>
                <w:kern w:val="0"/>
                <w:sz w:val="20"/>
                <w:szCs w:val="20"/>
                <w:highlight w:val="none"/>
                <w:lang w:eastAsia="en-US"/>
              </w:rPr>
            </w:pPr>
            <w:r>
              <w:rPr>
                <w:rStyle w:val="26"/>
                <w:rFonts w:hint="eastAsia" w:ascii="宋体" w:hAnsi="宋体" w:cs="宋体"/>
                <w:color w:val="auto"/>
                <w:sz w:val="20"/>
                <w:szCs w:val="20"/>
                <w:highlight w:val="none"/>
              </w:rPr>
              <w:t>GZJY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3" w:hRule="exact"/>
        </w:trPr>
        <w:tc>
          <w:tcPr>
            <w:tcW w:w="2155" w:type="dxa"/>
            <w:noWrap w:val="0"/>
            <w:vAlign w:val="center"/>
          </w:tcPr>
          <w:p>
            <w:pPr>
              <w:autoSpaceDE w:val="0"/>
              <w:autoSpaceDN w:val="0"/>
              <w:spacing w:line="360" w:lineRule="auto"/>
              <w:jc w:val="both"/>
              <w:rPr>
                <w:rFonts w:hint="eastAsia" w:ascii="宋体" w:hAnsi="宋体" w:cs="宋体"/>
                <w:color w:val="auto"/>
                <w:kern w:val="0"/>
                <w:sz w:val="20"/>
                <w:szCs w:val="20"/>
                <w:highlight w:val="none"/>
                <w:lang w:eastAsia="en-US"/>
              </w:rPr>
            </w:pPr>
            <w:r>
              <w:rPr>
                <w:rFonts w:hint="eastAsia" w:ascii="宋体" w:hAnsi="宋体" w:cs="宋体"/>
                <w:color w:val="auto"/>
                <w:kern w:val="0"/>
                <w:sz w:val="20"/>
                <w:szCs w:val="20"/>
                <w:highlight w:val="none"/>
                <w:lang w:eastAsia="en-US"/>
              </w:rPr>
              <w:t>法定代表人</w:t>
            </w:r>
          </w:p>
        </w:tc>
        <w:tc>
          <w:tcPr>
            <w:tcW w:w="6367" w:type="dxa"/>
            <w:noWrap w:val="0"/>
            <w:vAlign w:val="center"/>
          </w:tcPr>
          <w:p>
            <w:pPr>
              <w:autoSpaceDE w:val="0"/>
              <w:autoSpaceDN w:val="0"/>
              <w:spacing w:line="360" w:lineRule="auto"/>
              <w:jc w:val="both"/>
              <w:rPr>
                <w:rFonts w:hint="eastAsia" w:ascii="宋体" w:hAnsi="宋体" w:cs="宋体"/>
                <w:color w:val="auto"/>
                <w:kern w:val="0"/>
                <w:sz w:val="20"/>
                <w:szCs w:val="20"/>
                <w:highlight w:val="none"/>
                <w:lang w:eastAsia="en-US"/>
              </w:rPr>
            </w:pPr>
            <w:r>
              <w:rPr>
                <w:rFonts w:hint="eastAsia" w:ascii="宋体" w:hAnsi="宋体" w:cs="宋体"/>
                <w:color w:val="auto"/>
                <w:kern w:val="0"/>
                <w:sz w:val="20"/>
                <w:szCs w:val="20"/>
                <w:highlight w:val="none"/>
                <w:lang w:eastAsia="en-US"/>
              </w:rPr>
              <w:t>朱绍纯</w:t>
            </w:r>
          </w:p>
        </w:tc>
      </w:tr>
    </w:tbl>
    <w:p>
      <w:pPr>
        <w:spacing w:line="360" w:lineRule="auto"/>
        <w:rPr>
          <w:rFonts w:hint="eastAsia" w:ascii="宋体" w:hAnsi="宋体" w:cs="宋体"/>
          <w:color w:val="auto"/>
          <w:sz w:val="24"/>
          <w:szCs w:val="24"/>
          <w:highlight w:val="none"/>
        </w:rPr>
      </w:pPr>
    </w:p>
    <w:p>
      <w:pPr>
        <w:spacing w:line="360" w:lineRule="auto"/>
        <w:ind w:firstLine="482" w:firstLineChars="200"/>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二、联系方式</w:t>
      </w:r>
    </w:p>
    <w:tbl>
      <w:tblPr>
        <w:tblStyle w:val="22"/>
        <w:tblW w:w="0" w:type="auto"/>
        <w:tblInd w:w="1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55"/>
        <w:gridCol w:w="63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exact"/>
        </w:trPr>
        <w:tc>
          <w:tcPr>
            <w:tcW w:w="2155" w:type="dxa"/>
            <w:noWrap w:val="0"/>
            <w:vAlign w:val="center"/>
          </w:tcPr>
          <w:p>
            <w:pPr>
              <w:autoSpaceDE w:val="0"/>
              <w:autoSpaceDN w:val="0"/>
              <w:spacing w:line="360" w:lineRule="auto"/>
              <w:rPr>
                <w:rFonts w:hint="eastAsia" w:ascii="宋体" w:hAnsi="宋体" w:cs="宋体"/>
                <w:color w:val="auto"/>
                <w:kern w:val="0"/>
                <w:sz w:val="20"/>
                <w:szCs w:val="20"/>
                <w:highlight w:val="none"/>
                <w:lang w:eastAsia="en-US"/>
              </w:rPr>
            </w:pPr>
            <w:r>
              <w:rPr>
                <w:rFonts w:hint="eastAsia" w:ascii="宋体" w:hAnsi="宋体" w:cs="宋体"/>
                <w:color w:val="auto"/>
                <w:kern w:val="0"/>
                <w:sz w:val="20"/>
                <w:szCs w:val="20"/>
                <w:highlight w:val="none"/>
                <w:lang w:eastAsia="en-US"/>
              </w:rPr>
              <w:t>董事会秘书</w:t>
            </w:r>
          </w:p>
        </w:tc>
        <w:tc>
          <w:tcPr>
            <w:tcW w:w="6367" w:type="dxa"/>
            <w:noWrap w:val="0"/>
            <w:vAlign w:val="center"/>
          </w:tcPr>
          <w:p>
            <w:pPr>
              <w:autoSpaceDE w:val="0"/>
              <w:autoSpaceDN w:val="0"/>
              <w:spacing w:line="360" w:lineRule="auto"/>
              <w:rPr>
                <w:rFonts w:hint="eastAsia" w:ascii="宋体" w:hAnsi="宋体" w:eastAsia="宋体" w:cs="宋体"/>
                <w:color w:val="auto"/>
                <w:kern w:val="0"/>
                <w:sz w:val="20"/>
                <w:szCs w:val="20"/>
                <w:highlight w:val="none"/>
                <w:lang w:eastAsia="zh-CN"/>
              </w:rPr>
            </w:pPr>
            <w:r>
              <w:rPr>
                <w:rFonts w:hint="eastAsia" w:ascii="宋体" w:hAnsi="宋体" w:cs="宋体"/>
                <w:color w:val="auto"/>
                <w:kern w:val="0"/>
                <w:sz w:val="20"/>
                <w:szCs w:val="20"/>
                <w:highlight w:val="none"/>
                <w:lang w:val="en-US" w:eastAsia="zh-CN"/>
              </w:rPr>
              <w:t>陈兴鹏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exact"/>
        </w:trPr>
        <w:tc>
          <w:tcPr>
            <w:tcW w:w="2155" w:type="dxa"/>
            <w:noWrap w:val="0"/>
            <w:vAlign w:val="center"/>
          </w:tcPr>
          <w:p>
            <w:pPr>
              <w:autoSpaceDE w:val="0"/>
              <w:autoSpaceDN w:val="0"/>
              <w:spacing w:line="360" w:lineRule="auto"/>
              <w:rPr>
                <w:rFonts w:hint="eastAsia" w:ascii="宋体" w:hAnsi="宋体" w:cs="宋体"/>
                <w:color w:val="auto"/>
                <w:kern w:val="0"/>
                <w:sz w:val="20"/>
                <w:szCs w:val="20"/>
                <w:highlight w:val="none"/>
                <w:lang w:eastAsia="en-US"/>
              </w:rPr>
            </w:pPr>
            <w:r>
              <w:rPr>
                <w:rFonts w:hint="eastAsia" w:ascii="宋体" w:hAnsi="宋体" w:cs="宋体"/>
                <w:color w:val="auto"/>
                <w:kern w:val="0"/>
                <w:sz w:val="20"/>
                <w:szCs w:val="20"/>
                <w:highlight w:val="none"/>
                <w:lang w:eastAsia="en-US"/>
              </w:rPr>
              <w:t>联系地址</w:t>
            </w:r>
          </w:p>
        </w:tc>
        <w:tc>
          <w:tcPr>
            <w:tcW w:w="6367" w:type="dxa"/>
            <w:noWrap w:val="0"/>
            <w:vAlign w:val="center"/>
          </w:tcPr>
          <w:p>
            <w:pPr>
              <w:autoSpaceDE w:val="0"/>
              <w:autoSpaceDN w:val="0"/>
              <w:spacing w:line="360" w:lineRule="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贵州省贵阳市观山湖区金阳北路 296 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7" w:hRule="exact"/>
        </w:trPr>
        <w:tc>
          <w:tcPr>
            <w:tcW w:w="2155" w:type="dxa"/>
            <w:noWrap w:val="0"/>
            <w:vAlign w:val="center"/>
          </w:tcPr>
          <w:p>
            <w:pPr>
              <w:autoSpaceDE w:val="0"/>
              <w:autoSpaceDN w:val="0"/>
              <w:spacing w:line="360" w:lineRule="auto"/>
              <w:rPr>
                <w:rFonts w:hint="eastAsia" w:ascii="宋体" w:hAnsi="宋体" w:cs="宋体"/>
                <w:color w:val="auto"/>
                <w:kern w:val="0"/>
                <w:sz w:val="20"/>
                <w:szCs w:val="20"/>
                <w:highlight w:val="none"/>
                <w:lang w:eastAsia="en-US"/>
              </w:rPr>
            </w:pPr>
            <w:r>
              <w:rPr>
                <w:rFonts w:hint="eastAsia" w:ascii="宋体" w:hAnsi="宋体" w:cs="宋体"/>
                <w:color w:val="auto"/>
                <w:kern w:val="0"/>
                <w:sz w:val="20"/>
                <w:szCs w:val="20"/>
                <w:highlight w:val="none"/>
                <w:lang w:eastAsia="en-US"/>
              </w:rPr>
              <w:t>本公司网站</w:t>
            </w:r>
          </w:p>
        </w:tc>
        <w:tc>
          <w:tcPr>
            <w:tcW w:w="6367" w:type="dxa"/>
            <w:noWrap w:val="0"/>
            <w:vAlign w:val="center"/>
          </w:tcPr>
          <w:p>
            <w:pPr>
              <w:autoSpaceDE w:val="0"/>
              <w:autoSpaceDN w:val="0"/>
              <w:spacing w:line="360" w:lineRule="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http://www.gzjyjt.cn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 w:hRule="exact"/>
        </w:trPr>
        <w:tc>
          <w:tcPr>
            <w:tcW w:w="2155" w:type="dxa"/>
            <w:noWrap w:val="0"/>
            <w:vAlign w:val="center"/>
          </w:tcPr>
          <w:p>
            <w:pPr>
              <w:autoSpaceDE w:val="0"/>
              <w:autoSpaceDN w:val="0"/>
              <w:spacing w:line="360" w:lineRule="auto"/>
              <w:rPr>
                <w:rFonts w:hint="eastAsia" w:ascii="宋体" w:hAnsi="宋体" w:cs="宋体"/>
                <w:color w:val="auto"/>
                <w:kern w:val="0"/>
                <w:sz w:val="20"/>
                <w:szCs w:val="20"/>
                <w:highlight w:val="none"/>
                <w:lang w:eastAsia="en-US"/>
              </w:rPr>
            </w:pPr>
            <w:r>
              <w:rPr>
                <w:rFonts w:hint="eastAsia" w:ascii="宋体" w:hAnsi="宋体" w:cs="宋体"/>
                <w:color w:val="auto"/>
                <w:kern w:val="0"/>
                <w:sz w:val="20"/>
                <w:szCs w:val="20"/>
                <w:highlight w:val="none"/>
              </w:rPr>
              <w:t>联系</w:t>
            </w:r>
            <w:r>
              <w:rPr>
                <w:rFonts w:hint="eastAsia" w:ascii="宋体" w:hAnsi="宋体" w:cs="宋体"/>
                <w:color w:val="auto"/>
                <w:kern w:val="0"/>
                <w:sz w:val="20"/>
                <w:szCs w:val="20"/>
                <w:highlight w:val="none"/>
                <w:lang w:eastAsia="en-US"/>
              </w:rPr>
              <w:t>电话</w:t>
            </w:r>
          </w:p>
        </w:tc>
        <w:tc>
          <w:tcPr>
            <w:tcW w:w="6367" w:type="dxa"/>
            <w:noWrap w:val="0"/>
            <w:vAlign w:val="center"/>
          </w:tcPr>
          <w:p>
            <w:pPr>
              <w:autoSpaceDE w:val="0"/>
              <w:autoSpaceDN w:val="0"/>
              <w:spacing w:line="360" w:lineRule="auto"/>
              <w:rPr>
                <w:rFonts w:hint="default"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lang w:eastAsia="en-US"/>
              </w:rPr>
              <w:t>0851-86992</w:t>
            </w:r>
            <w:r>
              <w:rPr>
                <w:rFonts w:hint="eastAsia" w:ascii="宋体" w:hAnsi="宋体" w:cs="宋体"/>
                <w:color w:val="auto"/>
                <w:kern w:val="0"/>
                <w:sz w:val="20"/>
                <w:szCs w:val="20"/>
                <w:highlight w:val="none"/>
                <w:lang w:val="en-US" w:eastAsia="zh-CN"/>
              </w:rPr>
              <w:t>588</w:t>
            </w:r>
          </w:p>
        </w:tc>
      </w:tr>
    </w:tbl>
    <w:p>
      <w:pPr>
        <w:spacing w:line="360" w:lineRule="auto"/>
        <w:rPr>
          <w:rFonts w:hint="eastAsia" w:ascii="宋体" w:hAnsi="宋体" w:cs="宋体"/>
          <w:color w:val="auto"/>
          <w:sz w:val="24"/>
          <w:szCs w:val="24"/>
          <w:highlight w:val="none"/>
        </w:rPr>
      </w:pPr>
    </w:p>
    <w:p>
      <w:pPr>
        <w:spacing w:line="360" w:lineRule="auto"/>
        <w:ind w:firstLine="482" w:firstLineChars="200"/>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三、企业信息</w:t>
      </w:r>
    </w:p>
    <w:tbl>
      <w:tblPr>
        <w:tblStyle w:val="22"/>
        <w:tblW w:w="8522" w:type="dxa"/>
        <w:tblInd w:w="1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67"/>
        <w:gridCol w:w="63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exact"/>
        </w:trPr>
        <w:tc>
          <w:tcPr>
            <w:tcW w:w="2167" w:type="dxa"/>
            <w:noWrap w:val="0"/>
            <w:vAlign w:val="center"/>
          </w:tcPr>
          <w:p>
            <w:pPr>
              <w:autoSpaceDE w:val="0"/>
              <w:autoSpaceDN w:val="0"/>
              <w:spacing w:line="360" w:lineRule="auto"/>
              <w:rPr>
                <w:rFonts w:hint="eastAsia" w:ascii="宋体" w:hAnsi="宋体" w:cs="宋体"/>
                <w:color w:val="auto"/>
                <w:kern w:val="0"/>
                <w:highlight w:val="none"/>
                <w:lang w:eastAsia="en-US"/>
              </w:rPr>
            </w:pPr>
            <w:r>
              <w:rPr>
                <w:rFonts w:hint="eastAsia" w:ascii="宋体" w:hAnsi="宋体" w:cs="宋体"/>
                <w:color w:val="auto"/>
                <w:kern w:val="0"/>
                <w:highlight w:val="none"/>
                <w:lang w:eastAsia="en-US"/>
              </w:rPr>
              <w:t>有限公司成立时间</w:t>
            </w:r>
          </w:p>
        </w:tc>
        <w:tc>
          <w:tcPr>
            <w:tcW w:w="6355" w:type="dxa"/>
            <w:noWrap w:val="0"/>
            <w:vAlign w:val="center"/>
          </w:tcPr>
          <w:p>
            <w:pPr>
              <w:autoSpaceDE w:val="0"/>
              <w:autoSpaceDN w:val="0"/>
              <w:spacing w:line="360" w:lineRule="auto"/>
              <w:rPr>
                <w:rFonts w:hint="eastAsia" w:ascii="宋体" w:hAnsi="宋体" w:cs="宋体"/>
                <w:color w:val="auto"/>
                <w:kern w:val="0"/>
                <w:highlight w:val="none"/>
                <w:lang w:eastAsia="en-US"/>
              </w:rPr>
            </w:pPr>
            <w:r>
              <w:rPr>
                <w:rFonts w:hint="eastAsia" w:ascii="宋体" w:hAnsi="宋体" w:cs="宋体"/>
                <w:color w:val="auto"/>
                <w:kern w:val="0"/>
                <w:highlight w:val="none"/>
                <w:lang w:eastAsia="en-US"/>
              </w:rPr>
              <w:t>2000 年 11 月 6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2" w:hRule="exact"/>
        </w:trPr>
        <w:tc>
          <w:tcPr>
            <w:tcW w:w="2167" w:type="dxa"/>
            <w:noWrap w:val="0"/>
            <w:vAlign w:val="center"/>
          </w:tcPr>
          <w:p>
            <w:pPr>
              <w:autoSpaceDE w:val="0"/>
              <w:autoSpaceDN w:val="0"/>
              <w:spacing w:line="360" w:lineRule="auto"/>
              <w:rPr>
                <w:rFonts w:hint="eastAsia" w:ascii="宋体" w:hAnsi="宋体" w:cs="宋体"/>
                <w:color w:val="auto"/>
                <w:kern w:val="0"/>
                <w:highlight w:val="none"/>
                <w:lang w:eastAsia="en-US"/>
              </w:rPr>
            </w:pPr>
            <w:r>
              <w:rPr>
                <w:rFonts w:hint="eastAsia" w:ascii="宋体" w:hAnsi="宋体" w:cs="宋体"/>
                <w:color w:val="auto"/>
                <w:kern w:val="0"/>
                <w:highlight w:val="none"/>
                <w:lang w:eastAsia="en-US"/>
              </w:rPr>
              <w:t>股份公司成立时间</w:t>
            </w:r>
          </w:p>
        </w:tc>
        <w:tc>
          <w:tcPr>
            <w:tcW w:w="6355" w:type="dxa"/>
            <w:noWrap w:val="0"/>
            <w:vAlign w:val="center"/>
          </w:tcPr>
          <w:p>
            <w:pPr>
              <w:autoSpaceDE w:val="0"/>
              <w:autoSpaceDN w:val="0"/>
              <w:spacing w:line="360" w:lineRule="auto"/>
              <w:rPr>
                <w:rFonts w:hint="eastAsia" w:ascii="宋体" w:hAnsi="宋体" w:cs="宋体"/>
                <w:color w:val="auto"/>
                <w:kern w:val="0"/>
                <w:highlight w:val="none"/>
                <w:lang w:eastAsia="en-US"/>
              </w:rPr>
            </w:pPr>
            <w:r>
              <w:rPr>
                <w:rFonts w:hint="eastAsia" w:ascii="宋体" w:hAnsi="宋体" w:cs="宋体"/>
                <w:color w:val="auto"/>
                <w:kern w:val="0"/>
                <w:highlight w:val="none"/>
                <w:lang w:eastAsia="en-US"/>
              </w:rPr>
              <w:t>2002 年 7 月 29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7" w:hRule="exact"/>
        </w:trPr>
        <w:tc>
          <w:tcPr>
            <w:tcW w:w="2167" w:type="dxa"/>
            <w:noWrap w:val="0"/>
            <w:vAlign w:val="center"/>
          </w:tcPr>
          <w:p>
            <w:pPr>
              <w:autoSpaceDE w:val="0"/>
              <w:autoSpaceDN w:val="0"/>
              <w:spacing w:line="360" w:lineRule="auto"/>
              <w:rPr>
                <w:rFonts w:hint="eastAsia" w:ascii="宋体" w:hAnsi="宋体" w:cs="宋体"/>
                <w:color w:val="auto"/>
                <w:kern w:val="0"/>
                <w:highlight w:val="none"/>
                <w:lang w:eastAsia="en-US"/>
              </w:rPr>
            </w:pPr>
            <w:r>
              <w:rPr>
                <w:rFonts w:hint="eastAsia" w:ascii="宋体" w:hAnsi="宋体" w:cs="宋体"/>
                <w:color w:val="auto"/>
                <w:kern w:val="0"/>
                <w:highlight w:val="none"/>
                <w:lang w:eastAsia="en-US"/>
              </w:rPr>
              <w:t>注册登记地点</w:t>
            </w:r>
          </w:p>
        </w:tc>
        <w:tc>
          <w:tcPr>
            <w:tcW w:w="6355" w:type="dxa"/>
            <w:noWrap w:val="0"/>
            <w:vAlign w:val="center"/>
          </w:tcPr>
          <w:p>
            <w:pPr>
              <w:autoSpaceDE w:val="0"/>
              <w:autoSpaceDN w:val="0"/>
              <w:spacing w:line="360" w:lineRule="auto"/>
              <w:rPr>
                <w:rFonts w:hint="eastAsia" w:ascii="宋体" w:hAnsi="宋体" w:cs="宋体"/>
                <w:color w:val="auto"/>
                <w:kern w:val="0"/>
                <w:highlight w:val="none"/>
              </w:rPr>
            </w:pPr>
            <w:r>
              <w:rPr>
                <w:rFonts w:hint="eastAsia" w:ascii="宋体" w:hAnsi="宋体" w:cs="宋体"/>
                <w:color w:val="auto"/>
                <w:kern w:val="0"/>
                <w:highlight w:val="none"/>
              </w:rPr>
              <w:t>贵州省贵阳市观山湖区金阳北路296号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exact"/>
        </w:trPr>
        <w:tc>
          <w:tcPr>
            <w:tcW w:w="2167" w:type="dxa"/>
            <w:noWrap w:val="0"/>
            <w:vAlign w:val="center"/>
          </w:tcPr>
          <w:p>
            <w:pPr>
              <w:autoSpaceDE w:val="0"/>
              <w:autoSpaceDN w:val="0"/>
              <w:spacing w:line="360" w:lineRule="auto"/>
              <w:rPr>
                <w:rFonts w:hint="eastAsia" w:ascii="宋体" w:hAnsi="宋体" w:cs="宋体"/>
                <w:color w:val="auto"/>
                <w:kern w:val="0"/>
                <w:highlight w:val="none"/>
                <w:lang w:eastAsia="en-US"/>
              </w:rPr>
            </w:pPr>
            <w:r>
              <w:rPr>
                <w:rFonts w:hint="eastAsia" w:ascii="宋体" w:hAnsi="宋体" w:cs="宋体"/>
                <w:color w:val="auto"/>
                <w:kern w:val="0"/>
                <w:highlight w:val="none"/>
                <w:lang w:eastAsia="en-US"/>
              </w:rPr>
              <w:t>统一社会信用代码</w:t>
            </w:r>
          </w:p>
        </w:tc>
        <w:tc>
          <w:tcPr>
            <w:tcW w:w="6355" w:type="dxa"/>
            <w:noWrap w:val="0"/>
            <w:vAlign w:val="center"/>
          </w:tcPr>
          <w:p>
            <w:pPr>
              <w:autoSpaceDE w:val="0"/>
              <w:autoSpaceDN w:val="0"/>
              <w:spacing w:line="360" w:lineRule="auto"/>
              <w:rPr>
                <w:rFonts w:hint="eastAsia" w:ascii="宋体" w:hAnsi="宋体" w:cs="宋体"/>
                <w:color w:val="auto"/>
                <w:kern w:val="0"/>
                <w:highlight w:val="none"/>
                <w:lang w:eastAsia="en-US"/>
              </w:rPr>
            </w:pPr>
            <w:r>
              <w:rPr>
                <w:rFonts w:hint="eastAsia" w:ascii="宋体" w:hAnsi="宋体" w:cs="宋体"/>
                <w:color w:val="auto"/>
                <w:kern w:val="0"/>
                <w:highlight w:val="none"/>
                <w:lang w:eastAsia="en-US"/>
              </w:rPr>
              <w:t>91520000722102789A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exact"/>
        </w:trPr>
        <w:tc>
          <w:tcPr>
            <w:tcW w:w="2167" w:type="dxa"/>
            <w:noWrap w:val="0"/>
            <w:vAlign w:val="center"/>
          </w:tcPr>
          <w:p>
            <w:pPr>
              <w:autoSpaceDE w:val="0"/>
              <w:autoSpaceDN w:val="0"/>
              <w:spacing w:line="360" w:lineRule="auto"/>
              <w:jc w:val="both"/>
              <w:rPr>
                <w:rFonts w:hint="eastAsia" w:ascii="宋体" w:hAnsi="宋体" w:cs="宋体"/>
                <w:color w:val="auto"/>
                <w:kern w:val="0"/>
                <w:highlight w:val="none"/>
                <w:lang w:eastAsia="en-US"/>
              </w:rPr>
            </w:pPr>
            <w:r>
              <w:rPr>
                <w:rFonts w:hint="eastAsia" w:ascii="宋体" w:hAnsi="宋体" w:cs="宋体"/>
                <w:color w:val="auto"/>
                <w:kern w:val="0"/>
                <w:highlight w:val="none"/>
                <w:lang w:eastAsia="en-US"/>
              </w:rPr>
              <w:t>控股股东</w:t>
            </w:r>
          </w:p>
        </w:tc>
        <w:tc>
          <w:tcPr>
            <w:tcW w:w="6355" w:type="dxa"/>
            <w:noWrap w:val="0"/>
            <w:vAlign w:val="center"/>
          </w:tcPr>
          <w:p>
            <w:pPr>
              <w:autoSpaceDE w:val="0"/>
              <w:autoSpaceDN w:val="0"/>
              <w:spacing w:line="360" w:lineRule="auto"/>
              <w:jc w:val="both"/>
              <w:rPr>
                <w:rFonts w:hint="eastAsia" w:ascii="宋体" w:hAnsi="宋体" w:cs="宋体"/>
                <w:color w:val="auto"/>
                <w:kern w:val="0"/>
                <w:highlight w:val="none"/>
              </w:rPr>
            </w:pPr>
            <w:r>
              <w:rPr>
                <w:rFonts w:hint="eastAsia" w:ascii="宋体" w:hAnsi="宋体" w:cs="宋体"/>
                <w:color w:val="auto"/>
                <w:kern w:val="0"/>
                <w:highlight w:val="none"/>
              </w:rPr>
              <w:t>国家电力投资集团有限公司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exact"/>
        </w:trPr>
        <w:tc>
          <w:tcPr>
            <w:tcW w:w="2167" w:type="dxa"/>
            <w:noWrap w:val="0"/>
            <w:vAlign w:val="center"/>
          </w:tcPr>
          <w:p>
            <w:pPr>
              <w:autoSpaceDE w:val="0"/>
              <w:autoSpaceDN w:val="0"/>
              <w:spacing w:line="360" w:lineRule="auto"/>
              <w:rPr>
                <w:rFonts w:hint="eastAsia" w:ascii="宋体" w:hAnsi="宋体" w:cs="宋体"/>
                <w:color w:val="auto"/>
                <w:kern w:val="0"/>
                <w:highlight w:val="none"/>
              </w:rPr>
            </w:pPr>
            <w:r>
              <w:rPr>
                <w:rFonts w:hint="eastAsia" w:ascii="宋体" w:hAnsi="宋体" w:cs="宋体"/>
                <w:color w:val="auto"/>
                <w:kern w:val="0"/>
                <w:highlight w:val="none"/>
                <w:lang w:eastAsia="en-US"/>
              </w:rPr>
              <w:t>实际控制人及其一致行动人</w:t>
            </w:r>
          </w:p>
        </w:tc>
        <w:tc>
          <w:tcPr>
            <w:tcW w:w="6355" w:type="dxa"/>
            <w:noWrap w:val="0"/>
            <w:vAlign w:val="center"/>
          </w:tcPr>
          <w:p>
            <w:pPr>
              <w:autoSpaceDE w:val="0"/>
              <w:autoSpaceDN w:val="0"/>
              <w:spacing w:line="360" w:lineRule="auto"/>
              <w:rPr>
                <w:rFonts w:hint="eastAsia" w:ascii="宋体" w:hAnsi="宋体" w:cs="宋体"/>
                <w:color w:val="auto"/>
                <w:kern w:val="0"/>
                <w:highlight w:val="none"/>
              </w:rPr>
            </w:pPr>
            <w:r>
              <w:rPr>
                <w:rFonts w:hint="eastAsia"/>
                <w:color w:val="auto"/>
                <w:highlight w:val="none"/>
              </w:rPr>
              <w:t>国务院国有资产监督管理委员会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5" w:hRule="exact"/>
        </w:trPr>
        <w:tc>
          <w:tcPr>
            <w:tcW w:w="2167" w:type="dxa"/>
            <w:noWrap w:val="0"/>
            <w:vAlign w:val="center"/>
          </w:tcPr>
          <w:p>
            <w:pPr>
              <w:autoSpaceDE w:val="0"/>
              <w:autoSpaceDN w:val="0"/>
              <w:spacing w:line="360" w:lineRule="auto"/>
              <w:rPr>
                <w:rFonts w:hint="eastAsia" w:ascii="宋体" w:hAnsi="宋体" w:cs="宋体"/>
                <w:color w:val="auto"/>
                <w:kern w:val="0"/>
                <w:highlight w:val="none"/>
                <w:lang w:eastAsia="en-US"/>
              </w:rPr>
            </w:pPr>
            <w:r>
              <w:rPr>
                <w:rFonts w:hint="eastAsia" w:ascii="宋体" w:hAnsi="宋体" w:cs="宋体"/>
                <w:color w:val="auto"/>
                <w:kern w:val="0"/>
                <w:highlight w:val="none"/>
                <w:lang w:eastAsia="en-US"/>
              </w:rPr>
              <w:t>主要业务</w:t>
            </w:r>
          </w:p>
        </w:tc>
        <w:tc>
          <w:tcPr>
            <w:tcW w:w="6355" w:type="dxa"/>
            <w:noWrap w:val="0"/>
            <w:vAlign w:val="center"/>
          </w:tcPr>
          <w:p>
            <w:pPr>
              <w:autoSpaceDE w:val="0"/>
              <w:autoSpaceDN w:val="0"/>
              <w:spacing w:line="360" w:lineRule="auto"/>
              <w:rPr>
                <w:rFonts w:hint="eastAsia" w:ascii="宋体" w:hAnsi="宋体" w:cs="宋体"/>
                <w:color w:val="auto"/>
                <w:kern w:val="0"/>
                <w:highlight w:val="none"/>
              </w:rPr>
            </w:pPr>
            <w:r>
              <w:rPr>
                <w:rFonts w:hint="eastAsia" w:ascii="宋体" w:hAnsi="宋体" w:cs="宋体"/>
                <w:color w:val="auto"/>
                <w:kern w:val="0"/>
                <w:highlight w:val="none"/>
              </w:rPr>
              <w:t>公司主要业务为火电、水电、新能源发电、煤炭开采及销售，同时涉及综合智慧能源、绿色交通服务、电站服务业和物业管理等产业。</w:t>
            </w:r>
          </w:p>
        </w:tc>
      </w:tr>
    </w:tbl>
    <w:p>
      <w:pPr>
        <w:rPr>
          <w:rFonts w:hint="eastAsia" w:ascii="宋体" w:hAnsi="宋体" w:cs="宋体"/>
          <w:color w:val="auto"/>
          <w:sz w:val="24"/>
          <w:szCs w:val="24"/>
          <w:highlight w:val="none"/>
        </w:rPr>
      </w:pPr>
    </w:p>
    <w:p>
      <w:pPr>
        <w:widowControl/>
        <w:jc w:val="left"/>
        <w:rPr>
          <w:rFonts w:hint="eastAsia" w:ascii="宋体" w:hAnsi="宋体" w:cs="宋体"/>
          <w:b/>
          <w:bCs/>
          <w:color w:val="auto"/>
          <w:sz w:val="24"/>
          <w:szCs w:val="24"/>
          <w:highlight w:val="none"/>
        </w:rPr>
      </w:pPr>
      <w:bookmarkStart w:id="27" w:name="_Toc129711703"/>
    </w:p>
    <w:p>
      <w:pPr>
        <w:widowControl/>
        <w:jc w:val="left"/>
        <w:rPr>
          <w:rFonts w:hint="eastAsia" w:ascii="黑体" w:hAnsi="黑体" w:eastAsia="黑体" w:cs="黑体"/>
          <w:b/>
          <w:bCs w:val="0"/>
          <w:color w:val="auto"/>
          <w:kern w:val="0"/>
          <w:sz w:val="28"/>
          <w:szCs w:val="28"/>
          <w:highlight w:val="none"/>
          <w:lang w:bidi="ar-SA"/>
        </w:rPr>
      </w:pPr>
    </w:p>
    <w:p>
      <w:pPr>
        <w:spacing w:line="360" w:lineRule="auto"/>
        <w:jc w:val="center"/>
        <w:outlineLvl w:val="0"/>
        <w:rPr>
          <w:rFonts w:hint="eastAsia" w:ascii="黑体" w:hAnsi="黑体" w:eastAsia="黑体" w:cs="黑体"/>
          <w:b/>
          <w:bCs w:val="0"/>
          <w:color w:val="auto"/>
          <w:kern w:val="0"/>
          <w:sz w:val="28"/>
          <w:szCs w:val="28"/>
          <w:highlight w:val="none"/>
          <w:lang w:val="en-US" w:eastAsia="zh-CN" w:bidi="ar-SA"/>
        </w:rPr>
      </w:pPr>
      <w:bookmarkStart w:id="28" w:name="_Toc16334"/>
      <w:bookmarkStart w:id="29" w:name="_Toc7613"/>
      <w:bookmarkStart w:id="30" w:name="_Toc9683"/>
      <w:bookmarkStart w:id="31" w:name="_Toc19457"/>
      <w:bookmarkStart w:id="32" w:name="_Toc10014"/>
      <w:r>
        <w:rPr>
          <w:rFonts w:hint="eastAsia" w:ascii="黑体" w:hAnsi="黑体" w:eastAsia="黑体" w:cs="黑体"/>
          <w:b/>
          <w:bCs w:val="0"/>
          <w:color w:val="auto"/>
          <w:kern w:val="0"/>
          <w:sz w:val="28"/>
          <w:szCs w:val="28"/>
          <w:highlight w:val="none"/>
          <w:lang w:bidi="ar-SA"/>
        </w:rPr>
        <w:t>第三节 会计数据、经营情况和管理层分析</w:t>
      </w:r>
      <w:bookmarkEnd w:id="27"/>
      <w:bookmarkEnd w:id="28"/>
      <w:bookmarkEnd w:id="29"/>
      <w:bookmarkEnd w:id="30"/>
      <w:bookmarkEnd w:id="31"/>
      <w:bookmarkEnd w:id="32"/>
    </w:p>
    <w:p>
      <w:pPr>
        <w:spacing w:line="360" w:lineRule="auto"/>
        <w:ind w:firstLine="482" w:firstLineChars="200"/>
        <w:rPr>
          <w:rFonts w:hint="eastAsia" w:ascii="宋体" w:hAnsi="宋体" w:cs="宋体"/>
          <w:b/>
          <w:bCs/>
          <w:color w:val="auto"/>
          <w:sz w:val="24"/>
          <w:szCs w:val="24"/>
          <w:highlight w:val="none"/>
        </w:rPr>
      </w:pPr>
      <w:bookmarkStart w:id="33" w:name="_Toc129711704"/>
      <w:r>
        <w:rPr>
          <w:rFonts w:hint="eastAsia" w:ascii="宋体" w:hAnsi="宋体" w:cs="宋体"/>
          <w:b/>
          <w:bCs/>
          <w:color w:val="auto"/>
          <w:sz w:val="24"/>
          <w:szCs w:val="24"/>
          <w:highlight w:val="none"/>
        </w:rPr>
        <w:t>一、主要会计数据和财务指标</w:t>
      </w:r>
    </w:p>
    <w:p>
      <w:pPr>
        <w:spacing w:line="360" w:lineRule="auto"/>
        <w:ind w:firstLine="482" w:firstLineChars="20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盈利能力</w:t>
      </w:r>
    </w:p>
    <w:tbl>
      <w:tblPr>
        <w:tblStyle w:val="2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573"/>
        <w:gridCol w:w="1918"/>
        <w:gridCol w:w="1928"/>
        <w:gridCol w:w="19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542" w:type="pct"/>
            <w:tcBorders>
              <w:top w:val="nil"/>
              <w:left w:val="nil"/>
              <w:bottom w:val="single" w:color="auto"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auto"/>
                <w:sz w:val="20"/>
                <w:szCs w:val="20"/>
                <w:highlight w:val="none"/>
                <w:u w:val="none"/>
              </w:rPr>
            </w:pPr>
          </w:p>
        </w:tc>
        <w:tc>
          <w:tcPr>
            <w:tcW w:w="1149" w:type="pct"/>
            <w:tcBorders>
              <w:top w:val="nil"/>
              <w:left w:val="nil"/>
              <w:bottom w:val="single" w:color="auto"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auto"/>
                <w:sz w:val="20"/>
                <w:szCs w:val="20"/>
                <w:highlight w:val="none"/>
                <w:u w:val="none"/>
              </w:rPr>
            </w:pPr>
          </w:p>
        </w:tc>
        <w:tc>
          <w:tcPr>
            <w:tcW w:w="1155" w:type="pct"/>
            <w:tcBorders>
              <w:top w:val="nil"/>
              <w:left w:val="nil"/>
              <w:bottom w:val="single" w:color="auto"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auto"/>
                <w:sz w:val="20"/>
                <w:szCs w:val="20"/>
                <w:highlight w:val="none"/>
                <w:u w:val="none"/>
              </w:rPr>
            </w:pPr>
          </w:p>
        </w:tc>
        <w:tc>
          <w:tcPr>
            <w:tcW w:w="1151" w:type="pct"/>
            <w:tcBorders>
              <w:top w:val="nil"/>
              <w:left w:val="nil"/>
              <w:bottom w:val="single" w:color="auto" w:sz="4" w:space="0"/>
              <w:right w:val="nil"/>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单位：元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54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rPr>
                <w:rFonts w:hint="eastAsia" w:ascii="宋体" w:hAnsi="宋体" w:eastAsia="宋体" w:cs="宋体"/>
                <w:i w:val="0"/>
                <w:color w:val="auto"/>
                <w:sz w:val="20"/>
                <w:szCs w:val="20"/>
                <w:highlight w:val="none"/>
                <w:u w:val="none"/>
              </w:rPr>
            </w:pPr>
          </w:p>
        </w:tc>
        <w:tc>
          <w:tcPr>
            <w:tcW w:w="114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本期</w:t>
            </w:r>
          </w:p>
        </w:tc>
        <w:tc>
          <w:tcPr>
            <w:tcW w:w="115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上年同期</w:t>
            </w:r>
          </w:p>
        </w:tc>
        <w:tc>
          <w:tcPr>
            <w:tcW w:w="115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增减变动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154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营业收入</w:t>
            </w:r>
          </w:p>
        </w:tc>
        <w:tc>
          <w:tcPr>
            <w:tcW w:w="114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right"/>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16,321,005,879.66</w:t>
            </w:r>
          </w:p>
        </w:tc>
        <w:tc>
          <w:tcPr>
            <w:tcW w:w="115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right"/>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17,221,240,926.74</w:t>
            </w:r>
          </w:p>
        </w:tc>
        <w:tc>
          <w:tcPr>
            <w:tcW w:w="115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right"/>
              <w:textAlignment w:val="top"/>
              <w:rPr>
                <w:rFonts w:hint="eastAsia" w:ascii="宋体" w:hAnsi="宋体" w:eastAsia="宋体" w:cs="宋体"/>
                <w:i w:val="0"/>
                <w:color w:val="auto"/>
                <w:sz w:val="20"/>
                <w:szCs w:val="20"/>
                <w:highlight w:val="none"/>
                <w:u w:val="none"/>
              </w:rPr>
            </w:pPr>
            <w:r>
              <w:rPr>
                <w:rFonts w:hint="eastAsia" w:ascii="宋体" w:hAnsi="宋体" w:cs="宋体"/>
                <w:i w:val="0"/>
                <w:color w:val="auto"/>
                <w:kern w:val="0"/>
                <w:sz w:val="20"/>
                <w:szCs w:val="20"/>
                <w:highlight w:val="none"/>
                <w:u w:val="none"/>
                <w:lang w:val="en-US" w:eastAsia="zh-CN" w:bidi="ar"/>
              </w:rPr>
              <w:t>-5.23</w:t>
            </w:r>
            <w:r>
              <w:rPr>
                <w:rFonts w:hint="eastAsia" w:ascii="宋体" w:hAnsi="宋体" w:eastAsia="宋体" w:cs="宋体"/>
                <w:i w:val="0"/>
                <w:color w:val="auto"/>
                <w:kern w:val="0"/>
                <w:sz w:val="20"/>
                <w:szCs w:val="20"/>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54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毛利率</w:t>
            </w:r>
          </w:p>
        </w:tc>
        <w:tc>
          <w:tcPr>
            <w:tcW w:w="114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right"/>
              <w:textAlignment w:val="top"/>
              <w:rPr>
                <w:rFonts w:hint="eastAsia" w:ascii="宋体" w:hAnsi="宋体" w:eastAsia="宋体" w:cs="宋体"/>
                <w:i w:val="0"/>
                <w:color w:val="auto"/>
                <w:sz w:val="20"/>
                <w:szCs w:val="20"/>
                <w:highlight w:val="none"/>
                <w:u w:val="none"/>
              </w:rPr>
            </w:pPr>
            <w:r>
              <w:rPr>
                <w:rFonts w:hint="eastAsia" w:ascii="宋体" w:hAnsi="宋体" w:cs="宋体"/>
                <w:i w:val="0"/>
                <w:color w:val="auto"/>
                <w:kern w:val="0"/>
                <w:sz w:val="20"/>
                <w:szCs w:val="20"/>
                <w:highlight w:val="none"/>
                <w:u w:val="none"/>
                <w:lang w:val="en-US" w:eastAsia="zh-CN" w:bidi="ar"/>
              </w:rPr>
              <w:t>9.41</w:t>
            </w:r>
            <w:r>
              <w:rPr>
                <w:rFonts w:hint="eastAsia" w:ascii="宋体" w:hAnsi="宋体" w:eastAsia="宋体" w:cs="宋体"/>
                <w:i w:val="0"/>
                <w:color w:val="auto"/>
                <w:kern w:val="0"/>
                <w:sz w:val="20"/>
                <w:szCs w:val="20"/>
                <w:highlight w:val="none"/>
                <w:u w:val="none"/>
                <w:lang w:val="en-US" w:eastAsia="zh-CN" w:bidi="ar"/>
              </w:rPr>
              <w:t>%</w:t>
            </w:r>
          </w:p>
        </w:tc>
        <w:tc>
          <w:tcPr>
            <w:tcW w:w="115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right"/>
              <w:textAlignment w:val="top"/>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15.72%</w:t>
            </w:r>
          </w:p>
        </w:tc>
        <w:tc>
          <w:tcPr>
            <w:tcW w:w="115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top"/>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-6.</w:t>
            </w:r>
            <w:r>
              <w:rPr>
                <w:rFonts w:hint="eastAsia" w:ascii="宋体" w:hAnsi="宋体" w:cs="宋体"/>
                <w:i w:val="0"/>
                <w:color w:val="auto"/>
                <w:kern w:val="0"/>
                <w:sz w:val="20"/>
                <w:szCs w:val="20"/>
                <w:highlight w:val="none"/>
                <w:u w:val="none"/>
                <w:lang w:val="en-US" w:eastAsia="zh-CN" w:bidi="ar"/>
              </w:rPr>
              <w:t>31</w:t>
            </w:r>
            <w:r>
              <w:rPr>
                <w:rFonts w:hint="eastAsia" w:ascii="宋体" w:hAnsi="宋体" w:eastAsia="宋体" w:cs="宋体"/>
                <w:i w:val="0"/>
                <w:color w:val="auto"/>
                <w:kern w:val="0"/>
                <w:sz w:val="20"/>
                <w:szCs w:val="20"/>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54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归属于母公司股东的净利润</w:t>
            </w:r>
          </w:p>
        </w:tc>
        <w:tc>
          <w:tcPr>
            <w:tcW w:w="114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right"/>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-543,673,983.84</w:t>
            </w:r>
          </w:p>
        </w:tc>
        <w:tc>
          <w:tcPr>
            <w:tcW w:w="115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right"/>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-2,591,168,934.88 </w:t>
            </w:r>
          </w:p>
        </w:tc>
        <w:tc>
          <w:tcPr>
            <w:tcW w:w="115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right"/>
              <w:textAlignment w:val="top"/>
              <w:rPr>
                <w:rFonts w:hint="eastAsia" w:ascii="宋体" w:hAnsi="宋体" w:eastAsia="宋体" w:cs="宋体"/>
                <w:i w:val="0"/>
                <w:color w:val="auto"/>
                <w:sz w:val="20"/>
                <w:szCs w:val="20"/>
                <w:highlight w:val="none"/>
                <w:u w:val="none"/>
              </w:rPr>
            </w:pPr>
            <w:r>
              <w:rPr>
                <w:rFonts w:hint="eastAsia" w:ascii="宋体" w:hAnsi="宋体" w:cs="宋体"/>
                <w:i w:val="0"/>
                <w:iCs w:val="0"/>
                <w:color w:val="auto"/>
                <w:kern w:val="0"/>
                <w:sz w:val="20"/>
                <w:szCs w:val="20"/>
                <w:highlight w:val="none"/>
                <w:u w:val="none"/>
                <w:lang w:val="en-US" w:eastAsia="zh-CN" w:bidi="ar"/>
              </w:rPr>
              <w:t>79.02</w:t>
            </w:r>
            <w:r>
              <w:rPr>
                <w:rFonts w:hint="eastAsia" w:ascii="宋体" w:hAnsi="宋体" w:eastAsia="宋体" w:cs="宋体"/>
                <w:i w:val="0"/>
                <w:iCs w:val="0"/>
                <w:color w:val="auto"/>
                <w:kern w:val="0"/>
                <w:sz w:val="20"/>
                <w:szCs w:val="20"/>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trPr>
        <w:tc>
          <w:tcPr>
            <w:tcW w:w="154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归属于母公司股东的扣除非经常性损益后的净利润</w:t>
            </w:r>
          </w:p>
        </w:tc>
        <w:tc>
          <w:tcPr>
            <w:tcW w:w="114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-1,776,537,039.04</w:t>
            </w:r>
          </w:p>
        </w:tc>
        <w:tc>
          <w:tcPr>
            <w:tcW w:w="115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-4,957,722,856.41</w:t>
            </w:r>
          </w:p>
        </w:tc>
        <w:tc>
          <w:tcPr>
            <w:tcW w:w="115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top"/>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cs="宋体"/>
                <w:i w:val="0"/>
                <w:iCs w:val="0"/>
                <w:color w:val="auto"/>
                <w:kern w:val="0"/>
                <w:sz w:val="20"/>
                <w:szCs w:val="20"/>
                <w:highlight w:val="none"/>
                <w:u w:val="none"/>
                <w:lang w:val="en-US" w:eastAsia="zh-CN" w:bidi="ar"/>
              </w:rPr>
              <w:t>64.17%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154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加权平均净资产收益率（依据归属于母公司股东的净利润计算）</w:t>
            </w:r>
          </w:p>
        </w:tc>
        <w:tc>
          <w:tcPr>
            <w:tcW w:w="114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top"/>
              <w:rPr>
                <w:rFonts w:hint="eastAsia" w:ascii="宋体" w:hAnsi="宋体" w:eastAsia="宋体" w:cs="宋体"/>
                <w:i w:val="0"/>
                <w:color w:val="auto"/>
                <w:sz w:val="20"/>
                <w:szCs w:val="20"/>
                <w:highlight w:val="none"/>
                <w:u w:val="none"/>
              </w:rPr>
            </w:pPr>
            <w:r>
              <w:rPr>
                <w:rFonts w:hint="eastAsia" w:ascii="宋体" w:hAnsi="宋体" w:cs="宋体"/>
                <w:i w:val="0"/>
                <w:color w:val="auto"/>
                <w:kern w:val="0"/>
                <w:sz w:val="20"/>
                <w:szCs w:val="20"/>
                <w:highlight w:val="none"/>
                <w:u w:val="none"/>
                <w:lang w:val="en-US" w:eastAsia="zh-CN" w:bidi="ar"/>
              </w:rPr>
              <w:t>-3.89%</w:t>
            </w:r>
          </w:p>
        </w:tc>
        <w:tc>
          <w:tcPr>
            <w:tcW w:w="115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top"/>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-1</w:t>
            </w:r>
            <w:r>
              <w:rPr>
                <w:rFonts w:hint="eastAsia" w:ascii="宋体" w:hAnsi="宋体" w:cs="宋体"/>
                <w:i w:val="0"/>
                <w:color w:val="auto"/>
                <w:kern w:val="0"/>
                <w:sz w:val="20"/>
                <w:szCs w:val="20"/>
                <w:highlight w:val="none"/>
                <w:u w:val="none"/>
                <w:lang w:val="en-US" w:eastAsia="zh-CN" w:bidi="ar"/>
              </w:rPr>
              <w:t>9.81</w:t>
            </w:r>
            <w:r>
              <w:rPr>
                <w:rFonts w:hint="eastAsia" w:ascii="宋体" w:hAnsi="宋体" w:eastAsia="宋体" w:cs="宋体"/>
                <w:i w:val="0"/>
                <w:color w:val="auto"/>
                <w:kern w:val="0"/>
                <w:sz w:val="20"/>
                <w:szCs w:val="20"/>
                <w:highlight w:val="none"/>
                <w:u w:val="none"/>
                <w:lang w:val="en-US" w:eastAsia="zh-CN" w:bidi="ar"/>
              </w:rPr>
              <w:t>%</w:t>
            </w:r>
          </w:p>
        </w:tc>
        <w:tc>
          <w:tcPr>
            <w:tcW w:w="115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top"/>
              <w:rPr>
                <w:rFonts w:hint="eastAsia" w:ascii="宋体" w:hAnsi="宋体" w:eastAsia="宋体" w:cs="宋体"/>
                <w:i w:val="0"/>
                <w:color w:val="auto"/>
                <w:kern w:val="0"/>
                <w:sz w:val="20"/>
                <w:szCs w:val="20"/>
                <w:highlight w:val="none"/>
                <w:u w:val="none"/>
                <w:lang w:val="en-US" w:eastAsia="zh-CN" w:bidi="ar"/>
              </w:rPr>
            </w:pPr>
            <w:r>
              <w:rPr>
                <w:rFonts w:hint="eastAsia" w:ascii="宋体" w:hAnsi="宋体" w:cs="宋体"/>
                <w:i w:val="0"/>
                <w:color w:val="auto"/>
                <w:kern w:val="0"/>
                <w:sz w:val="20"/>
                <w:szCs w:val="20"/>
                <w:highlight w:val="none"/>
                <w:u w:val="none"/>
                <w:lang w:val="en-US" w:eastAsia="zh-CN" w:bidi="ar"/>
              </w:rPr>
              <w:t>15.92%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154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加权平均净资产收益率（依据归属于母公司股东的扣除非经常性损益后的净利润计算）</w:t>
            </w:r>
          </w:p>
        </w:tc>
        <w:tc>
          <w:tcPr>
            <w:tcW w:w="114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right"/>
              <w:rPr>
                <w:rFonts w:hint="default" w:ascii="宋体" w:hAnsi="宋体" w:eastAsia="宋体" w:cs="宋体"/>
                <w:i w:val="0"/>
                <w:color w:val="auto"/>
                <w:sz w:val="20"/>
                <w:szCs w:val="20"/>
                <w:highlight w:val="none"/>
                <w:u w:val="none"/>
                <w:lang w:val="en-US" w:eastAsia="zh-CN"/>
              </w:rPr>
            </w:pPr>
            <w:r>
              <w:rPr>
                <w:rFonts w:hint="eastAsia" w:ascii="宋体" w:hAnsi="宋体" w:cs="宋体"/>
                <w:i w:val="0"/>
                <w:color w:val="auto"/>
                <w:sz w:val="20"/>
                <w:szCs w:val="20"/>
                <w:highlight w:val="none"/>
                <w:u w:val="none"/>
                <w:lang w:val="en-US" w:eastAsia="zh-CN"/>
              </w:rPr>
              <w:t>-12.72%</w:t>
            </w:r>
          </w:p>
        </w:tc>
        <w:tc>
          <w:tcPr>
            <w:tcW w:w="115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auto"/>
                <w:sz w:val="20"/>
                <w:szCs w:val="20"/>
                <w:highlight w:val="none"/>
                <w:u w:val="none"/>
              </w:rPr>
            </w:pPr>
            <w:r>
              <w:rPr>
                <w:rFonts w:hint="eastAsia" w:ascii="宋体" w:hAnsi="宋体" w:cs="宋体"/>
                <w:i w:val="0"/>
                <w:color w:val="auto"/>
                <w:sz w:val="20"/>
                <w:szCs w:val="20"/>
                <w:highlight w:val="none"/>
                <w:u w:val="none"/>
                <w:lang w:val="en-US" w:eastAsia="zh-CN"/>
              </w:rPr>
              <w:t>-37.9%</w:t>
            </w:r>
          </w:p>
        </w:tc>
        <w:tc>
          <w:tcPr>
            <w:tcW w:w="115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top"/>
              <w:rPr>
                <w:rFonts w:hint="eastAsia" w:ascii="宋体" w:hAnsi="宋体" w:eastAsia="宋体" w:cs="宋体"/>
                <w:i w:val="0"/>
                <w:color w:val="auto"/>
                <w:kern w:val="2"/>
                <w:sz w:val="20"/>
                <w:szCs w:val="20"/>
                <w:highlight w:val="none"/>
                <w:u w:val="none"/>
                <w:lang w:val="en-US" w:eastAsia="zh-CN" w:bidi="ar-SA"/>
              </w:rPr>
            </w:pPr>
            <w:r>
              <w:rPr>
                <w:rFonts w:hint="eastAsia" w:ascii="宋体" w:hAnsi="宋体" w:cs="宋体"/>
                <w:i w:val="0"/>
                <w:color w:val="auto"/>
                <w:kern w:val="0"/>
                <w:sz w:val="20"/>
                <w:szCs w:val="20"/>
                <w:highlight w:val="none"/>
                <w:u w:val="none"/>
                <w:lang w:val="en-US" w:eastAsia="zh-CN" w:bidi="ar"/>
              </w:rPr>
              <w:t>25.18%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54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基本每股收益</w:t>
            </w:r>
          </w:p>
        </w:tc>
        <w:tc>
          <w:tcPr>
            <w:tcW w:w="114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right"/>
              <w:textAlignment w:val="top"/>
              <w:rPr>
                <w:rFonts w:hint="default" w:ascii="宋体" w:hAnsi="宋体" w:eastAsia="宋体" w:cs="宋体"/>
                <w:i w:val="0"/>
                <w:color w:val="auto"/>
                <w:sz w:val="20"/>
                <w:szCs w:val="20"/>
                <w:highlight w:val="none"/>
                <w:u w:val="none"/>
                <w:lang w:val="en-US" w:eastAsia="zh-CN"/>
              </w:rPr>
            </w:pPr>
            <w:r>
              <w:rPr>
                <w:rFonts w:hint="eastAsia" w:ascii="宋体" w:hAnsi="宋体" w:cs="宋体"/>
                <w:i w:val="0"/>
                <w:iCs w:val="0"/>
                <w:color w:val="auto"/>
                <w:kern w:val="0"/>
                <w:sz w:val="20"/>
                <w:szCs w:val="20"/>
                <w:highlight w:val="none"/>
                <w:u w:val="none"/>
                <w:lang w:val="en-US" w:eastAsia="zh-CN" w:bidi="ar"/>
              </w:rPr>
              <w:t>0.0149</w:t>
            </w:r>
          </w:p>
        </w:tc>
        <w:tc>
          <w:tcPr>
            <w:tcW w:w="115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right"/>
              <w:textAlignment w:val="top"/>
              <w:rPr>
                <w:rFonts w:hint="default" w:ascii="宋体" w:hAnsi="宋体" w:eastAsia="宋体" w:cs="宋体"/>
                <w:i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-0.4038</w:t>
            </w:r>
          </w:p>
        </w:tc>
        <w:tc>
          <w:tcPr>
            <w:tcW w:w="115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right"/>
              <w:textAlignment w:val="top"/>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cs="宋体"/>
                <w:i w:val="0"/>
                <w:iCs w:val="0"/>
                <w:color w:val="auto"/>
                <w:kern w:val="0"/>
                <w:sz w:val="20"/>
                <w:szCs w:val="20"/>
                <w:highlight w:val="none"/>
                <w:u w:val="none"/>
                <w:lang w:val="en-US" w:eastAsia="zh-CN" w:bidi="ar"/>
              </w:rPr>
              <w:t>103.69%</w:t>
            </w:r>
          </w:p>
        </w:tc>
      </w:tr>
    </w:tbl>
    <w:p>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textAlignment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bCs/>
          <w:color w:val="auto"/>
          <w:sz w:val="24"/>
          <w:szCs w:val="24"/>
          <w:highlight w:val="none"/>
        </w:rPr>
        <w:t>项目重大变动原因：</w:t>
      </w:r>
    </w:p>
    <w:p>
      <w:pPr>
        <w:keepNext w:val="0"/>
        <w:keepLines w:val="0"/>
        <w:pageBreakBefore w:val="0"/>
        <w:kinsoku/>
        <w:wordWrap/>
        <w:overflowPunct/>
        <w:topLinePunct w:val="0"/>
        <w:autoSpaceDE w:val="0"/>
        <w:autoSpaceDN w:val="0"/>
        <w:bidi w:val="0"/>
        <w:adjustRightInd w:val="0"/>
        <w:spacing w:line="400" w:lineRule="exact"/>
        <w:ind w:firstLine="480" w:firstLineChars="200"/>
        <w:textAlignment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归属于母公司</w:t>
      </w:r>
      <w:r>
        <w:rPr>
          <w:rFonts w:hint="eastAsia" w:ascii="宋体" w:hAnsi="宋体" w:eastAsia="宋体" w:cs="宋体"/>
          <w:color w:val="auto"/>
          <w:kern w:val="0"/>
          <w:sz w:val="24"/>
          <w:szCs w:val="24"/>
          <w:highlight w:val="none"/>
          <w:lang w:eastAsia="zh-CN"/>
        </w:rPr>
        <w:t>股东</w:t>
      </w:r>
      <w:r>
        <w:rPr>
          <w:rFonts w:hint="eastAsia" w:ascii="宋体" w:hAnsi="宋体" w:eastAsia="宋体" w:cs="宋体"/>
          <w:color w:val="auto"/>
          <w:kern w:val="0"/>
          <w:sz w:val="24"/>
          <w:szCs w:val="24"/>
          <w:highlight w:val="none"/>
        </w:rPr>
        <w:t>的净利润</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b w:val="0"/>
          <w:bCs w:val="0"/>
          <w:color w:val="auto"/>
          <w:kern w:val="0"/>
          <w:sz w:val="24"/>
          <w:szCs w:val="24"/>
          <w:highlight w:val="none"/>
          <w:lang w:val="en-US" w:eastAsia="zh-CN"/>
        </w:rPr>
      </w:pPr>
      <w:r>
        <w:rPr>
          <w:rFonts w:hint="eastAsia" w:ascii="宋体" w:hAnsi="宋体" w:eastAsia="宋体" w:cs="宋体"/>
          <w:color w:val="auto"/>
          <w:kern w:val="0"/>
          <w:sz w:val="24"/>
          <w:szCs w:val="24"/>
          <w:highlight w:val="none"/>
          <w:lang w:eastAsia="zh-CN"/>
        </w:rPr>
        <w:t>公司</w:t>
      </w:r>
      <w:r>
        <w:rPr>
          <w:rFonts w:hint="eastAsia" w:ascii="宋体" w:hAnsi="宋体" w:eastAsia="宋体" w:cs="宋体"/>
          <w:color w:val="auto"/>
          <w:kern w:val="0"/>
          <w:sz w:val="24"/>
          <w:szCs w:val="24"/>
          <w:highlight w:val="none"/>
        </w:rPr>
        <w:t>202</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年归属于母公司</w:t>
      </w:r>
      <w:r>
        <w:rPr>
          <w:rFonts w:hint="eastAsia" w:ascii="宋体" w:hAnsi="宋体" w:eastAsia="宋体" w:cs="宋体"/>
          <w:color w:val="auto"/>
          <w:kern w:val="0"/>
          <w:sz w:val="24"/>
          <w:szCs w:val="24"/>
          <w:highlight w:val="none"/>
          <w:lang w:eastAsia="zh-CN"/>
        </w:rPr>
        <w:t>股东</w:t>
      </w:r>
      <w:r>
        <w:rPr>
          <w:rFonts w:hint="eastAsia" w:ascii="宋体" w:hAnsi="宋体" w:eastAsia="宋体" w:cs="宋体"/>
          <w:color w:val="auto"/>
          <w:kern w:val="0"/>
          <w:sz w:val="24"/>
          <w:szCs w:val="24"/>
          <w:highlight w:val="none"/>
        </w:rPr>
        <w:t>的净利润</w:t>
      </w:r>
      <w:r>
        <w:rPr>
          <w:rFonts w:hint="eastAsia" w:ascii="宋体" w:hAnsi="宋体" w:eastAsia="宋体" w:cs="宋体"/>
          <w:i w:val="0"/>
          <w:color w:val="auto"/>
          <w:kern w:val="0"/>
          <w:sz w:val="24"/>
          <w:szCs w:val="24"/>
          <w:highlight w:val="none"/>
          <w:u w:val="none"/>
          <w:lang w:val="en-US" w:eastAsia="zh-CN" w:bidi="ar"/>
        </w:rPr>
        <w:t>-543,673,983.84</w:t>
      </w:r>
      <w:r>
        <w:rPr>
          <w:rFonts w:hint="eastAsia" w:ascii="宋体" w:hAnsi="宋体" w:eastAsia="宋体" w:cs="宋体"/>
          <w:color w:val="auto"/>
          <w:kern w:val="0"/>
          <w:sz w:val="24"/>
          <w:szCs w:val="24"/>
          <w:highlight w:val="none"/>
        </w:rPr>
        <w:t>元，同比</w:t>
      </w:r>
      <w:r>
        <w:rPr>
          <w:rFonts w:hint="eastAsia" w:ascii="宋体" w:hAnsi="宋体" w:cs="宋体"/>
          <w:color w:val="auto"/>
          <w:kern w:val="0"/>
          <w:sz w:val="24"/>
          <w:szCs w:val="24"/>
          <w:highlight w:val="none"/>
          <w:lang w:val="en-US" w:eastAsia="zh-CN"/>
        </w:rPr>
        <w:t>减亏</w:t>
      </w:r>
      <w:r>
        <w:rPr>
          <w:rFonts w:hint="eastAsia" w:ascii="宋体" w:hAnsi="宋体" w:eastAsia="宋体" w:cs="宋体"/>
          <w:color w:val="auto"/>
          <w:kern w:val="0"/>
          <w:sz w:val="24"/>
          <w:szCs w:val="24"/>
          <w:highlight w:val="none"/>
        </w:rPr>
        <w:t xml:space="preserve">    2</w:t>
      </w:r>
      <w:r>
        <w:rPr>
          <w:rFonts w:hint="eastAsia" w:ascii="宋体" w:hAnsi="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rPr>
        <w:t>047</w:t>
      </w:r>
      <w:r>
        <w:rPr>
          <w:rFonts w:hint="eastAsia" w:ascii="宋体" w:hAnsi="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rPr>
        <w:t>494</w:t>
      </w:r>
      <w:r>
        <w:rPr>
          <w:rFonts w:hint="eastAsia" w:ascii="宋体" w:hAnsi="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rPr>
        <w:t>951.04元，</w:t>
      </w:r>
      <w:r>
        <w:rPr>
          <w:rFonts w:hint="eastAsia" w:ascii="宋体" w:hAnsi="宋体" w:cs="宋体"/>
          <w:color w:val="auto"/>
          <w:kern w:val="0"/>
          <w:sz w:val="24"/>
          <w:szCs w:val="24"/>
          <w:highlight w:val="none"/>
          <w:lang w:val="en-US" w:eastAsia="zh-CN"/>
        </w:rPr>
        <w:t>增</w:t>
      </w:r>
      <w:r>
        <w:rPr>
          <w:rFonts w:hint="eastAsia" w:ascii="宋体" w:hAnsi="宋体" w:eastAsia="宋体" w:cs="宋体"/>
          <w:color w:val="auto"/>
          <w:kern w:val="0"/>
          <w:sz w:val="24"/>
          <w:szCs w:val="24"/>
          <w:highlight w:val="none"/>
          <w:lang w:eastAsia="zh-CN"/>
        </w:rPr>
        <w:t>幅</w:t>
      </w:r>
      <w:r>
        <w:rPr>
          <w:rFonts w:hint="eastAsia" w:ascii="宋体" w:hAnsi="宋体" w:cs="宋体"/>
          <w:color w:val="auto"/>
          <w:kern w:val="0"/>
          <w:sz w:val="24"/>
          <w:szCs w:val="24"/>
          <w:highlight w:val="none"/>
          <w:lang w:val="en-US" w:eastAsia="zh-CN"/>
        </w:rPr>
        <w:t>79.02</w:t>
      </w:r>
      <w:r>
        <w:rPr>
          <w:rFonts w:hint="eastAsia" w:ascii="宋体" w:hAnsi="宋体" w:eastAsia="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rPr>
        <w:t>。</w:t>
      </w:r>
      <w:r>
        <w:rPr>
          <w:rFonts w:hint="eastAsia" w:ascii="宋体" w:hAnsi="宋体" w:eastAsia="宋体" w:cs="宋体"/>
          <w:b w:val="0"/>
          <w:bCs w:val="0"/>
          <w:color w:val="auto"/>
          <w:kern w:val="0"/>
          <w:sz w:val="24"/>
          <w:szCs w:val="24"/>
          <w:highlight w:val="none"/>
          <w:lang w:val="en-US" w:eastAsia="zh-CN"/>
        </w:rPr>
        <w:t>同期剔除一次性事项（</w:t>
      </w:r>
      <w:r>
        <w:rPr>
          <w:rFonts w:hint="eastAsia" w:ascii="宋体" w:hAnsi="宋体" w:cs="宋体"/>
          <w:b w:val="0"/>
          <w:bCs w:val="0"/>
          <w:color w:val="auto"/>
          <w:kern w:val="0"/>
          <w:sz w:val="24"/>
          <w:szCs w:val="24"/>
          <w:highlight w:val="none"/>
          <w:lang w:val="en-US" w:eastAsia="zh-CN"/>
        </w:rPr>
        <w:t>2023年</w:t>
      </w:r>
      <w:r>
        <w:rPr>
          <w:rFonts w:hint="eastAsia" w:ascii="宋体" w:hAnsi="宋体" w:eastAsia="宋体" w:cs="宋体"/>
          <w:b w:val="0"/>
          <w:bCs w:val="0"/>
          <w:color w:val="auto"/>
          <w:kern w:val="0"/>
          <w:sz w:val="24"/>
          <w:szCs w:val="24"/>
          <w:highlight w:val="none"/>
          <w:lang w:val="en-US" w:eastAsia="zh-CN"/>
        </w:rPr>
        <w:t>收购绥阳公司股权损失8.13亿元及计提泰元公司减值13.5亿元）后</w:t>
      </w:r>
      <w:r>
        <w:rPr>
          <w:rFonts w:hint="eastAsia" w:ascii="宋体" w:hAnsi="宋体" w:cs="宋体"/>
          <w:b w:val="0"/>
          <w:bCs w:val="0"/>
          <w:color w:val="auto"/>
          <w:kern w:val="0"/>
          <w:sz w:val="24"/>
          <w:szCs w:val="24"/>
          <w:highlight w:val="none"/>
          <w:lang w:val="en-US" w:eastAsia="zh-CN"/>
        </w:rPr>
        <w:t>归母利</w:t>
      </w:r>
      <w:r>
        <w:rPr>
          <w:rFonts w:hint="eastAsia" w:ascii="宋体" w:hAnsi="宋体" w:eastAsia="宋体" w:cs="宋体"/>
          <w:b w:val="0"/>
          <w:bCs w:val="0"/>
          <w:color w:val="auto"/>
          <w:kern w:val="0"/>
          <w:sz w:val="24"/>
          <w:szCs w:val="24"/>
          <w:highlight w:val="none"/>
          <w:lang w:val="en-US" w:eastAsia="zh-CN"/>
        </w:rPr>
        <w:t>为</w:t>
      </w:r>
      <w:r>
        <w:rPr>
          <w:rFonts w:hint="eastAsia" w:ascii="宋体" w:hAnsi="宋体" w:cs="宋体"/>
          <w:b w:val="0"/>
          <w:bCs w:val="0"/>
          <w:color w:val="auto"/>
          <w:kern w:val="0"/>
          <w:sz w:val="24"/>
          <w:szCs w:val="24"/>
          <w:highlight w:val="none"/>
          <w:lang w:val="en-US" w:eastAsia="zh-CN"/>
        </w:rPr>
        <w:t>-4.28</w:t>
      </w:r>
      <w:r>
        <w:rPr>
          <w:rFonts w:hint="eastAsia" w:ascii="宋体" w:hAnsi="宋体" w:eastAsia="宋体" w:cs="宋体"/>
          <w:b w:val="0"/>
          <w:bCs w:val="0"/>
          <w:color w:val="auto"/>
          <w:kern w:val="0"/>
          <w:sz w:val="24"/>
          <w:szCs w:val="24"/>
          <w:highlight w:val="none"/>
          <w:lang w:val="en-US" w:eastAsia="zh-CN"/>
        </w:rPr>
        <w:t>亿元，同比</w:t>
      </w:r>
      <w:r>
        <w:rPr>
          <w:rFonts w:hint="eastAsia" w:ascii="宋体" w:hAnsi="宋体" w:cs="宋体"/>
          <w:b w:val="0"/>
          <w:bCs w:val="0"/>
          <w:color w:val="auto"/>
          <w:kern w:val="0"/>
          <w:sz w:val="24"/>
          <w:szCs w:val="24"/>
          <w:highlight w:val="none"/>
          <w:lang w:val="en-US" w:eastAsia="zh-CN"/>
        </w:rPr>
        <w:t>增亏1.16</w:t>
      </w:r>
      <w:r>
        <w:rPr>
          <w:rFonts w:hint="eastAsia" w:ascii="宋体" w:hAnsi="宋体" w:eastAsia="宋体" w:cs="宋体"/>
          <w:b w:val="0"/>
          <w:bCs w:val="0"/>
          <w:color w:val="auto"/>
          <w:kern w:val="0"/>
          <w:sz w:val="24"/>
          <w:szCs w:val="24"/>
          <w:highlight w:val="none"/>
          <w:lang w:val="en-US" w:eastAsia="zh-CN"/>
        </w:rPr>
        <w:t>亿元</w:t>
      </w:r>
      <w:r>
        <w:rPr>
          <w:rFonts w:hint="eastAsia" w:ascii="宋体" w:hAnsi="宋体" w:cs="宋体"/>
          <w:b w:val="0"/>
          <w:bCs w:val="0"/>
          <w:color w:val="auto"/>
          <w:kern w:val="0"/>
          <w:sz w:val="24"/>
          <w:szCs w:val="24"/>
          <w:highlight w:val="none"/>
          <w:lang w:val="en-US" w:eastAsia="zh-CN"/>
        </w:rPr>
        <w:t>。</w:t>
      </w:r>
    </w:p>
    <w:p>
      <w:pPr>
        <w:keepNext w:val="0"/>
        <w:keepLines w:val="0"/>
        <w:pageBreakBefore w:val="0"/>
        <w:widowControl/>
        <w:numPr>
          <w:ilvl w:val="0"/>
          <w:numId w:val="0"/>
        </w:numPr>
        <w:kinsoku/>
        <w:wordWrap/>
        <w:overflowPunct/>
        <w:topLinePunct w:val="0"/>
        <w:autoSpaceDE/>
        <w:autoSpaceDN/>
        <w:bidi w:val="0"/>
        <w:adjustRightInd/>
        <w:snapToGrid w:val="0"/>
        <w:spacing w:line="400" w:lineRule="exact"/>
        <w:ind w:firstLine="470" w:firstLineChars="196"/>
        <w:textAlignment w:val="auto"/>
        <w:rPr>
          <w:rFonts w:hint="eastAsia" w:ascii="宋体" w:hAnsi="宋体" w:cs="宋体"/>
          <w:b w:val="0"/>
          <w:color w:val="auto"/>
          <w:kern w:val="0"/>
          <w:sz w:val="24"/>
          <w:szCs w:val="24"/>
          <w:highlight w:val="none"/>
          <w:lang w:val="en-US" w:eastAsia="zh-CN" w:bidi="ar-SA"/>
        </w:rPr>
      </w:pPr>
      <w:r>
        <w:rPr>
          <w:rFonts w:hint="eastAsia" w:ascii="宋体" w:hAnsi="宋体" w:cs="宋体"/>
          <w:b w:val="0"/>
          <w:bCs w:val="0"/>
          <w:color w:val="auto"/>
          <w:kern w:val="0"/>
          <w:sz w:val="24"/>
          <w:szCs w:val="24"/>
          <w:highlight w:val="none"/>
          <w:lang w:val="en-US" w:eastAsia="zh-CN"/>
        </w:rPr>
        <w:t>归母利</w:t>
      </w:r>
      <w:r>
        <w:rPr>
          <w:rFonts w:hint="eastAsia" w:ascii="宋体" w:hAnsi="宋体" w:eastAsia="宋体" w:cs="宋体"/>
          <w:b w:val="0"/>
          <w:bCs w:val="0"/>
          <w:color w:val="auto"/>
          <w:kern w:val="0"/>
          <w:sz w:val="24"/>
          <w:szCs w:val="24"/>
          <w:highlight w:val="none"/>
          <w:lang w:val="en-US" w:eastAsia="zh-CN"/>
        </w:rPr>
        <w:t>同比</w:t>
      </w:r>
      <w:r>
        <w:rPr>
          <w:rFonts w:hint="eastAsia" w:ascii="宋体" w:hAnsi="宋体" w:cs="宋体"/>
          <w:b w:val="0"/>
          <w:bCs w:val="0"/>
          <w:color w:val="auto"/>
          <w:kern w:val="0"/>
          <w:sz w:val="24"/>
          <w:szCs w:val="24"/>
          <w:highlight w:val="none"/>
          <w:lang w:val="en-US" w:eastAsia="zh-CN"/>
        </w:rPr>
        <w:t>增亏1.16</w:t>
      </w:r>
      <w:r>
        <w:rPr>
          <w:rFonts w:hint="eastAsia" w:ascii="宋体" w:hAnsi="宋体" w:eastAsia="宋体" w:cs="宋体"/>
          <w:b w:val="0"/>
          <w:bCs w:val="0"/>
          <w:color w:val="auto"/>
          <w:kern w:val="0"/>
          <w:sz w:val="24"/>
          <w:szCs w:val="24"/>
          <w:highlight w:val="none"/>
          <w:lang w:val="en-US" w:eastAsia="zh-CN"/>
        </w:rPr>
        <w:t>亿元</w:t>
      </w:r>
      <w:r>
        <w:rPr>
          <w:rFonts w:hint="eastAsia" w:ascii="宋体" w:hAnsi="宋体" w:eastAsia="宋体" w:cs="宋体"/>
          <w:color w:val="auto"/>
          <w:kern w:val="0"/>
          <w:sz w:val="24"/>
          <w:szCs w:val="24"/>
          <w:highlight w:val="none"/>
        </w:rPr>
        <w:t>的主要原因：</w:t>
      </w:r>
      <w:r>
        <w:rPr>
          <w:rFonts w:hint="eastAsia" w:ascii="宋体" w:hAnsi="宋体" w:cs="宋体"/>
          <w:color w:val="auto"/>
          <w:kern w:val="0"/>
          <w:sz w:val="24"/>
          <w:szCs w:val="24"/>
          <w:highlight w:val="none"/>
          <w:lang w:val="en-US" w:eastAsia="zh-CN"/>
        </w:rPr>
        <w:t>一是</w:t>
      </w:r>
      <w:r>
        <w:rPr>
          <w:rFonts w:hint="eastAsia" w:ascii="宋体" w:hAnsi="宋体" w:eastAsia="宋体" w:cs="宋体"/>
          <w:b w:val="0"/>
          <w:bCs w:val="0"/>
          <w:color w:val="auto"/>
          <w:kern w:val="0"/>
          <w:sz w:val="24"/>
          <w:szCs w:val="24"/>
          <w:highlight w:val="none"/>
          <w:lang w:val="en-US" w:eastAsia="zh-CN"/>
        </w:rPr>
        <w:t>绥阳公司</w:t>
      </w:r>
      <w:r>
        <w:rPr>
          <w:rFonts w:hint="eastAsia" w:ascii="宋体" w:hAnsi="宋体" w:cs="宋体"/>
          <w:b w:val="0"/>
          <w:bCs w:val="0"/>
          <w:color w:val="auto"/>
          <w:kern w:val="0"/>
          <w:sz w:val="24"/>
          <w:szCs w:val="24"/>
          <w:highlight w:val="none"/>
          <w:lang w:val="en-US" w:eastAsia="zh-CN"/>
        </w:rPr>
        <w:t>因铁合金市场低迷，售价降低779.77元/吨，</w:t>
      </w:r>
      <w:r>
        <w:rPr>
          <w:rFonts w:hint="eastAsia" w:ascii="宋体" w:hAnsi="宋体" w:eastAsia="宋体" w:cs="宋体"/>
          <w:b w:val="0"/>
          <w:bCs w:val="0"/>
          <w:color w:val="auto"/>
          <w:kern w:val="0"/>
          <w:sz w:val="24"/>
          <w:szCs w:val="24"/>
          <w:highlight w:val="none"/>
          <w:lang w:val="en-US" w:eastAsia="zh-CN"/>
        </w:rPr>
        <w:t>同比</w:t>
      </w:r>
      <w:r>
        <w:rPr>
          <w:rFonts w:hint="eastAsia" w:ascii="宋体" w:hAnsi="宋体" w:cs="宋体"/>
          <w:b w:val="0"/>
          <w:bCs w:val="0"/>
          <w:color w:val="auto"/>
          <w:kern w:val="0"/>
          <w:sz w:val="24"/>
          <w:szCs w:val="24"/>
          <w:highlight w:val="none"/>
          <w:lang w:val="en-US" w:eastAsia="zh-CN"/>
        </w:rPr>
        <w:t>增亏2.39</w:t>
      </w:r>
      <w:r>
        <w:rPr>
          <w:rFonts w:hint="eastAsia" w:ascii="宋体" w:hAnsi="宋体" w:eastAsia="宋体" w:cs="宋体"/>
          <w:b w:val="0"/>
          <w:bCs w:val="0"/>
          <w:color w:val="auto"/>
          <w:kern w:val="0"/>
          <w:sz w:val="24"/>
          <w:szCs w:val="24"/>
          <w:highlight w:val="none"/>
          <w:lang w:val="en-US" w:eastAsia="zh-CN"/>
        </w:rPr>
        <w:t>亿元</w:t>
      </w:r>
      <w:r>
        <w:rPr>
          <w:rFonts w:hint="eastAsia" w:ascii="宋体" w:hAnsi="宋体" w:cs="宋体"/>
          <w:b w:val="0"/>
          <w:bCs w:val="0"/>
          <w:color w:val="auto"/>
          <w:kern w:val="0"/>
          <w:sz w:val="24"/>
          <w:szCs w:val="24"/>
          <w:highlight w:val="none"/>
          <w:lang w:val="en-US" w:eastAsia="zh-CN"/>
        </w:rPr>
        <w:t>；二是由于</w:t>
      </w:r>
      <w:r>
        <w:rPr>
          <w:rFonts w:hint="eastAsia" w:ascii="宋体" w:hAnsi="宋体" w:eastAsia="宋体" w:cs="宋体"/>
          <w:b w:val="0"/>
          <w:bCs w:val="0"/>
          <w:color w:val="auto"/>
          <w:kern w:val="0"/>
          <w:sz w:val="24"/>
          <w:szCs w:val="24"/>
          <w:highlight w:val="none"/>
          <w:lang w:val="en-US" w:eastAsia="zh-CN"/>
        </w:rPr>
        <w:t>能发公司</w:t>
      </w:r>
      <w:r>
        <w:rPr>
          <w:rFonts w:hint="eastAsia" w:ascii="宋体" w:hAnsi="宋体" w:cs="宋体"/>
          <w:b w:val="0"/>
          <w:bCs w:val="0"/>
          <w:color w:val="auto"/>
          <w:kern w:val="0"/>
          <w:sz w:val="24"/>
          <w:szCs w:val="24"/>
          <w:highlight w:val="none"/>
          <w:lang w:val="en-US" w:eastAsia="zh-CN"/>
        </w:rPr>
        <w:t>股权转让，贵州金元对债权进行重估，造成暂时性损失2.99</w:t>
      </w:r>
      <w:r>
        <w:rPr>
          <w:rFonts w:hint="eastAsia" w:ascii="宋体" w:hAnsi="宋体" w:eastAsia="宋体" w:cs="宋体"/>
          <w:color w:val="auto"/>
          <w:kern w:val="0"/>
          <w:sz w:val="24"/>
          <w:szCs w:val="24"/>
          <w:highlight w:val="none"/>
          <w:lang w:val="en-US" w:eastAsia="zh-CN" w:bidi="ar-SA"/>
        </w:rPr>
        <w:t>亿元</w:t>
      </w:r>
      <w:r>
        <w:rPr>
          <w:rFonts w:hint="eastAsia" w:ascii="宋体" w:hAnsi="宋体" w:cs="宋体"/>
          <w:color w:val="auto"/>
          <w:kern w:val="0"/>
          <w:sz w:val="24"/>
          <w:szCs w:val="24"/>
          <w:highlight w:val="none"/>
          <w:lang w:val="en-US" w:eastAsia="zh-CN" w:bidi="ar-SA"/>
        </w:rPr>
        <w:t>，待债权收回后逐年转回损失。</w:t>
      </w:r>
      <w:r>
        <w:rPr>
          <w:rFonts w:hint="eastAsia" w:ascii="宋体" w:hAnsi="宋体" w:eastAsia="宋体" w:cs="宋体"/>
          <w:color w:val="auto"/>
          <w:kern w:val="0"/>
          <w:sz w:val="24"/>
          <w:szCs w:val="24"/>
          <w:highlight w:val="none"/>
          <w:lang w:val="en-US" w:eastAsia="zh-CN" w:bidi="ar-SA"/>
        </w:rPr>
        <w:t>基于以上</w:t>
      </w:r>
      <w:r>
        <w:rPr>
          <w:rFonts w:hint="eastAsia" w:ascii="宋体" w:hAnsi="宋体" w:cs="宋体"/>
          <w:color w:val="auto"/>
          <w:kern w:val="0"/>
          <w:sz w:val="24"/>
          <w:szCs w:val="24"/>
          <w:highlight w:val="none"/>
          <w:lang w:val="en-US" w:eastAsia="zh-CN" w:bidi="ar-SA"/>
        </w:rPr>
        <w:t>因素合计</w:t>
      </w:r>
      <w:r>
        <w:rPr>
          <w:rFonts w:hint="eastAsia" w:ascii="宋体" w:hAnsi="宋体" w:eastAsia="宋体" w:cs="宋体"/>
          <w:color w:val="auto"/>
          <w:kern w:val="0"/>
          <w:sz w:val="24"/>
          <w:szCs w:val="24"/>
          <w:highlight w:val="none"/>
          <w:lang w:val="en-US" w:eastAsia="zh-CN" w:bidi="ar-SA"/>
        </w:rPr>
        <w:t>增亏</w:t>
      </w:r>
      <w:r>
        <w:rPr>
          <w:rFonts w:hint="eastAsia" w:ascii="宋体" w:hAnsi="宋体" w:cs="宋体"/>
          <w:color w:val="auto"/>
          <w:kern w:val="0"/>
          <w:sz w:val="24"/>
          <w:szCs w:val="24"/>
          <w:highlight w:val="none"/>
          <w:lang w:val="en-US" w:eastAsia="zh-CN" w:bidi="ar-SA"/>
        </w:rPr>
        <w:t>5.38亿元，</w:t>
      </w:r>
      <w:r>
        <w:rPr>
          <w:rFonts w:hint="eastAsia" w:ascii="宋体" w:hAnsi="宋体" w:eastAsia="宋体" w:cs="宋体"/>
          <w:color w:val="auto"/>
          <w:kern w:val="0"/>
          <w:sz w:val="24"/>
          <w:szCs w:val="24"/>
          <w:highlight w:val="none"/>
          <w:lang w:val="en-US" w:eastAsia="zh-CN" w:bidi="ar-SA"/>
        </w:rPr>
        <w:t>贵州金元2024年千方百计抢抓发电量</w:t>
      </w:r>
      <w:r>
        <w:rPr>
          <w:rFonts w:hint="eastAsia" w:ascii="宋体" w:hAnsi="宋体" w:cs="宋体"/>
          <w:color w:val="auto"/>
          <w:kern w:val="0"/>
          <w:sz w:val="24"/>
          <w:szCs w:val="24"/>
          <w:highlight w:val="none"/>
          <w:lang w:val="en-US" w:eastAsia="zh-CN" w:bidi="ar-SA"/>
        </w:rPr>
        <w:t>、通过压降成本、处置低效无效资产等措施，共计增加归母利3.74亿元，其中：一是</w:t>
      </w:r>
      <w:r>
        <w:rPr>
          <w:rFonts w:hint="eastAsia" w:ascii="宋体" w:hAnsi="宋体" w:eastAsia="宋体" w:cs="宋体"/>
          <w:i w:val="0"/>
          <w:iCs w:val="0"/>
          <w:caps w:val="0"/>
          <w:color w:val="auto"/>
          <w:spacing w:val="0"/>
          <w:kern w:val="0"/>
          <w:sz w:val="24"/>
          <w:szCs w:val="24"/>
          <w:highlight w:val="none"/>
          <w:shd w:val="clear"/>
          <w:lang w:val="en-US" w:eastAsia="zh-CN"/>
        </w:rPr>
        <w:t>水电板块</w:t>
      </w:r>
      <w:r>
        <w:rPr>
          <w:rFonts w:hint="eastAsia" w:ascii="宋体" w:hAnsi="宋体" w:cs="宋体"/>
          <w:i w:val="0"/>
          <w:iCs w:val="0"/>
          <w:caps w:val="0"/>
          <w:color w:val="auto"/>
          <w:spacing w:val="0"/>
          <w:kern w:val="0"/>
          <w:sz w:val="24"/>
          <w:szCs w:val="24"/>
          <w:highlight w:val="none"/>
          <w:shd w:val="clear"/>
          <w:lang w:val="en-US" w:eastAsia="zh-CN"/>
        </w:rPr>
        <w:t>通过</w:t>
      </w:r>
      <w:r>
        <w:rPr>
          <w:rFonts w:hint="eastAsia" w:ascii="宋体" w:hAnsi="宋体" w:eastAsia="宋体" w:cs="宋体"/>
          <w:i w:val="0"/>
          <w:iCs w:val="0"/>
          <w:caps w:val="0"/>
          <w:color w:val="auto"/>
          <w:spacing w:val="0"/>
          <w:kern w:val="0"/>
          <w:sz w:val="24"/>
          <w:szCs w:val="24"/>
          <w:highlight w:val="none"/>
          <w:shd w:val="clear"/>
          <w:lang w:val="en-US" w:eastAsia="zh-CN"/>
        </w:rPr>
        <w:t>增发电量</w:t>
      </w:r>
      <w:r>
        <w:rPr>
          <w:rFonts w:hint="eastAsia" w:ascii="宋体" w:hAnsi="宋体" w:cs="宋体"/>
          <w:i w:val="0"/>
          <w:iCs w:val="0"/>
          <w:caps w:val="0"/>
          <w:color w:val="auto"/>
          <w:spacing w:val="0"/>
          <w:kern w:val="0"/>
          <w:sz w:val="24"/>
          <w:szCs w:val="24"/>
          <w:highlight w:val="none"/>
          <w:shd w:val="clear"/>
          <w:lang w:val="en-US" w:eastAsia="zh-CN"/>
        </w:rPr>
        <w:t>、</w:t>
      </w:r>
      <w:r>
        <w:rPr>
          <w:rFonts w:hint="eastAsia" w:ascii="宋体" w:hAnsi="宋体" w:eastAsia="宋体" w:cs="宋体"/>
          <w:i w:val="0"/>
          <w:iCs w:val="0"/>
          <w:caps w:val="0"/>
          <w:color w:val="auto"/>
          <w:spacing w:val="0"/>
          <w:kern w:val="0"/>
          <w:sz w:val="24"/>
          <w:szCs w:val="24"/>
          <w:highlight w:val="none"/>
          <w:shd w:val="clear"/>
          <w:lang w:val="en-US" w:eastAsia="zh-CN"/>
        </w:rPr>
        <w:t>控降成本费用，</w:t>
      </w:r>
      <w:r>
        <w:rPr>
          <w:rFonts w:hint="eastAsia" w:ascii="宋体" w:hAnsi="宋体" w:eastAsia="宋体" w:cs="宋体"/>
          <w:b w:val="0"/>
          <w:snapToGrid/>
          <w:color w:val="auto"/>
          <w:kern w:val="0"/>
          <w:sz w:val="24"/>
          <w:szCs w:val="24"/>
          <w:highlight w:val="none"/>
          <w:lang w:val="en-US" w:eastAsia="zh-CN"/>
        </w:rPr>
        <w:t>新能源板块克服市场化交易带来的电价下行，通过控降三项费用、财务费用等措施</w:t>
      </w:r>
      <w:r>
        <w:rPr>
          <w:rFonts w:hint="eastAsia" w:ascii="宋体" w:hAnsi="宋体" w:cs="宋体"/>
          <w:b w:val="0"/>
          <w:snapToGrid/>
          <w:color w:val="auto"/>
          <w:kern w:val="0"/>
          <w:sz w:val="24"/>
          <w:szCs w:val="24"/>
          <w:highlight w:val="none"/>
          <w:lang w:val="en-US" w:eastAsia="zh-CN"/>
        </w:rPr>
        <w:t>，共计提升</w:t>
      </w:r>
      <w:r>
        <w:rPr>
          <w:rFonts w:hint="eastAsia" w:ascii="宋体" w:hAnsi="宋体" w:cs="宋体"/>
          <w:i w:val="0"/>
          <w:iCs w:val="0"/>
          <w:caps w:val="0"/>
          <w:color w:val="auto"/>
          <w:spacing w:val="0"/>
          <w:kern w:val="0"/>
          <w:sz w:val="24"/>
          <w:szCs w:val="24"/>
          <w:highlight w:val="none"/>
          <w:shd w:val="clear"/>
          <w:lang w:val="en-US" w:eastAsia="zh-CN"/>
        </w:rPr>
        <w:t>售电单位利润21.12</w:t>
      </w:r>
      <w:r>
        <w:rPr>
          <w:rFonts w:hint="eastAsia" w:ascii="宋体" w:hAnsi="宋体" w:eastAsia="宋体" w:cs="宋体"/>
          <w:i w:val="0"/>
          <w:iCs w:val="0"/>
          <w:caps w:val="0"/>
          <w:color w:val="auto"/>
          <w:spacing w:val="0"/>
          <w:kern w:val="0"/>
          <w:sz w:val="24"/>
          <w:szCs w:val="24"/>
          <w:highlight w:val="none"/>
          <w:shd w:val="clear"/>
          <w:lang w:val="en-US" w:eastAsia="zh-CN"/>
        </w:rPr>
        <w:t>元/千千瓦时，</w:t>
      </w:r>
      <w:r>
        <w:rPr>
          <w:rFonts w:hint="eastAsia" w:ascii="宋体" w:hAnsi="宋体" w:eastAsia="宋体" w:cs="宋体"/>
          <w:b w:val="0"/>
          <w:bCs w:val="0"/>
          <w:color w:val="auto"/>
          <w:kern w:val="0"/>
          <w:sz w:val="24"/>
          <w:szCs w:val="24"/>
          <w:highlight w:val="none"/>
          <w:lang w:val="en-US" w:eastAsia="zh-CN"/>
        </w:rPr>
        <w:t>增加归母利2.4</w:t>
      </w:r>
      <w:r>
        <w:rPr>
          <w:rFonts w:hint="eastAsia" w:ascii="宋体" w:hAnsi="宋体" w:cs="宋体"/>
          <w:b w:val="0"/>
          <w:bCs w:val="0"/>
          <w:color w:val="auto"/>
          <w:kern w:val="0"/>
          <w:sz w:val="24"/>
          <w:szCs w:val="24"/>
          <w:highlight w:val="none"/>
          <w:lang w:val="en-US" w:eastAsia="zh-CN"/>
        </w:rPr>
        <w:t>8</w:t>
      </w:r>
      <w:r>
        <w:rPr>
          <w:rFonts w:hint="eastAsia" w:ascii="宋体" w:hAnsi="宋体" w:eastAsia="宋体" w:cs="宋体"/>
          <w:b w:val="0"/>
          <w:bCs w:val="0"/>
          <w:color w:val="auto"/>
          <w:kern w:val="0"/>
          <w:sz w:val="24"/>
          <w:szCs w:val="24"/>
          <w:highlight w:val="none"/>
          <w:lang w:val="en-US" w:eastAsia="zh-CN"/>
        </w:rPr>
        <w:t>亿元</w:t>
      </w:r>
      <w:r>
        <w:rPr>
          <w:rFonts w:hint="eastAsia" w:ascii="宋体" w:hAnsi="宋体" w:cs="宋体"/>
          <w:b w:val="0"/>
          <w:bCs w:val="0"/>
          <w:color w:val="auto"/>
          <w:kern w:val="0"/>
          <w:sz w:val="24"/>
          <w:szCs w:val="24"/>
          <w:highlight w:val="none"/>
          <w:lang w:val="en-US" w:eastAsia="zh-CN"/>
        </w:rPr>
        <w:t>；</w:t>
      </w:r>
      <w:r>
        <w:rPr>
          <w:rFonts w:hint="eastAsia" w:ascii="宋体" w:hAnsi="宋体" w:eastAsia="宋体" w:cs="宋体"/>
          <w:b w:val="0"/>
          <w:snapToGrid/>
          <w:color w:val="auto"/>
          <w:kern w:val="0"/>
          <w:sz w:val="24"/>
          <w:szCs w:val="24"/>
          <w:highlight w:val="none"/>
          <w:lang w:val="en-US" w:eastAsia="zh-CN"/>
        </w:rPr>
        <w:t>二是通过</w:t>
      </w:r>
      <w:r>
        <w:rPr>
          <w:rFonts w:hint="eastAsia" w:ascii="宋体" w:hAnsi="宋体" w:eastAsia="宋体" w:cs="宋体"/>
          <w:b w:val="0"/>
          <w:snapToGrid/>
          <w:color w:val="auto"/>
          <w:kern w:val="0"/>
          <w:sz w:val="24"/>
          <w:szCs w:val="24"/>
          <w:highlight w:val="none"/>
        </w:rPr>
        <w:t>积极开展</w:t>
      </w:r>
      <w:r>
        <w:rPr>
          <w:rFonts w:hint="eastAsia" w:ascii="宋体" w:hAnsi="宋体" w:eastAsia="宋体" w:cs="宋体"/>
          <w:b w:val="0"/>
          <w:snapToGrid/>
          <w:color w:val="auto"/>
          <w:kern w:val="0"/>
          <w:sz w:val="24"/>
          <w:szCs w:val="24"/>
          <w:highlight w:val="none"/>
          <w:lang w:val="en-US" w:eastAsia="zh-CN"/>
        </w:rPr>
        <w:t>小水电</w:t>
      </w:r>
      <w:r>
        <w:rPr>
          <w:rFonts w:hint="eastAsia" w:ascii="宋体" w:hAnsi="宋体" w:eastAsia="宋体" w:cs="宋体"/>
          <w:b w:val="0"/>
          <w:snapToGrid/>
          <w:color w:val="auto"/>
          <w:kern w:val="0"/>
          <w:sz w:val="24"/>
          <w:szCs w:val="24"/>
          <w:highlight w:val="none"/>
        </w:rPr>
        <w:t>资产处置</w:t>
      </w:r>
      <w:r>
        <w:rPr>
          <w:rFonts w:hint="eastAsia" w:ascii="宋体" w:hAnsi="宋体" w:eastAsia="宋体" w:cs="宋体"/>
          <w:b w:val="0"/>
          <w:snapToGrid/>
          <w:color w:val="auto"/>
          <w:kern w:val="0"/>
          <w:sz w:val="24"/>
          <w:szCs w:val="24"/>
          <w:highlight w:val="none"/>
          <w:lang w:eastAsia="zh-CN"/>
        </w:rPr>
        <w:t>，</w:t>
      </w:r>
      <w:r>
        <w:rPr>
          <w:rFonts w:hint="eastAsia" w:ascii="宋体" w:hAnsi="宋体" w:eastAsia="宋体" w:cs="宋体"/>
          <w:b w:val="0"/>
          <w:snapToGrid/>
          <w:color w:val="auto"/>
          <w:kern w:val="0"/>
          <w:sz w:val="24"/>
          <w:szCs w:val="24"/>
          <w:highlight w:val="none"/>
          <w:lang w:val="en-US" w:eastAsia="zh-CN"/>
        </w:rPr>
        <w:t>并</w:t>
      </w:r>
      <w:r>
        <w:rPr>
          <w:rFonts w:hint="eastAsia" w:ascii="宋体" w:hAnsi="宋体" w:eastAsia="宋体" w:cs="宋体"/>
          <w:b w:val="0"/>
          <w:snapToGrid/>
          <w:color w:val="auto"/>
          <w:kern w:val="0"/>
          <w:sz w:val="24"/>
          <w:szCs w:val="24"/>
          <w:highlight w:val="none"/>
        </w:rPr>
        <w:t>与政府协商</w:t>
      </w:r>
      <w:r>
        <w:rPr>
          <w:rFonts w:hint="eastAsia" w:ascii="宋体" w:hAnsi="宋体" w:eastAsia="宋体" w:cs="宋体"/>
          <w:b w:val="0"/>
          <w:snapToGrid/>
          <w:color w:val="auto"/>
          <w:kern w:val="0"/>
          <w:sz w:val="24"/>
          <w:szCs w:val="24"/>
          <w:highlight w:val="none"/>
          <w:lang w:val="en-US" w:eastAsia="zh-CN"/>
        </w:rPr>
        <w:t>获取</w:t>
      </w:r>
      <w:r>
        <w:rPr>
          <w:rFonts w:hint="eastAsia" w:ascii="宋体" w:hAnsi="宋体" w:eastAsia="宋体" w:cs="宋体"/>
          <w:b w:val="0"/>
          <w:bCs w:val="0"/>
          <w:color w:val="auto"/>
          <w:kern w:val="0"/>
          <w:sz w:val="24"/>
          <w:szCs w:val="24"/>
          <w:highlight w:val="none"/>
          <w:lang w:val="en-US" w:eastAsia="zh-CN"/>
        </w:rPr>
        <w:t>明英电站赔偿款</w:t>
      </w:r>
      <w:r>
        <w:rPr>
          <w:rFonts w:hint="eastAsia" w:ascii="宋体" w:hAnsi="宋体" w:eastAsia="宋体" w:cs="宋体"/>
          <w:b w:val="0"/>
          <w:snapToGrid/>
          <w:color w:val="auto"/>
          <w:kern w:val="0"/>
          <w:sz w:val="24"/>
          <w:szCs w:val="24"/>
          <w:highlight w:val="none"/>
          <w:lang w:eastAsia="zh-CN"/>
        </w:rPr>
        <w:t>，</w:t>
      </w:r>
      <w:r>
        <w:rPr>
          <w:rFonts w:hint="eastAsia" w:ascii="宋体" w:hAnsi="宋体" w:eastAsia="宋体" w:cs="宋体"/>
          <w:b w:val="0"/>
          <w:bCs w:val="0"/>
          <w:color w:val="auto"/>
          <w:kern w:val="0"/>
          <w:sz w:val="24"/>
          <w:szCs w:val="24"/>
          <w:highlight w:val="none"/>
          <w:lang w:val="en-US" w:eastAsia="zh-CN"/>
        </w:rPr>
        <w:t>增加归母利1.26亿元</w:t>
      </w:r>
      <w:r>
        <w:rPr>
          <w:rFonts w:hint="eastAsia" w:ascii="宋体" w:hAnsi="宋体" w:cs="宋体"/>
          <w:b w:val="0"/>
          <w:bCs w:val="0"/>
          <w:color w:val="auto"/>
          <w:kern w:val="0"/>
          <w:sz w:val="24"/>
          <w:szCs w:val="24"/>
          <w:highlight w:val="none"/>
          <w:lang w:val="en-US" w:eastAsia="zh-CN"/>
        </w:rPr>
        <w:t>。</w:t>
      </w:r>
    </w:p>
    <w:p>
      <w:pPr>
        <w:pStyle w:val="15"/>
        <w:keepNext w:val="0"/>
        <w:keepLines w:val="0"/>
        <w:pageBreakBefore w:val="0"/>
        <w:kinsoku/>
        <w:wordWrap/>
        <w:overflowPunct/>
        <w:topLinePunct w:val="0"/>
        <w:bidi w:val="0"/>
        <w:spacing w:line="400" w:lineRule="exact"/>
        <w:ind w:firstLine="480" w:firstLineChars="200"/>
        <w:jc w:val="both"/>
        <w:rPr>
          <w:rFonts w:hint="default"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2.基本每股收益</w:t>
      </w:r>
      <w:r>
        <w:rPr>
          <w:rFonts w:hint="eastAsia" w:ascii="宋体" w:hAnsi="宋体" w:cs="宋体"/>
          <w:b w:val="0"/>
          <w:bCs/>
          <w:color w:val="auto"/>
          <w:sz w:val="24"/>
          <w:szCs w:val="24"/>
          <w:highlight w:val="none"/>
          <w:lang w:val="en-US" w:eastAsia="zh-CN"/>
        </w:rPr>
        <w:t xml:space="preserve"> </w:t>
      </w:r>
    </w:p>
    <w:p>
      <w:pPr>
        <w:pStyle w:val="15"/>
        <w:keepNext w:val="0"/>
        <w:keepLines w:val="0"/>
        <w:pageBreakBefore w:val="0"/>
        <w:shd w:val="clear"/>
        <w:kinsoku/>
        <w:wordWrap/>
        <w:overflowPunct/>
        <w:topLinePunct w:val="0"/>
        <w:bidi w:val="0"/>
        <w:spacing w:line="400" w:lineRule="exact"/>
        <w:ind w:firstLine="480" w:firstLineChars="200"/>
        <w:jc w:val="both"/>
        <w:rPr>
          <w:rFonts w:hint="eastAsia" w:ascii="宋体" w:hAnsi="宋体" w:eastAsia="宋体" w:cs="宋体"/>
          <w:b w:val="0"/>
          <w:color w:val="auto"/>
          <w:kern w:val="0"/>
          <w:sz w:val="24"/>
          <w:szCs w:val="24"/>
          <w:highlight w:val="none"/>
          <w:shd w:val="clear"/>
          <w:lang w:val="en-US" w:eastAsia="zh-CN" w:bidi="ar-SA"/>
        </w:rPr>
      </w:pPr>
      <w:r>
        <w:rPr>
          <w:rFonts w:hint="eastAsia" w:ascii="宋体" w:hAnsi="宋体" w:eastAsia="宋体" w:cs="宋体"/>
          <w:b w:val="0"/>
          <w:color w:val="auto"/>
          <w:kern w:val="0"/>
          <w:sz w:val="24"/>
          <w:szCs w:val="24"/>
          <w:highlight w:val="none"/>
          <w:lang w:val="en-US" w:eastAsia="zh-CN" w:bidi="ar-SA"/>
        </w:rPr>
        <w:t>公司202</w:t>
      </w:r>
      <w:r>
        <w:rPr>
          <w:rFonts w:hint="eastAsia" w:ascii="宋体" w:hAnsi="宋体" w:cs="宋体"/>
          <w:b w:val="0"/>
          <w:color w:val="auto"/>
          <w:kern w:val="0"/>
          <w:sz w:val="24"/>
          <w:szCs w:val="24"/>
          <w:highlight w:val="none"/>
          <w:lang w:val="en-US" w:eastAsia="zh-CN" w:bidi="ar-SA"/>
        </w:rPr>
        <w:t>4</w:t>
      </w:r>
      <w:r>
        <w:rPr>
          <w:rFonts w:hint="eastAsia" w:ascii="宋体" w:hAnsi="宋体" w:eastAsia="宋体" w:cs="宋体"/>
          <w:b w:val="0"/>
          <w:color w:val="auto"/>
          <w:kern w:val="0"/>
          <w:sz w:val="24"/>
          <w:szCs w:val="24"/>
          <w:highlight w:val="none"/>
          <w:lang w:val="en-US" w:eastAsia="zh-CN" w:bidi="ar-SA"/>
        </w:rPr>
        <w:t>年基本每股收益</w:t>
      </w:r>
      <w:r>
        <w:rPr>
          <w:rFonts w:hint="eastAsia" w:ascii="宋体" w:hAnsi="宋体" w:cs="宋体"/>
          <w:b w:val="0"/>
          <w:color w:val="auto"/>
          <w:kern w:val="0"/>
          <w:sz w:val="24"/>
          <w:szCs w:val="24"/>
          <w:highlight w:val="none"/>
          <w:lang w:val="en-US" w:eastAsia="zh-CN" w:bidi="ar-SA"/>
        </w:rPr>
        <w:t>0.0149</w:t>
      </w:r>
      <w:r>
        <w:rPr>
          <w:rFonts w:hint="eastAsia" w:ascii="宋体" w:hAnsi="宋体" w:eastAsia="宋体" w:cs="宋体"/>
          <w:b w:val="0"/>
          <w:color w:val="auto"/>
          <w:kern w:val="0"/>
          <w:sz w:val="24"/>
          <w:szCs w:val="24"/>
          <w:highlight w:val="none"/>
          <w:lang w:val="en-US" w:eastAsia="zh-CN" w:bidi="ar-SA"/>
        </w:rPr>
        <w:t>元，同比</w:t>
      </w:r>
      <w:r>
        <w:rPr>
          <w:rFonts w:hint="eastAsia" w:ascii="宋体" w:hAnsi="宋体" w:cs="宋体"/>
          <w:b w:val="0"/>
          <w:color w:val="auto"/>
          <w:kern w:val="0"/>
          <w:sz w:val="24"/>
          <w:szCs w:val="24"/>
          <w:highlight w:val="none"/>
          <w:lang w:val="en-US" w:eastAsia="zh-CN" w:bidi="ar-SA"/>
        </w:rPr>
        <w:t>增加0.4187</w:t>
      </w:r>
      <w:r>
        <w:rPr>
          <w:rFonts w:hint="eastAsia" w:ascii="宋体" w:hAnsi="宋体" w:eastAsia="宋体" w:cs="宋体"/>
          <w:b w:val="0"/>
          <w:color w:val="auto"/>
          <w:kern w:val="0"/>
          <w:sz w:val="24"/>
          <w:szCs w:val="24"/>
          <w:highlight w:val="none"/>
          <w:lang w:val="en-US" w:eastAsia="zh-CN" w:bidi="ar-SA"/>
        </w:rPr>
        <w:t>元，</w:t>
      </w:r>
      <w:r>
        <w:rPr>
          <w:rFonts w:hint="eastAsia" w:ascii="宋体" w:hAnsi="宋体" w:cs="宋体"/>
          <w:b w:val="0"/>
          <w:color w:val="auto"/>
          <w:kern w:val="0"/>
          <w:sz w:val="24"/>
          <w:szCs w:val="24"/>
          <w:highlight w:val="none"/>
          <w:lang w:val="en-US" w:eastAsia="zh-CN" w:bidi="ar-SA"/>
        </w:rPr>
        <w:t>增</w:t>
      </w:r>
      <w:r>
        <w:rPr>
          <w:rFonts w:hint="eastAsia" w:ascii="宋体" w:hAnsi="宋体" w:eastAsia="宋体" w:cs="宋体"/>
          <w:b w:val="0"/>
          <w:color w:val="auto"/>
          <w:kern w:val="0"/>
          <w:sz w:val="24"/>
          <w:szCs w:val="24"/>
          <w:highlight w:val="none"/>
          <w:lang w:val="en-US" w:eastAsia="zh-CN" w:bidi="ar-SA"/>
        </w:rPr>
        <w:t>幅</w:t>
      </w:r>
      <w:r>
        <w:rPr>
          <w:rFonts w:hint="eastAsia" w:ascii="宋体" w:hAnsi="宋体" w:cs="宋体"/>
          <w:b w:val="0"/>
          <w:color w:val="auto"/>
          <w:kern w:val="0"/>
          <w:sz w:val="24"/>
          <w:szCs w:val="24"/>
          <w:highlight w:val="none"/>
          <w:lang w:val="en-US" w:eastAsia="zh-CN" w:bidi="ar-SA"/>
        </w:rPr>
        <w:t>103.69%</w:t>
      </w:r>
      <w:r>
        <w:rPr>
          <w:rFonts w:hint="eastAsia" w:ascii="宋体" w:hAnsi="宋体" w:eastAsia="宋体" w:cs="宋体"/>
          <w:b w:val="0"/>
          <w:color w:val="auto"/>
          <w:kern w:val="0"/>
          <w:sz w:val="24"/>
          <w:szCs w:val="24"/>
          <w:highlight w:val="none"/>
          <w:lang w:val="en-US" w:eastAsia="zh-CN" w:bidi="ar-SA"/>
        </w:rPr>
        <w:t>。</w:t>
      </w:r>
      <w:r>
        <w:rPr>
          <w:rFonts w:hint="eastAsia" w:ascii="宋体" w:hAnsi="宋体" w:eastAsia="宋体" w:cs="宋体"/>
          <w:b w:val="0"/>
          <w:color w:val="auto"/>
          <w:kern w:val="0"/>
          <w:sz w:val="24"/>
          <w:szCs w:val="24"/>
          <w:highlight w:val="none"/>
          <w:shd w:val="clear"/>
          <w:lang w:val="en-US" w:eastAsia="zh-CN" w:bidi="ar-SA"/>
        </w:rPr>
        <w:t>变动的主要原因：202</w:t>
      </w:r>
      <w:r>
        <w:rPr>
          <w:rFonts w:hint="eastAsia" w:ascii="宋体" w:hAnsi="宋体" w:cs="宋体"/>
          <w:b w:val="0"/>
          <w:color w:val="auto"/>
          <w:kern w:val="0"/>
          <w:sz w:val="24"/>
          <w:szCs w:val="24"/>
          <w:highlight w:val="none"/>
          <w:shd w:val="clear"/>
          <w:lang w:val="en-US" w:eastAsia="zh-CN" w:bidi="ar-SA"/>
        </w:rPr>
        <w:t>4</w:t>
      </w:r>
      <w:r>
        <w:rPr>
          <w:rFonts w:hint="eastAsia" w:ascii="宋体" w:hAnsi="宋体" w:eastAsia="宋体" w:cs="宋体"/>
          <w:b w:val="0"/>
          <w:color w:val="auto"/>
          <w:kern w:val="0"/>
          <w:sz w:val="24"/>
          <w:szCs w:val="24"/>
          <w:highlight w:val="none"/>
          <w:shd w:val="clear"/>
          <w:lang w:val="en-US" w:eastAsia="zh-CN" w:bidi="ar-SA"/>
        </w:rPr>
        <w:t>年净利润</w:t>
      </w:r>
      <w:r>
        <w:rPr>
          <w:rFonts w:hint="eastAsia" w:ascii="宋体" w:hAnsi="宋体" w:cs="宋体"/>
          <w:b w:val="0"/>
          <w:color w:val="auto"/>
          <w:kern w:val="0"/>
          <w:sz w:val="24"/>
          <w:szCs w:val="24"/>
          <w:highlight w:val="none"/>
          <w:shd w:val="clear"/>
          <w:lang w:val="en-US" w:eastAsia="zh-CN" w:bidi="ar-SA"/>
        </w:rPr>
        <w:t>同比大幅增加</w:t>
      </w:r>
      <w:r>
        <w:rPr>
          <w:rFonts w:hint="eastAsia" w:ascii="宋体" w:hAnsi="宋体" w:eastAsia="宋体" w:cs="宋体"/>
          <w:b w:val="0"/>
          <w:color w:val="auto"/>
          <w:kern w:val="0"/>
          <w:sz w:val="24"/>
          <w:szCs w:val="24"/>
          <w:highlight w:val="none"/>
          <w:shd w:val="clear"/>
          <w:lang w:val="en-US" w:eastAsia="zh-CN" w:bidi="ar-SA"/>
        </w:rPr>
        <w:t>。</w:t>
      </w:r>
    </w:p>
    <w:p>
      <w:pPr>
        <w:keepNext w:val="0"/>
        <w:keepLines w:val="0"/>
        <w:pageBreakBefore w:val="0"/>
        <w:numPr>
          <w:ilvl w:val="0"/>
          <w:numId w:val="5"/>
        </w:numPr>
        <w:kinsoku/>
        <w:wordWrap/>
        <w:overflowPunct/>
        <w:topLinePunct w:val="0"/>
        <w:bidi w:val="0"/>
        <w:spacing w:line="480" w:lineRule="exact"/>
        <w:ind w:firstLine="482" w:firstLineChars="20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偿债能力</w:t>
      </w:r>
    </w:p>
    <w:tbl>
      <w:tblPr>
        <w:tblStyle w:val="22"/>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2572"/>
        <w:gridCol w:w="1815"/>
        <w:gridCol w:w="2030"/>
        <w:gridCol w:w="19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00" w:hRule="atLeast"/>
        </w:trPr>
        <w:tc>
          <w:tcPr>
            <w:tcW w:w="1542" w:type="pct"/>
            <w:tcBorders>
              <w:top w:val="nil"/>
              <w:left w:val="nil"/>
              <w:bottom w:val="single" w:color="auto"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auto"/>
                <w:sz w:val="20"/>
                <w:szCs w:val="20"/>
                <w:highlight w:val="none"/>
                <w:u w:val="none"/>
              </w:rPr>
            </w:pPr>
          </w:p>
        </w:tc>
        <w:tc>
          <w:tcPr>
            <w:tcW w:w="1088" w:type="pct"/>
            <w:tcBorders>
              <w:top w:val="nil"/>
              <w:left w:val="nil"/>
              <w:bottom w:val="single" w:color="auto"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auto"/>
                <w:sz w:val="20"/>
                <w:szCs w:val="20"/>
                <w:highlight w:val="none"/>
                <w:u w:val="none"/>
              </w:rPr>
            </w:pPr>
          </w:p>
        </w:tc>
        <w:tc>
          <w:tcPr>
            <w:tcW w:w="1217" w:type="pct"/>
            <w:tcBorders>
              <w:top w:val="nil"/>
              <w:left w:val="nil"/>
              <w:bottom w:val="single" w:color="auto"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auto"/>
                <w:sz w:val="20"/>
                <w:szCs w:val="20"/>
                <w:highlight w:val="none"/>
                <w:u w:val="none"/>
              </w:rPr>
            </w:pPr>
          </w:p>
        </w:tc>
        <w:tc>
          <w:tcPr>
            <w:tcW w:w="1151" w:type="pct"/>
            <w:tcBorders>
              <w:top w:val="nil"/>
              <w:left w:val="nil"/>
              <w:bottom w:val="single" w:color="auto" w:sz="4" w:space="0"/>
              <w:right w:val="nil"/>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00" w:hRule="atLeast"/>
        </w:trPr>
        <w:tc>
          <w:tcPr>
            <w:tcW w:w="1542" w:type="pct"/>
            <w:tcBorders>
              <w:top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项目</w:t>
            </w:r>
          </w:p>
        </w:tc>
        <w:tc>
          <w:tcPr>
            <w:tcW w:w="1088" w:type="pct"/>
            <w:tcBorders>
              <w:top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本期期末</w:t>
            </w:r>
          </w:p>
        </w:tc>
        <w:tc>
          <w:tcPr>
            <w:tcW w:w="1217" w:type="pct"/>
            <w:tcBorders>
              <w:top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上年期末</w:t>
            </w:r>
          </w:p>
        </w:tc>
        <w:tc>
          <w:tcPr>
            <w:tcW w:w="1151" w:type="pct"/>
            <w:tcBorders>
              <w:top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增减变动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542" w:type="pct"/>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资产总计</w:t>
            </w:r>
          </w:p>
        </w:tc>
        <w:tc>
          <w:tcPr>
            <w:tcW w:w="1088" w:type="pct"/>
            <w:shd w:val="clear" w:color="auto" w:fill="auto"/>
            <w:tcMar>
              <w:top w:w="15" w:type="dxa"/>
              <w:left w:w="15" w:type="dxa"/>
              <w:right w:w="15" w:type="dxa"/>
            </w:tcMar>
            <w:vAlign w:val="top"/>
          </w:tcPr>
          <w:p>
            <w:pPr>
              <w:keepNext w:val="0"/>
              <w:keepLines w:val="0"/>
              <w:widowControl/>
              <w:suppressLineNumbers w:val="0"/>
              <w:jc w:val="right"/>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73,992,875,461.15</w:t>
            </w:r>
          </w:p>
        </w:tc>
        <w:tc>
          <w:tcPr>
            <w:tcW w:w="1217" w:type="pct"/>
            <w:shd w:val="clear" w:color="auto" w:fill="auto"/>
            <w:tcMar>
              <w:top w:w="15" w:type="dxa"/>
              <w:left w:w="15" w:type="dxa"/>
              <w:right w:w="15" w:type="dxa"/>
            </w:tcMar>
            <w:vAlign w:val="top"/>
          </w:tcPr>
          <w:p>
            <w:pPr>
              <w:keepNext w:val="0"/>
              <w:keepLines w:val="0"/>
              <w:widowControl/>
              <w:suppressLineNumbers w:val="0"/>
              <w:jc w:val="right"/>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70,704,234,711.23</w:t>
            </w:r>
          </w:p>
        </w:tc>
        <w:tc>
          <w:tcPr>
            <w:tcW w:w="1151" w:type="pct"/>
            <w:shd w:val="clear" w:color="auto" w:fill="auto"/>
            <w:tcMar>
              <w:top w:w="15" w:type="dxa"/>
              <w:left w:w="15" w:type="dxa"/>
              <w:right w:w="15" w:type="dxa"/>
            </w:tcMar>
            <w:vAlign w:val="center"/>
          </w:tcPr>
          <w:p>
            <w:pPr>
              <w:keepNext w:val="0"/>
              <w:keepLines w:val="0"/>
              <w:widowControl/>
              <w:suppressLineNumbers w:val="0"/>
              <w:jc w:val="right"/>
              <w:textAlignment w:val="top"/>
              <w:rPr>
                <w:rFonts w:hint="eastAsia" w:ascii="宋体" w:hAnsi="宋体" w:eastAsia="宋体" w:cs="宋体"/>
                <w:i w:val="0"/>
                <w:color w:val="auto"/>
                <w:kern w:val="0"/>
                <w:sz w:val="20"/>
                <w:szCs w:val="20"/>
                <w:highlight w:val="none"/>
                <w:u w:val="none"/>
                <w:lang w:bidi="ar"/>
              </w:rPr>
            </w:pPr>
            <w:r>
              <w:rPr>
                <w:rFonts w:hint="eastAsia" w:ascii="宋体" w:hAnsi="宋体" w:eastAsia="宋体" w:cs="宋体"/>
                <w:i w:val="0"/>
                <w:iCs w:val="0"/>
                <w:color w:val="auto"/>
                <w:kern w:val="0"/>
                <w:sz w:val="20"/>
                <w:szCs w:val="20"/>
                <w:highlight w:val="none"/>
                <w:u w:val="none"/>
                <w:lang w:val="en-US" w:eastAsia="zh-CN" w:bidi="ar"/>
              </w:rPr>
              <w:t>4.65%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542" w:type="pct"/>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负债总计</w:t>
            </w:r>
          </w:p>
        </w:tc>
        <w:tc>
          <w:tcPr>
            <w:tcW w:w="1088" w:type="pct"/>
            <w:shd w:val="clear" w:color="auto" w:fill="auto"/>
            <w:tcMar>
              <w:top w:w="15" w:type="dxa"/>
              <w:left w:w="15" w:type="dxa"/>
              <w:right w:w="15" w:type="dxa"/>
            </w:tcMar>
            <w:vAlign w:val="top"/>
          </w:tcPr>
          <w:p>
            <w:pPr>
              <w:keepNext w:val="0"/>
              <w:keepLines w:val="0"/>
              <w:widowControl/>
              <w:suppressLineNumbers w:val="0"/>
              <w:jc w:val="right"/>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58,854,779,523.36</w:t>
            </w:r>
          </w:p>
        </w:tc>
        <w:tc>
          <w:tcPr>
            <w:tcW w:w="1217" w:type="pct"/>
            <w:shd w:val="clear" w:color="auto" w:fill="auto"/>
            <w:tcMar>
              <w:top w:w="15" w:type="dxa"/>
              <w:left w:w="15" w:type="dxa"/>
              <w:right w:w="15" w:type="dxa"/>
            </w:tcMar>
            <w:vAlign w:val="top"/>
          </w:tcPr>
          <w:p>
            <w:pPr>
              <w:keepNext w:val="0"/>
              <w:keepLines w:val="0"/>
              <w:widowControl/>
              <w:suppressLineNumbers w:val="0"/>
              <w:jc w:val="right"/>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57,909,640,547.22</w:t>
            </w:r>
          </w:p>
        </w:tc>
        <w:tc>
          <w:tcPr>
            <w:tcW w:w="2085" w:type="dxa"/>
            <w:shd w:val="clear" w:color="auto" w:fill="auto"/>
            <w:tcMar>
              <w:top w:w="15" w:type="dxa"/>
              <w:left w:w="15" w:type="dxa"/>
              <w:right w:w="15" w:type="dxa"/>
            </w:tcMar>
            <w:vAlign w:val="center"/>
          </w:tcPr>
          <w:p>
            <w:pPr>
              <w:keepNext w:val="0"/>
              <w:keepLines w:val="0"/>
              <w:widowControl/>
              <w:suppressLineNumbers w:val="0"/>
              <w:jc w:val="right"/>
              <w:textAlignment w:val="top"/>
              <w:rPr>
                <w:rFonts w:hint="eastAsia" w:ascii="宋体" w:hAnsi="宋体" w:eastAsia="宋体" w:cs="宋体"/>
                <w:i w:val="0"/>
                <w:color w:val="auto"/>
                <w:kern w:val="0"/>
                <w:sz w:val="20"/>
                <w:szCs w:val="20"/>
                <w:highlight w:val="none"/>
                <w:u w:val="none"/>
                <w:lang w:bidi="ar"/>
              </w:rPr>
            </w:pPr>
            <w:r>
              <w:rPr>
                <w:rFonts w:hint="eastAsia" w:ascii="宋体" w:hAnsi="宋体" w:eastAsia="宋体" w:cs="宋体"/>
                <w:i w:val="0"/>
                <w:iCs w:val="0"/>
                <w:color w:val="auto"/>
                <w:kern w:val="0"/>
                <w:sz w:val="20"/>
                <w:szCs w:val="20"/>
                <w:highlight w:val="none"/>
                <w:u w:val="none"/>
                <w:lang w:val="en-US" w:eastAsia="zh-CN" w:bidi="ar"/>
              </w:rPr>
              <w:t>1.63%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00" w:hRule="atLeast"/>
        </w:trPr>
        <w:tc>
          <w:tcPr>
            <w:tcW w:w="1542" w:type="pct"/>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归属于母公司股东的净资产</w:t>
            </w:r>
          </w:p>
        </w:tc>
        <w:tc>
          <w:tcPr>
            <w:tcW w:w="1088" w:type="pct"/>
            <w:shd w:val="clear" w:color="auto" w:fill="auto"/>
            <w:tcMar>
              <w:top w:w="15" w:type="dxa"/>
              <w:left w:w="15" w:type="dxa"/>
              <w:right w:w="15" w:type="dxa"/>
            </w:tcMar>
            <w:vAlign w:val="top"/>
          </w:tcPr>
          <w:p>
            <w:pPr>
              <w:keepNext w:val="0"/>
              <w:keepLines w:val="0"/>
              <w:widowControl/>
              <w:suppressLineNumbers w:val="0"/>
              <w:jc w:val="right"/>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-736,770,819.87</w:t>
            </w:r>
          </w:p>
        </w:tc>
        <w:tc>
          <w:tcPr>
            <w:tcW w:w="1217" w:type="pct"/>
            <w:shd w:val="clear" w:color="auto" w:fill="auto"/>
            <w:tcMar>
              <w:top w:w="15" w:type="dxa"/>
              <w:left w:w="15" w:type="dxa"/>
              <w:right w:w="15" w:type="dxa"/>
            </w:tcMar>
            <w:vAlign w:val="top"/>
          </w:tcPr>
          <w:p>
            <w:pPr>
              <w:keepNext w:val="0"/>
              <w:keepLines w:val="0"/>
              <w:widowControl/>
              <w:suppressLineNumbers w:val="0"/>
              <w:jc w:val="right"/>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-388,936,873.19</w:t>
            </w:r>
          </w:p>
        </w:tc>
        <w:tc>
          <w:tcPr>
            <w:tcW w:w="2085" w:type="dxa"/>
            <w:shd w:val="clear" w:color="auto" w:fill="auto"/>
            <w:tcMar>
              <w:top w:w="15" w:type="dxa"/>
              <w:left w:w="15" w:type="dxa"/>
              <w:right w:w="15" w:type="dxa"/>
            </w:tcMar>
            <w:vAlign w:val="center"/>
          </w:tcPr>
          <w:p>
            <w:pPr>
              <w:keepNext w:val="0"/>
              <w:keepLines w:val="0"/>
              <w:widowControl/>
              <w:suppressLineNumbers w:val="0"/>
              <w:jc w:val="right"/>
              <w:textAlignment w:val="top"/>
              <w:rPr>
                <w:rFonts w:hint="eastAsia" w:ascii="宋体" w:hAnsi="宋体" w:eastAsia="宋体" w:cs="宋体"/>
                <w:i w:val="0"/>
                <w:color w:val="auto"/>
                <w:kern w:val="0"/>
                <w:sz w:val="20"/>
                <w:szCs w:val="20"/>
                <w:highlight w:val="none"/>
                <w:u w:val="none"/>
                <w:lang w:bidi="ar"/>
              </w:rPr>
            </w:pPr>
            <w:r>
              <w:rPr>
                <w:rFonts w:hint="eastAsia" w:ascii="宋体" w:hAnsi="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89.43%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00" w:hRule="atLeast"/>
        </w:trPr>
        <w:tc>
          <w:tcPr>
            <w:tcW w:w="1542" w:type="pct"/>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归属于母公司股东的每股净资产</w:t>
            </w:r>
          </w:p>
        </w:tc>
        <w:tc>
          <w:tcPr>
            <w:tcW w:w="1088" w:type="pct"/>
            <w:shd w:val="clear" w:color="auto" w:fill="auto"/>
            <w:tcMar>
              <w:top w:w="15" w:type="dxa"/>
              <w:left w:w="15" w:type="dxa"/>
              <w:right w:w="15" w:type="dxa"/>
            </w:tcMar>
            <w:vAlign w:val="center"/>
          </w:tcPr>
          <w:p>
            <w:pPr>
              <w:keepNext w:val="0"/>
              <w:keepLines w:val="0"/>
              <w:widowControl/>
              <w:suppressLineNumbers w:val="0"/>
              <w:jc w:val="right"/>
              <w:textAlignment w:val="center"/>
              <w:rPr>
                <w:rFonts w:hint="default"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2"/>
                <w:sz w:val="20"/>
                <w:szCs w:val="20"/>
                <w:highlight w:val="none"/>
                <w:u w:val="none"/>
                <w:lang w:val="en-US" w:eastAsia="zh-CN" w:bidi="ar"/>
              </w:rPr>
              <w:t xml:space="preserve">-0.16 </w:t>
            </w:r>
          </w:p>
        </w:tc>
        <w:tc>
          <w:tcPr>
            <w:tcW w:w="1217" w:type="pct"/>
            <w:shd w:val="clear" w:color="auto" w:fill="auto"/>
            <w:tcMar>
              <w:top w:w="15" w:type="dxa"/>
              <w:left w:w="15" w:type="dxa"/>
              <w:right w:w="15" w:type="dxa"/>
            </w:tcMar>
            <w:vAlign w:val="center"/>
          </w:tcPr>
          <w:p>
            <w:pPr>
              <w:jc w:val="right"/>
              <w:rPr>
                <w:rFonts w:hint="eastAsia" w:ascii="宋体" w:hAnsi="宋体" w:eastAsia="宋体" w:cs="宋体"/>
                <w:i w:val="0"/>
                <w:color w:val="auto"/>
                <w:sz w:val="20"/>
                <w:szCs w:val="20"/>
                <w:highlight w:val="none"/>
                <w:u w:val="none"/>
              </w:rPr>
            </w:pPr>
            <w:r>
              <w:rPr>
                <w:rFonts w:hint="eastAsia" w:ascii="宋体" w:hAnsi="宋体" w:cs="宋体"/>
                <w:i w:val="0"/>
                <w:color w:val="auto"/>
                <w:sz w:val="20"/>
                <w:szCs w:val="20"/>
                <w:highlight w:val="none"/>
                <w:u w:val="none"/>
                <w:lang w:val="en-US" w:eastAsia="zh-CN"/>
              </w:rPr>
              <w:t>-0.34</w:t>
            </w:r>
          </w:p>
        </w:tc>
        <w:tc>
          <w:tcPr>
            <w:tcW w:w="1151" w:type="pct"/>
            <w:shd w:val="clear" w:color="auto" w:fill="auto"/>
            <w:tcMar>
              <w:top w:w="15" w:type="dxa"/>
              <w:left w:w="15" w:type="dxa"/>
              <w:right w:w="15" w:type="dxa"/>
            </w:tcMar>
            <w:vAlign w:val="center"/>
          </w:tcPr>
          <w:p>
            <w:pPr>
              <w:keepNext w:val="0"/>
              <w:keepLines w:val="0"/>
              <w:widowControl/>
              <w:suppressLineNumbers w:val="0"/>
              <w:jc w:val="right"/>
              <w:textAlignment w:val="top"/>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52.94%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542" w:type="pct"/>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资产负债率（母公司）</w:t>
            </w:r>
          </w:p>
        </w:tc>
        <w:tc>
          <w:tcPr>
            <w:tcW w:w="1088" w:type="pct"/>
            <w:shd w:val="clear" w:color="auto" w:fill="auto"/>
            <w:noWrap/>
            <w:tcMar>
              <w:top w:w="15" w:type="dxa"/>
              <w:left w:w="15" w:type="dxa"/>
              <w:right w:w="15" w:type="dxa"/>
            </w:tcMar>
            <w:vAlign w:val="center"/>
          </w:tcPr>
          <w:p>
            <w:pPr>
              <w:keepNext w:val="0"/>
              <w:keepLines w:val="0"/>
              <w:widowControl/>
              <w:suppressLineNumbers w:val="0"/>
              <w:jc w:val="right"/>
              <w:textAlignment w:val="top"/>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88.50%</w:t>
            </w:r>
          </w:p>
        </w:tc>
        <w:tc>
          <w:tcPr>
            <w:tcW w:w="1217" w:type="pct"/>
            <w:shd w:val="clear" w:color="auto" w:fill="auto"/>
            <w:tcMar>
              <w:top w:w="15" w:type="dxa"/>
              <w:left w:w="15" w:type="dxa"/>
              <w:right w:w="15" w:type="dxa"/>
            </w:tcMar>
            <w:vAlign w:val="center"/>
          </w:tcPr>
          <w:p>
            <w:pPr>
              <w:keepNext w:val="0"/>
              <w:keepLines w:val="0"/>
              <w:widowControl/>
              <w:suppressLineNumbers w:val="0"/>
              <w:jc w:val="right"/>
              <w:textAlignment w:val="top"/>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8</w:t>
            </w:r>
            <w:r>
              <w:rPr>
                <w:rFonts w:hint="eastAsia" w:ascii="宋体" w:hAnsi="宋体" w:cs="宋体"/>
                <w:i w:val="0"/>
                <w:color w:val="auto"/>
                <w:kern w:val="0"/>
                <w:sz w:val="20"/>
                <w:szCs w:val="20"/>
                <w:highlight w:val="none"/>
                <w:u w:val="none"/>
                <w:lang w:val="en-US" w:eastAsia="zh-CN" w:bidi="ar"/>
              </w:rPr>
              <w:t>6.57</w:t>
            </w:r>
            <w:r>
              <w:rPr>
                <w:rFonts w:hint="eastAsia" w:ascii="宋体" w:hAnsi="宋体" w:eastAsia="宋体" w:cs="宋体"/>
                <w:i w:val="0"/>
                <w:color w:val="auto"/>
                <w:kern w:val="0"/>
                <w:sz w:val="20"/>
                <w:szCs w:val="20"/>
                <w:highlight w:val="none"/>
                <w:u w:val="none"/>
                <w:lang w:val="en-US" w:eastAsia="zh-CN" w:bidi="ar"/>
              </w:rPr>
              <w:t>%</w:t>
            </w:r>
          </w:p>
        </w:tc>
        <w:tc>
          <w:tcPr>
            <w:tcW w:w="2085" w:type="dxa"/>
            <w:shd w:val="clear" w:color="auto" w:fill="auto"/>
            <w:tcMar>
              <w:top w:w="15" w:type="dxa"/>
              <w:left w:w="15" w:type="dxa"/>
              <w:right w:w="15" w:type="dxa"/>
            </w:tcMar>
            <w:vAlign w:val="top"/>
          </w:tcPr>
          <w:p>
            <w:pPr>
              <w:keepNext w:val="0"/>
              <w:keepLines w:val="0"/>
              <w:widowControl/>
              <w:suppressLineNumbers w:val="0"/>
              <w:jc w:val="right"/>
              <w:textAlignment w:val="top"/>
              <w:rPr>
                <w:rFonts w:hint="eastAsia" w:ascii="宋体" w:hAnsi="宋体" w:eastAsia="宋体" w:cs="宋体"/>
                <w:i w:val="0"/>
                <w:color w:val="auto"/>
                <w:kern w:val="0"/>
                <w:sz w:val="20"/>
                <w:szCs w:val="20"/>
                <w:highlight w:val="none"/>
                <w:u w:val="none"/>
                <w:lang w:bidi="ar"/>
              </w:rPr>
            </w:pPr>
            <w:r>
              <w:rPr>
                <w:rFonts w:hint="eastAsia" w:ascii="宋体" w:hAnsi="宋体" w:eastAsia="宋体" w:cs="宋体"/>
                <w:i w:val="0"/>
                <w:iCs w:val="0"/>
                <w:color w:val="auto"/>
                <w:kern w:val="0"/>
                <w:sz w:val="20"/>
                <w:szCs w:val="20"/>
                <w:highlight w:val="none"/>
                <w:u w:val="none"/>
                <w:lang w:val="en-US" w:eastAsia="zh-CN" w:bidi="ar"/>
              </w:rPr>
              <w:t>1.93%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542" w:type="pct"/>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资产负债率（合并）</w:t>
            </w:r>
          </w:p>
        </w:tc>
        <w:tc>
          <w:tcPr>
            <w:tcW w:w="1088" w:type="pct"/>
            <w:shd w:val="clear" w:color="auto" w:fill="auto"/>
            <w:tcMar>
              <w:top w:w="15" w:type="dxa"/>
              <w:left w:w="15" w:type="dxa"/>
              <w:right w:w="15" w:type="dxa"/>
            </w:tcMar>
            <w:vAlign w:val="center"/>
          </w:tcPr>
          <w:p>
            <w:pPr>
              <w:keepNext w:val="0"/>
              <w:keepLines w:val="0"/>
              <w:widowControl/>
              <w:suppressLineNumbers w:val="0"/>
              <w:jc w:val="right"/>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79.54%</w:t>
            </w:r>
          </w:p>
        </w:tc>
        <w:tc>
          <w:tcPr>
            <w:tcW w:w="1217" w:type="pct"/>
            <w:shd w:val="clear" w:color="auto" w:fill="auto"/>
            <w:tcMar>
              <w:top w:w="15" w:type="dxa"/>
              <w:left w:w="15" w:type="dxa"/>
              <w:right w:w="15" w:type="dxa"/>
            </w:tcMar>
            <w:vAlign w:val="center"/>
          </w:tcPr>
          <w:p>
            <w:pPr>
              <w:keepNext w:val="0"/>
              <w:keepLines w:val="0"/>
              <w:widowControl/>
              <w:suppressLineNumbers w:val="0"/>
              <w:jc w:val="right"/>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81.90%</w:t>
            </w:r>
          </w:p>
        </w:tc>
        <w:tc>
          <w:tcPr>
            <w:tcW w:w="2085" w:type="dxa"/>
            <w:shd w:val="clear" w:color="auto" w:fill="auto"/>
            <w:tcMar>
              <w:top w:w="15" w:type="dxa"/>
              <w:left w:w="15" w:type="dxa"/>
              <w:right w:w="15" w:type="dxa"/>
            </w:tcMar>
            <w:vAlign w:val="top"/>
          </w:tcPr>
          <w:p>
            <w:pPr>
              <w:keepNext w:val="0"/>
              <w:keepLines w:val="0"/>
              <w:widowControl/>
              <w:suppressLineNumbers w:val="0"/>
              <w:jc w:val="right"/>
              <w:textAlignment w:val="top"/>
              <w:rPr>
                <w:rFonts w:hint="eastAsia" w:ascii="宋体" w:hAnsi="宋体" w:eastAsia="宋体" w:cs="宋体"/>
                <w:i w:val="0"/>
                <w:color w:val="auto"/>
                <w:kern w:val="0"/>
                <w:sz w:val="20"/>
                <w:szCs w:val="20"/>
                <w:highlight w:val="none"/>
                <w:u w:val="none"/>
                <w:lang w:bidi="ar"/>
              </w:rPr>
            </w:pPr>
            <w:r>
              <w:rPr>
                <w:rFonts w:hint="eastAsia" w:ascii="宋体" w:hAnsi="宋体" w:eastAsia="宋体" w:cs="宋体"/>
                <w:i w:val="0"/>
                <w:iCs w:val="0"/>
                <w:color w:val="auto"/>
                <w:kern w:val="0"/>
                <w:sz w:val="20"/>
                <w:szCs w:val="20"/>
                <w:highlight w:val="none"/>
                <w:u w:val="none"/>
                <w:lang w:val="en-US" w:eastAsia="zh-CN" w:bidi="ar"/>
              </w:rPr>
              <w:t>-2.36%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542" w:type="pct"/>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流动比率</w:t>
            </w:r>
          </w:p>
        </w:tc>
        <w:tc>
          <w:tcPr>
            <w:tcW w:w="1088" w:type="pct"/>
            <w:shd w:val="clear" w:color="auto" w:fill="auto"/>
            <w:tcMar>
              <w:top w:w="15" w:type="dxa"/>
              <w:left w:w="15" w:type="dxa"/>
              <w:right w:w="15" w:type="dxa"/>
            </w:tcMar>
            <w:vAlign w:val="center"/>
          </w:tcPr>
          <w:p>
            <w:pPr>
              <w:keepNext w:val="0"/>
              <w:keepLines w:val="0"/>
              <w:widowControl/>
              <w:suppressLineNumbers w:val="0"/>
              <w:jc w:val="right"/>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41.77%</w:t>
            </w:r>
          </w:p>
        </w:tc>
        <w:tc>
          <w:tcPr>
            <w:tcW w:w="1217" w:type="pct"/>
            <w:shd w:val="clear" w:color="auto" w:fill="auto"/>
            <w:tcMar>
              <w:top w:w="15" w:type="dxa"/>
              <w:left w:w="15" w:type="dxa"/>
              <w:right w:w="15" w:type="dxa"/>
            </w:tcMar>
            <w:vAlign w:val="center"/>
          </w:tcPr>
          <w:p>
            <w:pPr>
              <w:keepNext w:val="0"/>
              <w:keepLines w:val="0"/>
              <w:widowControl/>
              <w:suppressLineNumbers w:val="0"/>
              <w:jc w:val="right"/>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39.83%</w:t>
            </w:r>
          </w:p>
        </w:tc>
        <w:tc>
          <w:tcPr>
            <w:tcW w:w="1151" w:type="pct"/>
            <w:shd w:val="clear" w:color="auto" w:fill="auto"/>
            <w:tcMar>
              <w:top w:w="15" w:type="dxa"/>
              <w:left w:w="15" w:type="dxa"/>
              <w:right w:w="15" w:type="dxa"/>
            </w:tcMar>
            <w:vAlign w:val="center"/>
          </w:tcPr>
          <w:p>
            <w:pPr>
              <w:keepNext w:val="0"/>
              <w:keepLines w:val="0"/>
              <w:widowControl/>
              <w:suppressLineNumbers w:val="0"/>
              <w:jc w:val="right"/>
              <w:textAlignment w:val="top"/>
              <w:rPr>
                <w:rFonts w:hint="eastAsia" w:ascii="宋体" w:hAnsi="宋体" w:eastAsia="宋体" w:cs="宋体"/>
                <w:i w:val="0"/>
                <w:color w:val="auto"/>
                <w:kern w:val="0"/>
                <w:sz w:val="20"/>
                <w:szCs w:val="20"/>
                <w:highlight w:val="none"/>
                <w:u w:val="none"/>
                <w:lang w:bidi="ar"/>
              </w:rPr>
            </w:pPr>
            <w:r>
              <w:rPr>
                <w:rFonts w:hint="eastAsia" w:ascii="宋体" w:hAnsi="宋体" w:eastAsia="宋体" w:cs="宋体"/>
                <w:i w:val="0"/>
                <w:iCs w:val="0"/>
                <w:color w:val="auto"/>
                <w:kern w:val="0"/>
                <w:sz w:val="20"/>
                <w:szCs w:val="20"/>
                <w:highlight w:val="none"/>
                <w:u w:val="none"/>
                <w:lang w:val="en-US" w:eastAsia="zh-CN" w:bidi="ar"/>
              </w:rPr>
              <w:t>1.94%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00" w:hRule="atLeast"/>
        </w:trPr>
        <w:tc>
          <w:tcPr>
            <w:tcW w:w="1542" w:type="pct"/>
            <w:shd w:val="clear" w:color="auto" w:fill="auto"/>
            <w:tcMar>
              <w:top w:w="15" w:type="dxa"/>
              <w:left w:w="15" w:type="dxa"/>
              <w:right w:w="15" w:type="dxa"/>
            </w:tcMar>
            <w:vAlign w:val="top"/>
          </w:tcPr>
          <w:p>
            <w:pPr>
              <w:keepNext w:val="0"/>
              <w:keepLines w:val="0"/>
              <w:widowControl/>
              <w:suppressLineNumbers w:val="0"/>
              <w:jc w:val="both"/>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利息保障倍数</w:t>
            </w:r>
          </w:p>
        </w:tc>
        <w:tc>
          <w:tcPr>
            <w:tcW w:w="1088" w:type="pct"/>
            <w:shd w:val="clear" w:color="auto" w:fill="auto"/>
            <w:tcMar>
              <w:top w:w="15" w:type="dxa"/>
              <w:left w:w="15" w:type="dxa"/>
              <w:right w:w="15" w:type="dxa"/>
            </w:tcMar>
            <w:vAlign w:val="center"/>
          </w:tcPr>
          <w:p>
            <w:pPr>
              <w:keepNext w:val="0"/>
              <w:keepLines w:val="0"/>
              <w:widowControl/>
              <w:suppressLineNumbers w:val="0"/>
              <w:jc w:val="right"/>
              <w:textAlignment w:val="top"/>
              <w:rPr>
                <w:rFonts w:hint="eastAsia" w:ascii="宋体" w:hAnsi="宋体" w:eastAsia="宋体" w:cs="宋体"/>
                <w:i w:val="0"/>
                <w:color w:val="auto"/>
                <w:sz w:val="20"/>
                <w:szCs w:val="20"/>
                <w:highlight w:val="none"/>
                <w:u w:val="none"/>
              </w:rPr>
            </w:pPr>
            <w:r>
              <w:rPr>
                <w:rFonts w:hint="eastAsia" w:ascii="宋体" w:hAnsi="宋体" w:cs="宋体"/>
                <w:i w:val="0"/>
                <w:color w:val="auto"/>
                <w:kern w:val="0"/>
                <w:sz w:val="20"/>
                <w:szCs w:val="20"/>
                <w:highlight w:val="none"/>
                <w:u w:val="none"/>
                <w:lang w:val="en-US" w:eastAsia="zh-CN" w:bidi="ar"/>
              </w:rPr>
              <w:t>1.13</w:t>
            </w:r>
          </w:p>
        </w:tc>
        <w:tc>
          <w:tcPr>
            <w:tcW w:w="1217" w:type="pct"/>
            <w:shd w:val="clear" w:color="auto" w:fill="auto"/>
            <w:tcMar>
              <w:top w:w="15" w:type="dxa"/>
              <w:left w:w="15" w:type="dxa"/>
              <w:right w:w="15" w:type="dxa"/>
            </w:tcMar>
            <w:vAlign w:val="center"/>
          </w:tcPr>
          <w:p>
            <w:pPr>
              <w:keepNext w:val="0"/>
              <w:keepLines w:val="0"/>
              <w:widowControl/>
              <w:suppressLineNumbers w:val="0"/>
              <w:jc w:val="right"/>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-0.03</w:t>
            </w:r>
          </w:p>
        </w:tc>
        <w:tc>
          <w:tcPr>
            <w:tcW w:w="1151" w:type="pct"/>
            <w:shd w:val="clear" w:color="auto" w:fill="auto"/>
            <w:tcMar>
              <w:top w:w="15" w:type="dxa"/>
              <w:left w:w="15" w:type="dxa"/>
              <w:right w:w="15" w:type="dxa"/>
            </w:tcMar>
            <w:vAlign w:val="center"/>
          </w:tcPr>
          <w:p>
            <w:pPr>
              <w:keepNext w:val="0"/>
              <w:keepLines w:val="0"/>
              <w:widowControl/>
              <w:suppressLineNumbers w:val="0"/>
              <w:jc w:val="right"/>
              <w:textAlignment w:val="top"/>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3866.67%</w:t>
            </w:r>
          </w:p>
        </w:tc>
      </w:tr>
    </w:tbl>
    <w:p>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jc w:val="left"/>
        <w:textAlignment w:val="center"/>
        <w:rPr>
          <w:rFonts w:hint="eastAsia" w:ascii="宋体" w:hAnsi="宋体" w:cs="宋体"/>
          <w:color w:val="auto"/>
          <w:kern w:val="0"/>
          <w:sz w:val="24"/>
          <w:szCs w:val="24"/>
          <w:highlight w:val="none"/>
          <w:lang w:val="en-US" w:eastAsia="zh-CN"/>
        </w:rPr>
      </w:pPr>
      <w:r>
        <w:rPr>
          <w:rFonts w:hint="eastAsia" w:ascii="宋体" w:hAnsi="宋体" w:cs="宋体"/>
          <w:bCs/>
          <w:color w:val="auto"/>
          <w:sz w:val="24"/>
          <w:szCs w:val="24"/>
          <w:highlight w:val="none"/>
        </w:rPr>
        <w:t>项目重大变动原因：</w:t>
      </w:r>
    </w:p>
    <w:p>
      <w:pPr>
        <w:keepNext w:val="0"/>
        <w:keepLines w:val="0"/>
        <w:pageBreakBefore w:val="0"/>
        <w:kinsoku/>
        <w:wordWrap/>
        <w:overflowPunct/>
        <w:topLinePunct w:val="0"/>
        <w:autoSpaceDE w:val="0"/>
        <w:autoSpaceDN w:val="0"/>
        <w:bidi w:val="0"/>
        <w:adjustRightInd w:val="0"/>
        <w:spacing w:line="400" w:lineRule="exact"/>
        <w:ind w:firstLine="480" w:firstLineChars="200"/>
        <w:jc w:val="left"/>
        <w:textAlignment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归属于母公司股东的净资产</w:t>
      </w:r>
    </w:p>
    <w:p>
      <w:pPr>
        <w:keepNext w:val="0"/>
        <w:keepLines w:val="0"/>
        <w:pageBreakBefore w:val="0"/>
        <w:shd w:val="clear"/>
        <w:kinsoku/>
        <w:wordWrap/>
        <w:overflowPunct/>
        <w:topLinePunct w:val="0"/>
        <w:autoSpaceDE w:val="0"/>
        <w:autoSpaceDN w:val="0"/>
        <w:bidi w:val="0"/>
        <w:adjustRightInd w:val="0"/>
        <w:spacing w:line="400" w:lineRule="exact"/>
        <w:ind w:firstLine="480" w:firstLineChars="200"/>
        <w:jc w:val="left"/>
        <w:textAlignment w:val="center"/>
        <w:rPr>
          <w:rFonts w:hint="eastAsia" w:ascii="宋体" w:hAnsi="宋体" w:eastAsia="宋体" w:cs="宋体"/>
          <w:b w:val="0"/>
          <w:bCs/>
          <w:color w:val="auto"/>
          <w:kern w:val="2"/>
          <w:sz w:val="24"/>
          <w:szCs w:val="24"/>
          <w:highlight w:val="none"/>
          <w:shd w:val="clear" w:fill="auto"/>
          <w:lang w:val="en-US" w:eastAsia="zh-CN" w:bidi="ar-SA"/>
        </w:rPr>
      </w:pPr>
      <w:r>
        <w:rPr>
          <w:rFonts w:hint="eastAsia" w:ascii="宋体" w:hAnsi="宋体" w:cs="宋体"/>
          <w:color w:val="auto"/>
          <w:kern w:val="0"/>
          <w:sz w:val="24"/>
          <w:szCs w:val="24"/>
          <w:highlight w:val="none"/>
          <w:shd w:val="clear"/>
          <w:lang w:eastAsia="zh-CN"/>
        </w:rPr>
        <w:t>公司</w:t>
      </w:r>
      <w:r>
        <w:rPr>
          <w:rFonts w:hint="eastAsia" w:ascii="宋体" w:hAnsi="宋体" w:cs="宋体"/>
          <w:color w:val="auto"/>
          <w:kern w:val="0"/>
          <w:sz w:val="24"/>
          <w:szCs w:val="24"/>
          <w:highlight w:val="none"/>
          <w:shd w:val="clear"/>
        </w:rPr>
        <w:t>202</w:t>
      </w:r>
      <w:r>
        <w:rPr>
          <w:rFonts w:hint="eastAsia" w:ascii="宋体" w:hAnsi="宋体" w:cs="宋体"/>
          <w:color w:val="auto"/>
          <w:kern w:val="0"/>
          <w:sz w:val="24"/>
          <w:szCs w:val="24"/>
          <w:highlight w:val="none"/>
          <w:shd w:val="clear"/>
          <w:lang w:val="en-US" w:eastAsia="zh-CN"/>
        </w:rPr>
        <w:t>4</w:t>
      </w:r>
      <w:r>
        <w:rPr>
          <w:rFonts w:hint="eastAsia" w:ascii="宋体" w:hAnsi="宋体" w:cs="宋体"/>
          <w:color w:val="auto"/>
          <w:kern w:val="0"/>
          <w:sz w:val="24"/>
          <w:szCs w:val="24"/>
          <w:highlight w:val="none"/>
          <w:shd w:val="clear"/>
        </w:rPr>
        <w:t>年归属于母公司</w:t>
      </w:r>
      <w:r>
        <w:rPr>
          <w:rFonts w:hint="eastAsia" w:ascii="宋体" w:hAnsi="宋体" w:eastAsia="宋体" w:cs="宋体"/>
          <w:color w:val="auto"/>
          <w:kern w:val="0"/>
          <w:sz w:val="24"/>
          <w:szCs w:val="24"/>
          <w:highlight w:val="none"/>
          <w:shd w:val="clear"/>
          <w:lang w:eastAsia="zh-CN"/>
        </w:rPr>
        <w:t>股东</w:t>
      </w:r>
      <w:r>
        <w:rPr>
          <w:rFonts w:hint="eastAsia" w:ascii="宋体" w:hAnsi="宋体" w:cs="宋体"/>
          <w:color w:val="auto"/>
          <w:kern w:val="0"/>
          <w:sz w:val="24"/>
          <w:szCs w:val="24"/>
          <w:highlight w:val="none"/>
          <w:shd w:val="clear"/>
        </w:rPr>
        <w:t>的净资产</w:t>
      </w:r>
      <w:r>
        <w:rPr>
          <w:rFonts w:hint="eastAsia" w:ascii="宋体" w:hAnsi="宋体" w:eastAsia="宋体" w:cs="宋体"/>
          <w:i w:val="0"/>
          <w:color w:val="auto"/>
          <w:kern w:val="0"/>
          <w:sz w:val="24"/>
          <w:szCs w:val="24"/>
          <w:highlight w:val="none"/>
          <w:u w:val="none"/>
          <w:lang w:val="en-US" w:eastAsia="zh-CN" w:bidi="ar"/>
        </w:rPr>
        <w:t>-736,770,819.87</w:t>
      </w:r>
      <w:r>
        <w:rPr>
          <w:rFonts w:hint="eastAsia" w:ascii="宋体" w:hAnsi="宋体" w:cs="宋体"/>
          <w:color w:val="auto"/>
          <w:kern w:val="0"/>
          <w:sz w:val="24"/>
          <w:szCs w:val="24"/>
          <w:highlight w:val="none"/>
          <w:shd w:val="clear"/>
        </w:rPr>
        <w:t>元，同比</w:t>
      </w:r>
      <w:r>
        <w:rPr>
          <w:rFonts w:hint="eastAsia" w:ascii="宋体" w:hAnsi="宋体" w:cs="宋体"/>
          <w:color w:val="auto"/>
          <w:kern w:val="0"/>
          <w:sz w:val="24"/>
          <w:szCs w:val="24"/>
          <w:highlight w:val="none"/>
          <w:shd w:val="clear"/>
          <w:lang w:val="en-US" w:eastAsia="zh-CN"/>
        </w:rPr>
        <w:t>下降347,833,946.68</w:t>
      </w:r>
      <w:r>
        <w:rPr>
          <w:rFonts w:hint="eastAsia" w:ascii="宋体" w:hAnsi="宋体" w:cs="宋体"/>
          <w:color w:val="auto"/>
          <w:kern w:val="0"/>
          <w:sz w:val="24"/>
          <w:szCs w:val="24"/>
          <w:highlight w:val="none"/>
          <w:shd w:val="clear"/>
        </w:rPr>
        <w:t>元，</w:t>
      </w:r>
      <w:r>
        <w:rPr>
          <w:rFonts w:hint="eastAsia" w:ascii="宋体" w:hAnsi="宋体" w:cs="宋体"/>
          <w:color w:val="auto"/>
          <w:kern w:val="0"/>
          <w:sz w:val="24"/>
          <w:szCs w:val="24"/>
          <w:highlight w:val="none"/>
          <w:shd w:val="clear"/>
          <w:lang w:val="en-US" w:eastAsia="zh-CN"/>
        </w:rPr>
        <w:t>降</w:t>
      </w:r>
      <w:r>
        <w:rPr>
          <w:rFonts w:hint="eastAsia" w:ascii="宋体" w:hAnsi="宋体" w:cs="宋体"/>
          <w:color w:val="auto"/>
          <w:kern w:val="0"/>
          <w:sz w:val="24"/>
          <w:szCs w:val="24"/>
          <w:highlight w:val="none"/>
          <w:shd w:val="clear"/>
          <w:lang w:eastAsia="zh-CN"/>
        </w:rPr>
        <w:t>幅</w:t>
      </w:r>
      <w:r>
        <w:rPr>
          <w:rFonts w:hint="eastAsia" w:ascii="宋体" w:hAnsi="宋体" w:cs="宋体"/>
          <w:b w:val="0"/>
          <w:bCs/>
          <w:color w:val="auto"/>
          <w:kern w:val="2"/>
          <w:sz w:val="24"/>
          <w:szCs w:val="24"/>
          <w:highlight w:val="none"/>
          <w:lang w:val="en-US" w:eastAsia="zh-CN" w:bidi="ar-SA"/>
        </w:rPr>
        <w:t>89.43</w:t>
      </w:r>
      <w:r>
        <w:rPr>
          <w:rFonts w:hint="eastAsia" w:ascii="宋体" w:hAnsi="宋体" w:eastAsia="宋体" w:cs="宋体"/>
          <w:b w:val="0"/>
          <w:bCs/>
          <w:color w:val="auto"/>
          <w:kern w:val="2"/>
          <w:sz w:val="24"/>
          <w:szCs w:val="24"/>
          <w:highlight w:val="none"/>
          <w:lang w:val="en-US" w:eastAsia="zh-CN" w:bidi="ar-SA"/>
        </w:rPr>
        <w:t>%</w:t>
      </w:r>
      <w:r>
        <w:rPr>
          <w:rFonts w:hint="eastAsia" w:ascii="宋体" w:hAnsi="宋体" w:cs="宋体"/>
          <w:color w:val="auto"/>
          <w:kern w:val="0"/>
          <w:sz w:val="24"/>
          <w:szCs w:val="24"/>
          <w:highlight w:val="none"/>
          <w:shd w:val="clear"/>
          <w:lang w:eastAsia="zh-CN"/>
        </w:rPr>
        <w:t>。</w:t>
      </w:r>
      <w:r>
        <w:rPr>
          <w:rFonts w:hint="eastAsia" w:ascii="宋体" w:hAnsi="宋体" w:eastAsia="宋体" w:cs="宋体"/>
          <w:b w:val="0"/>
          <w:bCs/>
          <w:color w:val="auto"/>
          <w:kern w:val="2"/>
          <w:sz w:val="24"/>
          <w:szCs w:val="24"/>
          <w:highlight w:val="none"/>
          <w:shd w:val="clear"/>
          <w:lang w:val="en-US" w:eastAsia="zh-CN" w:bidi="ar-SA"/>
        </w:rPr>
        <w:t>变动的主要原</w:t>
      </w:r>
      <w:r>
        <w:rPr>
          <w:rFonts w:hint="eastAsia" w:ascii="宋体" w:hAnsi="宋体" w:eastAsia="宋体" w:cs="宋体"/>
          <w:b w:val="0"/>
          <w:bCs/>
          <w:color w:val="auto"/>
          <w:kern w:val="2"/>
          <w:sz w:val="24"/>
          <w:szCs w:val="24"/>
          <w:highlight w:val="none"/>
          <w:shd w:val="clear" w:fill="FFFFFF" w:themeFill="background1"/>
          <w:lang w:val="en-US" w:eastAsia="zh-CN" w:bidi="ar-SA"/>
        </w:rPr>
        <w:t>因：2</w:t>
      </w:r>
      <w:r>
        <w:rPr>
          <w:rFonts w:hint="eastAsia" w:ascii="宋体" w:hAnsi="宋体" w:eastAsia="宋体" w:cs="宋体"/>
          <w:b w:val="0"/>
          <w:bCs/>
          <w:color w:val="auto"/>
          <w:kern w:val="2"/>
          <w:sz w:val="24"/>
          <w:szCs w:val="24"/>
          <w:highlight w:val="none"/>
          <w:shd w:val="clear" w:fill="auto"/>
          <w:lang w:val="en-US" w:eastAsia="zh-CN" w:bidi="ar-SA"/>
        </w:rPr>
        <w:t>02</w:t>
      </w:r>
      <w:r>
        <w:rPr>
          <w:rFonts w:hint="eastAsia" w:ascii="宋体" w:hAnsi="宋体" w:cs="宋体"/>
          <w:b w:val="0"/>
          <w:bCs/>
          <w:color w:val="auto"/>
          <w:kern w:val="2"/>
          <w:sz w:val="24"/>
          <w:szCs w:val="24"/>
          <w:highlight w:val="none"/>
          <w:shd w:val="clear" w:fill="auto"/>
          <w:lang w:val="en-US" w:eastAsia="zh-CN" w:bidi="ar-SA"/>
        </w:rPr>
        <w:t>4</w:t>
      </w:r>
      <w:r>
        <w:rPr>
          <w:rFonts w:hint="eastAsia" w:ascii="宋体" w:hAnsi="宋体" w:eastAsia="宋体" w:cs="宋体"/>
          <w:b w:val="0"/>
          <w:bCs/>
          <w:color w:val="auto"/>
          <w:kern w:val="2"/>
          <w:sz w:val="24"/>
          <w:szCs w:val="24"/>
          <w:highlight w:val="none"/>
          <w:shd w:val="clear" w:fill="auto"/>
          <w:lang w:val="en-US" w:eastAsia="zh-CN" w:bidi="ar-SA"/>
        </w:rPr>
        <w:t>年</w:t>
      </w:r>
      <w:r>
        <w:rPr>
          <w:rFonts w:hint="eastAsia" w:ascii="宋体" w:hAnsi="宋体" w:eastAsia="宋体" w:cs="宋体"/>
          <w:bCs/>
          <w:i w:val="0"/>
          <w:iCs w:val="0"/>
          <w:caps w:val="0"/>
          <w:color w:val="auto"/>
          <w:spacing w:val="0"/>
          <w:sz w:val="24"/>
          <w:szCs w:val="24"/>
          <w:highlight w:val="none"/>
          <w:shd w:val="clear" w:fill="auto"/>
        </w:rPr>
        <w:t>归属于母公司所有者的净利润</w:t>
      </w:r>
      <w:r>
        <w:rPr>
          <w:rFonts w:hint="eastAsia" w:ascii="宋体" w:hAnsi="宋体" w:cs="宋体"/>
          <w:bCs/>
          <w:i w:val="0"/>
          <w:iCs w:val="0"/>
          <w:caps w:val="0"/>
          <w:color w:val="auto"/>
          <w:spacing w:val="0"/>
          <w:sz w:val="24"/>
          <w:szCs w:val="24"/>
          <w:highlight w:val="none"/>
          <w:shd w:val="clear"/>
          <w:lang w:val="en-US" w:eastAsia="zh-CN"/>
        </w:rPr>
        <w:t>为-5.44亿元</w:t>
      </w:r>
      <w:r>
        <w:rPr>
          <w:rFonts w:hint="eastAsia" w:ascii="宋体" w:hAnsi="宋体" w:cs="宋体"/>
          <w:bCs/>
          <w:color w:val="auto"/>
          <w:kern w:val="2"/>
          <w:sz w:val="24"/>
          <w:szCs w:val="24"/>
          <w:highlight w:val="none"/>
          <w:lang w:val="en-US" w:eastAsia="zh-CN"/>
        </w:rPr>
        <w:t>。</w:t>
      </w:r>
    </w:p>
    <w:p>
      <w:pPr>
        <w:pStyle w:val="15"/>
        <w:keepNext w:val="0"/>
        <w:keepLines w:val="0"/>
        <w:pageBreakBefore w:val="0"/>
        <w:kinsoku/>
        <w:wordWrap/>
        <w:overflowPunct/>
        <w:topLinePunct w:val="0"/>
        <w:bidi w:val="0"/>
        <w:spacing w:line="400" w:lineRule="exact"/>
        <w:ind w:firstLine="481"/>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color w:val="auto"/>
          <w:sz w:val="24"/>
          <w:szCs w:val="24"/>
          <w:highlight w:val="none"/>
          <w:lang w:val="en-US" w:eastAsia="zh-CN"/>
        </w:rPr>
        <w:t>2.</w:t>
      </w:r>
      <w:r>
        <w:rPr>
          <w:rFonts w:hint="eastAsia" w:ascii="宋体" w:hAnsi="宋体" w:eastAsia="宋体" w:cs="宋体"/>
          <w:b w:val="0"/>
          <w:color w:val="auto"/>
          <w:kern w:val="0"/>
          <w:sz w:val="24"/>
          <w:szCs w:val="24"/>
          <w:highlight w:val="none"/>
        </w:rPr>
        <w:t>利息保障倍数</w:t>
      </w:r>
    </w:p>
    <w:p>
      <w:pPr>
        <w:pStyle w:val="15"/>
        <w:keepNext w:val="0"/>
        <w:keepLines w:val="0"/>
        <w:pageBreakBefore w:val="0"/>
        <w:kinsoku/>
        <w:wordWrap/>
        <w:overflowPunct/>
        <w:topLinePunct w:val="0"/>
        <w:bidi w:val="0"/>
        <w:spacing w:line="400" w:lineRule="exact"/>
        <w:ind w:firstLine="481"/>
        <w:jc w:val="left"/>
        <w:rPr>
          <w:rFonts w:hint="eastAsia"/>
          <w:color w:val="auto"/>
          <w:highlight w:val="none"/>
          <w:shd w:val="clear"/>
          <w:lang w:val="en-US" w:eastAsia="zh-CN"/>
        </w:rPr>
      </w:pPr>
      <w:r>
        <w:rPr>
          <w:rFonts w:hint="eastAsia" w:ascii="宋体" w:hAnsi="宋体" w:eastAsia="宋体" w:cs="宋体"/>
          <w:b w:val="0"/>
          <w:bCs/>
          <w:color w:val="auto"/>
          <w:sz w:val="24"/>
          <w:szCs w:val="24"/>
          <w:highlight w:val="none"/>
          <w:lang w:val="en-US" w:eastAsia="zh-CN"/>
        </w:rPr>
        <w:t>公司202</w:t>
      </w:r>
      <w:r>
        <w:rPr>
          <w:rFonts w:hint="eastAsia" w:ascii="宋体" w:hAnsi="宋体"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lang w:val="en-US" w:eastAsia="zh-CN"/>
        </w:rPr>
        <w:t>年利息保障倍数</w:t>
      </w:r>
      <w:r>
        <w:rPr>
          <w:rFonts w:hint="eastAsia" w:ascii="宋体" w:hAnsi="宋体" w:cs="宋体"/>
          <w:b w:val="0"/>
          <w:bCs/>
          <w:color w:val="auto"/>
          <w:sz w:val="24"/>
          <w:szCs w:val="24"/>
          <w:highlight w:val="none"/>
          <w:lang w:val="en-US" w:eastAsia="zh-CN"/>
        </w:rPr>
        <w:t>1.13</w:t>
      </w:r>
      <w:r>
        <w:rPr>
          <w:rFonts w:hint="eastAsia" w:ascii="宋体" w:hAnsi="宋体" w:eastAsia="宋体" w:cs="宋体"/>
          <w:b w:val="0"/>
          <w:bCs/>
          <w:color w:val="auto"/>
          <w:sz w:val="24"/>
          <w:szCs w:val="24"/>
          <w:highlight w:val="none"/>
          <w:lang w:val="en-US" w:eastAsia="zh-CN"/>
        </w:rPr>
        <w:t>，同比</w:t>
      </w:r>
      <w:r>
        <w:rPr>
          <w:rFonts w:hint="eastAsia" w:ascii="宋体" w:hAnsi="宋体" w:cs="宋体"/>
          <w:b w:val="0"/>
          <w:bCs/>
          <w:color w:val="auto"/>
          <w:kern w:val="0"/>
          <w:sz w:val="24"/>
          <w:szCs w:val="24"/>
          <w:highlight w:val="none"/>
          <w:lang w:val="en-US" w:eastAsia="zh-CN"/>
        </w:rPr>
        <w:t>增加3866.67</w:t>
      </w:r>
      <w:r>
        <w:rPr>
          <w:rFonts w:hint="eastAsia" w:ascii="宋体" w:hAnsi="宋体" w:eastAsia="宋体" w:cs="宋体"/>
          <w:b w:val="0"/>
          <w:bCs/>
          <w:color w:val="auto"/>
          <w:sz w:val="24"/>
          <w:szCs w:val="24"/>
          <w:highlight w:val="none"/>
          <w:lang w:val="en-US" w:eastAsia="zh-CN"/>
        </w:rPr>
        <w:t>%。变动的主要原因：</w:t>
      </w:r>
      <w:r>
        <w:rPr>
          <w:rFonts w:hint="eastAsia" w:ascii="宋体" w:hAnsi="宋体" w:cs="宋体"/>
          <w:b w:val="0"/>
          <w:bCs/>
          <w:color w:val="auto"/>
          <w:sz w:val="24"/>
          <w:szCs w:val="24"/>
          <w:highlight w:val="none"/>
          <w:lang w:val="en-US" w:eastAsia="zh-CN"/>
        </w:rPr>
        <w:t>受2023年计提减值、确认公允价值变动损益等非经常性损益的</w:t>
      </w:r>
      <w:r>
        <w:rPr>
          <w:rFonts w:hint="eastAsia" w:ascii="宋体" w:hAnsi="宋体" w:cs="宋体"/>
          <w:b w:val="0"/>
          <w:bCs/>
          <w:color w:val="auto"/>
          <w:sz w:val="24"/>
          <w:szCs w:val="24"/>
          <w:highlight w:val="none"/>
          <w:shd w:val="clear"/>
          <w:lang w:val="en-US" w:eastAsia="zh-CN"/>
        </w:rPr>
        <w:t>影响，导致2023年</w:t>
      </w:r>
      <w:r>
        <w:rPr>
          <w:rFonts w:hint="eastAsia" w:ascii="宋体" w:hAnsi="宋体" w:eastAsia="宋体" w:cs="宋体"/>
          <w:b w:val="0"/>
          <w:bCs/>
          <w:color w:val="auto"/>
          <w:sz w:val="24"/>
          <w:szCs w:val="24"/>
          <w:highlight w:val="none"/>
          <w:shd w:val="clear"/>
          <w:lang w:val="en-US" w:eastAsia="zh-CN"/>
        </w:rPr>
        <w:t>利息保障倍数</w:t>
      </w:r>
      <w:r>
        <w:rPr>
          <w:rFonts w:hint="eastAsia" w:ascii="宋体" w:hAnsi="宋体" w:cs="宋体"/>
          <w:b w:val="0"/>
          <w:bCs/>
          <w:color w:val="auto"/>
          <w:sz w:val="24"/>
          <w:szCs w:val="24"/>
          <w:highlight w:val="none"/>
          <w:shd w:val="clear"/>
          <w:lang w:val="en-US" w:eastAsia="zh-CN"/>
        </w:rPr>
        <w:t>较低。</w:t>
      </w:r>
    </w:p>
    <w:p>
      <w:pPr>
        <w:numPr>
          <w:ilvl w:val="0"/>
          <w:numId w:val="5"/>
        </w:numPr>
        <w:spacing w:line="360" w:lineRule="auto"/>
        <w:ind w:left="0" w:leftChars="0" w:firstLine="482" w:firstLineChars="20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营运情况</w:t>
      </w:r>
    </w:p>
    <w:tbl>
      <w:tblPr>
        <w:tblStyle w:val="2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809"/>
        <w:gridCol w:w="1887"/>
        <w:gridCol w:w="2101"/>
        <w:gridCol w:w="15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684" w:type="pct"/>
            <w:tcBorders>
              <w:top w:val="nil"/>
              <w:left w:val="nil"/>
              <w:bottom w:val="single" w:color="auto"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auto"/>
                <w:sz w:val="20"/>
                <w:szCs w:val="20"/>
                <w:highlight w:val="none"/>
                <w:u w:val="none"/>
              </w:rPr>
            </w:pPr>
          </w:p>
        </w:tc>
        <w:tc>
          <w:tcPr>
            <w:tcW w:w="1131" w:type="pct"/>
            <w:tcBorders>
              <w:top w:val="nil"/>
              <w:left w:val="nil"/>
              <w:bottom w:val="single" w:color="auto"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auto"/>
                <w:sz w:val="20"/>
                <w:szCs w:val="20"/>
                <w:highlight w:val="none"/>
                <w:u w:val="none"/>
              </w:rPr>
            </w:pPr>
          </w:p>
        </w:tc>
        <w:tc>
          <w:tcPr>
            <w:tcW w:w="1259" w:type="pct"/>
            <w:tcBorders>
              <w:top w:val="nil"/>
              <w:left w:val="nil"/>
              <w:bottom w:val="single" w:color="auto"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auto"/>
                <w:sz w:val="20"/>
                <w:szCs w:val="20"/>
                <w:highlight w:val="none"/>
                <w:u w:val="none"/>
              </w:rPr>
            </w:pPr>
          </w:p>
        </w:tc>
        <w:tc>
          <w:tcPr>
            <w:tcW w:w="925" w:type="pct"/>
            <w:tcBorders>
              <w:top w:val="nil"/>
              <w:left w:val="nil"/>
              <w:bottom w:val="single" w:color="auto" w:sz="4" w:space="0"/>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单位：元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68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项目</w:t>
            </w:r>
          </w:p>
        </w:tc>
        <w:tc>
          <w:tcPr>
            <w:tcW w:w="113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本期</w:t>
            </w:r>
          </w:p>
        </w:tc>
        <w:tc>
          <w:tcPr>
            <w:tcW w:w="125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上年同期</w:t>
            </w:r>
          </w:p>
        </w:tc>
        <w:tc>
          <w:tcPr>
            <w:tcW w:w="92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增减变动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68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经营活动产生的现金流量净额</w:t>
            </w:r>
          </w:p>
        </w:tc>
        <w:tc>
          <w:tcPr>
            <w:tcW w:w="113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right"/>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5,190,784,702.52</w:t>
            </w:r>
          </w:p>
        </w:tc>
        <w:tc>
          <w:tcPr>
            <w:tcW w:w="21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right"/>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3,523,385,554.48</w:t>
            </w:r>
          </w:p>
        </w:tc>
        <w:tc>
          <w:tcPr>
            <w:tcW w:w="154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top"/>
              <w:rPr>
                <w:rFonts w:hint="eastAsia" w:ascii="宋体" w:hAnsi="宋体" w:eastAsia="宋体" w:cs="宋体"/>
                <w:i w:val="0"/>
                <w:color w:val="auto"/>
                <w:kern w:val="0"/>
                <w:sz w:val="20"/>
                <w:szCs w:val="20"/>
                <w:highlight w:val="none"/>
                <w:u w:val="none"/>
                <w:lang w:bidi="ar"/>
              </w:rPr>
            </w:pPr>
            <w:r>
              <w:rPr>
                <w:rFonts w:hint="eastAsia" w:ascii="宋体" w:hAnsi="宋体" w:eastAsia="宋体" w:cs="宋体"/>
                <w:i w:val="0"/>
                <w:iCs w:val="0"/>
                <w:color w:val="auto"/>
                <w:kern w:val="0"/>
                <w:sz w:val="20"/>
                <w:szCs w:val="20"/>
                <w:highlight w:val="none"/>
                <w:u w:val="none"/>
                <w:lang w:val="en-US" w:eastAsia="zh-CN" w:bidi="ar"/>
              </w:rPr>
              <w:t>47.32%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68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应收账款周转率</w:t>
            </w:r>
          </w:p>
        </w:tc>
        <w:tc>
          <w:tcPr>
            <w:tcW w:w="113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right"/>
              <w:textAlignment w:val="top"/>
              <w:rPr>
                <w:rFonts w:hint="eastAsia" w:ascii="宋体" w:hAnsi="宋体" w:eastAsia="宋体" w:cs="宋体"/>
                <w:i w:val="0"/>
                <w:color w:val="auto"/>
                <w:kern w:val="0"/>
                <w:sz w:val="20"/>
                <w:szCs w:val="20"/>
                <w:highlight w:val="none"/>
                <w:u w:val="none"/>
                <w:lang w:bidi="ar"/>
              </w:rPr>
            </w:pPr>
            <w:r>
              <w:rPr>
                <w:rFonts w:hint="eastAsia" w:ascii="宋体" w:hAnsi="宋体" w:cs="宋体"/>
                <w:color w:val="auto"/>
                <w:kern w:val="0"/>
                <w:sz w:val="20"/>
                <w:szCs w:val="20"/>
                <w:highlight w:val="none"/>
                <w:u w:val="none"/>
                <w:lang w:bidi="ar"/>
              </w:rPr>
              <w:t>3.05</w:t>
            </w:r>
          </w:p>
        </w:tc>
        <w:tc>
          <w:tcPr>
            <w:tcW w:w="21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right"/>
              <w:textAlignment w:val="top"/>
              <w:rPr>
                <w:rFonts w:hint="eastAsia" w:ascii="宋体" w:hAnsi="宋体" w:eastAsia="宋体" w:cs="宋体"/>
                <w:i w:val="0"/>
                <w:color w:val="auto"/>
                <w:kern w:val="0"/>
                <w:sz w:val="20"/>
                <w:szCs w:val="20"/>
                <w:highlight w:val="none"/>
                <w:u w:val="none"/>
                <w:lang w:bidi="ar"/>
              </w:rPr>
            </w:pPr>
            <w:r>
              <w:rPr>
                <w:rFonts w:hint="eastAsia" w:ascii="宋体" w:hAnsi="宋体" w:cs="宋体"/>
                <w:color w:val="auto"/>
                <w:kern w:val="0"/>
                <w:sz w:val="20"/>
                <w:szCs w:val="20"/>
                <w:highlight w:val="none"/>
                <w:u w:val="none"/>
                <w:lang w:bidi="ar"/>
              </w:rPr>
              <w:t>3.64</w:t>
            </w:r>
          </w:p>
        </w:tc>
        <w:tc>
          <w:tcPr>
            <w:tcW w:w="154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top"/>
              <w:rPr>
                <w:rFonts w:hint="eastAsia" w:ascii="宋体" w:hAnsi="宋体" w:eastAsia="宋体" w:cs="宋体"/>
                <w:i w:val="0"/>
                <w:color w:val="auto"/>
                <w:kern w:val="0"/>
                <w:sz w:val="20"/>
                <w:szCs w:val="20"/>
                <w:highlight w:val="none"/>
                <w:u w:val="none"/>
                <w:lang w:bidi="ar"/>
              </w:rPr>
            </w:pPr>
            <w:r>
              <w:rPr>
                <w:rFonts w:hint="eastAsia" w:ascii="宋体" w:hAnsi="宋体" w:eastAsia="宋体" w:cs="宋体"/>
                <w:i w:val="0"/>
                <w:iCs w:val="0"/>
                <w:color w:val="auto"/>
                <w:kern w:val="0"/>
                <w:sz w:val="20"/>
                <w:szCs w:val="20"/>
                <w:highlight w:val="none"/>
                <w:u w:val="none"/>
                <w:lang w:val="en-US" w:eastAsia="zh-CN" w:bidi="ar"/>
              </w:rPr>
              <w:t>-16.21%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68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存货周转率</w:t>
            </w:r>
          </w:p>
        </w:tc>
        <w:tc>
          <w:tcPr>
            <w:tcW w:w="113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right"/>
              <w:textAlignment w:val="top"/>
              <w:rPr>
                <w:rFonts w:hint="eastAsia" w:ascii="宋体" w:hAnsi="宋体" w:eastAsia="宋体" w:cs="宋体"/>
                <w:i w:val="0"/>
                <w:color w:val="auto"/>
                <w:kern w:val="0"/>
                <w:sz w:val="20"/>
                <w:szCs w:val="20"/>
                <w:highlight w:val="none"/>
                <w:u w:val="none"/>
                <w:lang w:bidi="ar"/>
              </w:rPr>
            </w:pPr>
            <w:r>
              <w:rPr>
                <w:rFonts w:hint="eastAsia" w:ascii="宋体" w:hAnsi="宋体" w:cs="宋体"/>
                <w:color w:val="auto"/>
                <w:kern w:val="0"/>
                <w:sz w:val="20"/>
                <w:szCs w:val="20"/>
                <w:highlight w:val="none"/>
                <w:u w:val="none"/>
                <w:lang w:bidi="ar"/>
              </w:rPr>
              <w:t>10.36</w:t>
            </w:r>
          </w:p>
        </w:tc>
        <w:tc>
          <w:tcPr>
            <w:tcW w:w="21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right"/>
              <w:textAlignment w:val="top"/>
              <w:rPr>
                <w:rFonts w:hint="eastAsia" w:ascii="宋体" w:hAnsi="宋体" w:eastAsia="宋体" w:cs="宋体"/>
                <w:i w:val="0"/>
                <w:color w:val="auto"/>
                <w:kern w:val="0"/>
                <w:sz w:val="20"/>
                <w:szCs w:val="20"/>
                <w:highlight w:val="none"/>
                <w:u w:val="none"/>
                <w:lang w:bidi="ar"/>
              </w:rPr>
            </w:pPr>
            <w:r>
              <w:rPr>
                <w:rFonts w:hint="eastAsia" w:ascii="宋体" w:hAnsi="宋体" w:cs="宋体"/>
                <w:color w:val="auto"/>
                <w:kern w:val="0"/>
                <w:sz w:val="20"/>
                <w:szCs w:val="20"/>
                <w:highlight w:val="none"/>
                <w:u w:val="none"/>
                <w:lang w:bidi="ar"/>
              </w:rPr>
              <w:t>12.28</w:t>
            </w:r>
          </w:p>
        </w:tc>
        <w:tc>
          <w:tcPr>
            <w:tcW w:w="154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top"/>
              <w:rPr>
                <w:rFonts w:hint="eastAsia" w:ascii="宋体" w:hAnsi="宋体" w:eastAsia="宋体" w:cs="宋体"/>
                <w:i w:val="0"/>
                <w:color w:val="auto"/>
                <w:kern w:val="0"/>
                <w:sz w:val="20"/>
                <w:szCs w:val="20"/>
                <w:highlight w:val="none"/>
                <w:u w:val="none"/>
                <w:lang w:bidi="ar"/>
              </w:rPr>
            </w:pPr>
            <w:r>
              <w:rPr>
                <w:rFonts w:hint="eastAsia" w:ascii="宋体" w:hAnsi="宋体" w:eastAsia="宋体" w:cs="宋体"/>
                <w:i w:val="0"/>
                <w:iCs w:val="0"/>
                <w:color w:val="auto"/>
                <w:kern w:val="0"/>
                <w:sz w:val="20"/>
                <w:szCs w:val="20"/>
                <w:highlight w:val="none"/>
                <w:u w:val="none"/>
                <w:lang w:val="en-US" w:eastAsia="zh-CN" w:bidi="ar"/>
              </w:rPr>
              <w:t>-15.64%</w:t>
            </w:r>
          </w:p>
        </w:tc>
      </w:tr>
    </w:tbl>
    <w:p>
      <w:pPr>
        <w:pStyle w:val="15"/>
        <w:keepNext w:val="0"/>
        <w:keepLines w:val="0"/>
        <w:pageBreakBefore w:val="0"/>
        <w:kinsoku/>
        <w:wordWrap/>
        <w:overflowPunct/>
        <w:topLinePunct w:val="0"/>
        <w:bidi w:val="0"/>
        <w:spacing w:line="400" w:lineRule="exact"/>
        <w:ind w:firstLine="480" w:firstLineChars="200"/>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项目重大变动原因：</w:t>
      </w:r>
    </w:p>
    <w:p>
      <w:pPr>
        <w:pStyle w:val="15"/>
        <w:keepNext w:val="0"/>
        <w:keepLines w:val="0"/>
        <w:pageBreakBefore w:val="0"/>
        <w:kinsoku/>
        <w:wordWrap/>
        <w:overflowPunct/>
        <w:topLinePunct w:val="0"/>
        <w:bidi w:val="0"/>
        <w:spacing w:line="400" w:lineRule="exact"/>
        <w:ind w:firstLine="480" w:firstLineChars="200"/>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1.</w:t>
      </w:r>
      <w:r>
        <w:rPr>
          <w:rFonts w:hint="eastAsia" w:ascii="宋体" w:hAnsi="宋体" w:eastAsia="宋体" w:cs="宋体"/>
          <w:b w:val="0"/>
          <w:color w:val="auto"/>
          <w:kern w:val="0"/>
          <w:sz w:val="24"/>
          <w:szCs w:val="24"/>
          <w:highlight w:val="none"/>
        </w:rPr>
        <w:t>经营活动产生的现金流量净额</w:t>
      </w:r>
    </w:p>
    <w:p>
      <w:pPr>
        <w:keepNext w:val="0"/>
        <w:keepLines w:val="0"/>
        <w:pageBreakBefore w:val="0"/>
        <w:kinsoku/>
        <w:wordWrap/>
        <w:overflowPunct/>
        <w:topLinePunct w:val="0"/>
        <w:autoSpaceDE w:val="0"/>
        <w:autoSpaceDN w:val="0"/>
        <w:bidi w:val="0"/>
        <w:adjustRightInd w:val="0"/>
        <w:spacing w:line="400" w:lineRule="exact"/>
        <w:ind w:firstLine="480" w:firstLineChars="200"/>
        <w:jc w:val="left"/>
        <w:textAlignment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公司202</w:t>
      </w:r>
      <w:r>
        <w:rPr>
          <w:rFonts w:hint="eastAsia" w:ascii="宋体" w:hAnsi="宋体"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lang w:val="en-US" w:eastAsia="zh-CN"/>
        </w:rPr>
        <w:t>年经营活动产生的现金流量净额</w:t>
      </w:r>
      <w:r>
        <w:rPr>
          <w:rFonts w:hint="eastAsia" w:ascii="宋体" w:hAnsi="宋体" w:eastAsia="宋体" w:cs="宋体"/>
          <w:i w:val="0"/>
          <w:color w:val="auto"/>
          <w:kern w:val="0"/>
          <w:sz w:val="20"/>
          <w:szCs w:val="20"/>
          <w:highlight w:val="none"/>
          <w:u w:val="none"/>
          <w:lang w:val="en-US" w:eastAsia="zh-CN" w:bidi="ar"/>
        </w:rPr>
        <w:t>5,190,784,702.52</w:t>
      </w:r>
      <w:r>
        <w:rPr>
          <w:rFonts w:hint="eastAsia" w:ascii="宋体" w:hAnsi="宋体" w:eastAsia="宋体" w:cs="宋体"/>
          <w:b w:val="0"/>
          <w:bCs/>
          <w:color w:val="auto"/>
          <w:sz w:val="24"/>
          <w:szCs w:val="24"/>
          <w:highlight w:val="none"/>
          <w:lang w:val="en-US" w:eastAsia="zh-CN"/>
        </w:rPr>
        <w:t>元，同比增加 1</w:t>
      </w:r>
      <w:r>
        <w:rPr>
          <w:rFonts w:hint="eastAsia" w:ascii="宋体" w:hAnsi="宋体" w:cs="宋体"/>
          <w:b w:val="0"/>
          <w:bCs/>
          <w:color w:val="auto"/>
          <w:sz w:val="24"/>
          <w:szCs w:val="24"/>
          <w:highlight w:val="none"/>
          <w:lang w:val="en-US" w:eastAsia="zh-CN"/>
        </w:rPr>
        <w:t>,</w:t>
      </w:r>
      <w:r>
        <w:rPr>
          <w:rFonts w:hint="eastAsia" w:ascii="宋体" w:hAnsi="宋体" w:eastAsia="宋体" w:cs="宋体"/>
          <w:b w:val="0"/>
          <w:bCs/>
          <w:color w:val="auto"/>
          <w:sz w:val="24"/>
          <w:szCs w:val="24"/>
          <w:highlight w:val="none"/>
          <w:lang w:val="en-US" w:eastAsia="zh-CN"/>
        </w:rPr>
        <w:t>667</w:t>
      </w:r>
      <w:r>
        <w:rPr>
          <w:rFonts w:hint="eastAsia" w:ascii="宋体" w:hAnsi="宋体" w:cs="宋体"/>
          <w:b w:val="0"/>
          <w:bCs/>
          <w:color w:val="auto"/>
          <w:sz w:val="24"/>
          <w:szCs w:val="24"/>
          <w:highlight w:val="none"/>
          <w:lang w:val="en-US" w:eastAsia="zh-CN"/>
        </w:rPr>
        <w:t>,</w:t>
      </w:r>
      <w:r>
        <w:rPr>
          <w:rFonts w:hint="eastAsia" w:ascii="宋体" w:hAnsi="宋体" w:eastAsia="宋体" w:cs="宋体"/>
          <w:b w:val="0"/>
          <w:bCs/>
          <w:color w:val="auto"/>
          <w:sz w:val="24"/>
          <w:szCs w:val="24"/>
          <w:highlight w:val="none"/>
          <w:lang w:val="en-US" w:eastAsia="zh-CN"/>
        </w:rPr>
        <w:t>399</w:t>
      </w:r>
      <w:r>
        <w:rPr>
          <w:rFonts w:hint="eastAsia" w:ascii="宋体" w:hAnsi="宋体" w:cs="宋体"/>
          <w:b w:val="0"/>
          <w:bCs/>
          <w:color w:val="auto"/>
          <w:sz w:val="24"/>
          <w:szCs w:val="24"/>
          <w:highlight w:val="none"/>
          <w:lang w:val="en-US" w:eastAsia="zh-CN"/>
        </w:rPr>
        <w:t>,</w:t>
      </w:r>
      <w:r>
        <w:rPr>
          <w:rFonts w:hint="eastAsia" w:ascii="宋体" w:hAnsi="宋体" w:eastAsia="宋体" w:cs="宋体"/>
          <w:b w:val="0"/>
          <w:bCs/>
          <w:color w:val="auto"/>
          <w:sz w:val="24"/>
          <w:szCs w:val="24"/>
          <w:highlight w:val="none"/>
          <w:lang w:val="en-US" w:eastAsia="zh-CN"/>
        </w:rPr>
        <w:t>148.04元，增幅4</w:t>
      </w:r>
      <w:r>
        <w:rPr>
          <w:rFonts w:hint="eastAsia" w:ascii="宋体" w:hAnsi="宋体" w:cs="宋体"/>
          <w:b w:val="0"/>
          <w:bCs/>
          <w:color w:val="auto"/>
          <w:sz w:val="24"/>
          <w:szCs w:val="24"/>
          <w:highlight w:val="none"/>
          <w:lang w:val="en-US" w:eastAsia="zh-CN"/>
        </w:rPr>
        <w:t>7.32</w:t>
      </w:r>
      <w:r>
        <w:rPr>
          <w:rFonts w:hint="eastAsia" w:ascii="宋体" w:hAnsi="宋体" w:eastAsia="宋体" w:cs="宋体"/>
          <w:b w:val="0"/>
          <w:bCs/>
          <w:color w:val="auto"/>
          <w:sz w:val="24"/>
          <w:szCs w:val="24"/>
          <w:highlight w:val="none"/>
          <w:lang w:val="en-US" w:eastAsia="zh-CN"/>
        </w:rPr>
        <w:t>%。变动的主要原因：报告期内</w:t>
      </w:r>
      <w:r>
        <w:rPr>
          <w:rFonts w:hint="eastAsia" w:ascii="宋体" w:hAnsi="宋体" w:eastAsia="宋体" w:cs="宋体"/>
          <w:bCs/>
          <w:i w:val="0"/>
          <w:iCs w:val="0"/>
          <w:caps w:val="0"/>
          <w:color w:val="auto"/>
          <w:spacing w:val="0"/>
          <w:sz w:val="24"/>
          <w:szCs w:val="24"/>
          <w:highlight w:val="none"/>
          <w:shd w:val="clear" w:fill="auto"/>
        </w:rPr>
        <w:t>购买商品、接受劳务支付的现金</w:t>
      </w:r>
      <w:r>
        <w:rPr>
          <w:rFonts w:hint="eastAsia" w:ascii="宋体" w:hAnsi="宋体" w:cs="宋体"/>
          <w:b w:val="0"/>
          <w:bCs/>
          <w:color w:val="auto"/>
          <w:sz w:val="24"/>
          <w:szCs w:val="24"/>
          <w:highlight w:val="none"/>
          <w:lang w:val="en-US" w:eastAsia="zh-CN"/>
        </w:rPr>
        <w:t>同比减少</w:t>
      </w:r>
      <w:r>
        <w:rPr>
          <w:rFonts w:hint="eastAsia" w:ascii="宋体" w:hAnsi="宋体" w:eastAsia="宋体" w:cs="宋体"/>
          <w:b w:val="0"/>
          <w:bCs/>
          <w:color w:val="auto"/>
          <w:sz w:val="24"/>
          <w:szCs w:val="24"/>
          <w:highlight w:val="none"/>
          <w:lang w:val="en-US" w:eastAsia="zh-CN"/>
        </w:rPr>
        <w:t>。</w:t>
      </w:r>
    </w:p>
    <w:p>
      <w:pPr>
        <w:pStyle w:val="15"/>
        <w:keepNext w:val="0"/>
        <w:keepLines w:val="0"/>
        <w:pageBreakBefore w:val="0"/>
        <w:kinsoku/>
        <w:wordWrap/>
        <w:overflowPunct/>
        <w:topLinePunct w:val="0"/>
        <w:bidi w:val="0"/>
        <w:spacing w:line="400" w:lineRule="exact"/>
        <w:ind w:firstLine="480" w:firstLineChars="200"/>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val="en-US" w:eastAsia="zh-CN"/>
        </w:rPr>
        <w:t>2</w:t>
      </w:r>
      <w:r>
        <w:rPr>
          <w:rFonts w:hint="eastAsia" w:ascii="宋体" w:hAnsi="宋体" w:eastAsia="宋体" w:cs="宋体"/>
          <w:b w:val="0"/>
          <w:bCs w:val="0"/>
          <w:color w:val="auto"/>
          <w:kern w:val="0"/>
          <w:sz w:val="24"/>
          <w:szCs w:val="24"/>
          <w:highlight w:val="none"/>
          <w:lang w:val="en-US" w:eastAsia="zh-CN"/>
        </w:rPr>
        <w:t>.</w:t>
      </w:r>
      <w:r>
        <w:rPr>
          <w:rFonts w:hint="eastAsia" w:ascii="宋体" w:hAnsi="宋体" w:eastAsia="宋体" w:cs="宋体"/>
          <w:b w:val="0"/>
          <w:color w:val="auto"/>
          <w:kern w:val="0"/>
          <w:sz w:val="24"/>
          <w:szCs w:val="24"/>
          <w:highlight w:val="none"/>
        </w:rPr>
        <w:t>应收账款周转率</w:t>
      </w:r>
    </w:p>
    <w:p>
      <w:pPr>
        <w:keepNext w:val="0"/>
        <w:keepLines w:val="0"/>
        <w:pageBreakBefore w:val="0"/>
        <w:kinsoku/>
        <w:wordWrap/>
        <w:overflowPunct/>
        <w:topLinePunct w:val="0"/>
        <w:autoSpaceDE w:val="0"/>
        <w:autoSpaceDN w:val="0"/>
        <w:bidi w:val="0"/>
        <w:adjustRightInd w:val="0"/>
        <w:spacing w:line="400" w:lineRule="exact"/>
        <w:ind w:firstLine="480" w:firstLineChars="20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b w:val="0"/>
          <w:bCs/>
          <w:color w:val="auto"/>
          <w:sz w:val="24"/>
          <w:szCs w:val="24"/>
          <w:highlight w:val="none"/>
          <w:lang w:val="en-US" w:eastAsia="zh-CN"/>
        </w:rPr>
        <w:t>公司202</w:t>
      </w:r>
      <w:r>
        <w:rPr>
          <w:rFonts w:hint="eastAsia" w:ascii="宋体" w:hAnsi="宋体"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lang w:val="en-US" w:eastAsia="zh-CN"/>
        </w:rPr>
        <w:t>年应收账款周转率</w:t>
      </w:r>
      <w:r>
        <w:rPr>
          <w:rFonts w:hint="eastAsia" w:ascii="宋体" w:hAnsi="宋体" w:cs="宋体"/>
          <w:b w:val="0"/>
          <w:bCs/>
          <w:color w:val="auto"/>
          <w:sz w:val="24"/>
          <w:szCs w:val="24"/>
          <w:highlight w:val="none"/>
          <w:lang w:val="en-US" w:eastAsia="zh-CN"/>
        </w:rPr>
        <w:t>3.05次</w:t>
      </w:r>
      <w:r>
        <w:rPr>
          <w:rFonts w:hint="eastAsia" w:ascii="宋体" w:hAnsi="宋体" w:eastAsia="宋体" w:cs="宋体"/>
          <w:b w:val="0"/>
          <w:bCs/>
          <w:color w:val="auto"/>
          <w:sz w:val="24"/>
          <w:szCs w:val="24"/>
          <w:highlight w:val="none"/>
          <w:lang w:val="en-US" w:eastAsia="zh-CN"/>
        </w:rPr>
        <w:t>，同比降低</w:t>
      </w:r>
      <w:r>
        <w:rPr>
          <w:rFonts w:hint="eastAsia" w:ascii="宋体" w:hAnsi="宋体" w:cs="宋体"/>
          <w:b w:val="0"/>
          <w:bCs/>
          <w:color w:val="auto"/>
          <w:sz w:val="24"/>
          <w:szCs w:val="24"/>
          <w:highlight w:val="none"/>
          <w:lang w:val="en-US" w:eastAsia="zh-CN"/>
        </w:rPr>
        <w:t>16.21%</w:t>
      </w:r>
      <w:r>
        <w:rPr>
          <w:rFonts w:hint="eastAsia" w:ascii="宋体" w:hAnsi="宋体" w:eastAsia="宋体" w:cs="宋体"/>
          <w:b w:val="0"/>
          <w:bCs/>
          <w:color w:val="auto"/>
          <w:sz w:val="24"/>
          <w:szCs w:val="24"/>
          <w:highlight w:val="none"/>
          <w:lang w:val="en-US" w:eastAsia="zh-CN"/>
        </w:rPr>
        <w:t>。变动的主要原因：</w:t>
      </w:r>
      <w:r>
        <w:rPr>
          <w:rFonts w:hint="eastAsia" w:ascii="宋体" w:hAnsi="宋体" w:eastAsia="宋体" w:cs="宋体"/>
          <w:color w:val="auto"/>
          <w:kern w:val="0"/>
          <w:sz w:val="24"/>
          <w:szCs w:val="24"/>
          <w:highlight w:val="none"/>
        </w:rPr>
        <w:t>受可再生能源补贴发放的程序及周期性影响，应收新能源补贴滞后。</w:t>
      </w:r>
    </w:p>
    <w:p>
      <w:pPr>
        <w:pStyle w:val="15"/>
        <w:keepNext w:val="0"/>
        <w:keepLines w:val="0"/>
        <w:pageBreakBefore w:val="0"/>
        <w:kinsoku/>
        <w:wordWrap/>
        <w:overflowPunct/>
        <w:topLinePunct w:val="0"/>
        <w:bidi w:val="0"/>
        <w:spacing w:line="400" w:lineRule="exact"/>
        <w:ind w:firstLine="480" w:firstLineChars="200"/>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val="en-US" w:eastAsia="zh-CN"/>
        </w:rPr>
        <w:t>3</w:t>
      </w:r>
      <w:r>
        <w:rPr>
          <w:rFonts w:hint="eastAsia" w:ascii="宋体" w:hAnsi="宋体" w:eastAsia="宋体" w:cs="宋体"/>
          <w:b w:val="0"/>
          <w:bCs w:val="0"/>
          <w:color w:val="auto"/>
          <w:kern w:val="0"/>
          <w:sz w:val="24"/>
          <w:szCs w:val="24"/>
          <w:highlight w:val="none"/>
          <w:lang w:val="en-US" w:eastAsia="zh-CN"/>
        </w:rPr>
        <w:t>.</w:t>
      </w:r>
      <w:r>
        <w:rPr>
          <w:rFonts w:hint="eastAsia" w:ascii="宋体" w:hAnsi="宋体" w:eastAsia="宋体" w:cs="宋体"/>
          <w:b w:val="0"/>
          <w:color w:val="auto"/>
          <w:kern w:val="0"/>
          <w:sz w:val="24"/>
          <w:szCs w:val="24"/>
          <w:highlight w:val="none"/>
        </w:rPr>
        <w:t>存货周转率</w:t>
      </w:r>
    </w:p>
    <w:p>
      <w:pPr>
        <w:pStyle w:val="15"/>
        <w:keepNext w:val="0"/>
        <w:keepLines w:val="0"/>
        <w:pageBreakBefore w:val="0"/>
        <w:widowControl/>
        <w:numPr>
          <w:ilvl w:val="0"/>
          <w:numId w:val="0"/>
        </w:numPr>
        <w:kinsoku/>
        <w:wordWrap/>
        <w:overflowPunct/>
        <w:topLinePunct w:val="0"/>
        <w:autoSpaceDE/>
        <w:autoSpaceDN/>
        <w:bidi w:val="0"/>
        <w:adjustRightInd/>
        <w:snapToGrid w:val="0"/>
        <w:spacing w:line="400" w:lineRule="exact"/>
        <w:ind w:firstLine="480" w:firstLineChars="200"/>
        <w:jc w:val="left"/>
        <w:textAlignment w:val="auto"/>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b w:val="0"/>
          <w:bCs/>
          <w:color w:val="auto"/>
          <w:sz w:val="24"/>
          <w:szCs w:val="24"/>
          <w:highlight w:val="none"/>
          <w:lang w:val="en-US" w:eastAsia="zh-CN"/>
        </w:rPr>
        <w:t>公司202</w:t>
      </w:r>
      <w:r>
        <w:rPr>
          <w:rFonts w:hint="eastAsia" w:ascii="宋体" w:hAnsi="宋体"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lang w:val="en-US" w:eastAsia="zh-CN"/>
        </w:rPr>
        <w:t>年存货周转率</w:t>
      </w:r>
      <w:r>
        <w:rPr>
          <w:rFonts w:hint="eastAsia" w:ascii="宋体" w:hAnsi="宋体" w:cs="宋体"/>
          <w:b w:val="0"/>
          <w:bCs/>
          <w:color w:val="auto"/>
          <w:sz w:val="24"/>
          <w:szCs w:val="24"/>
          <w:highlight w:val="none"/>
          <w:lang w:val="en-US" w:eastAsia="zh-CN"/>
        </w:rPr>
        <w:t>10.36次</w:t>
      </w:r>
      <w:r>
        <w:rPr>
          <w:rFonts w:hint="eastAsia" w:ascii="宋体" w:hAnsi="宋体" w:eastAsia="宋体" w:cs="宋体"/>
          <w:b w:val="0"/>
          <w:bCs/>
          <w:color w:val="auto"/>
          <w:sz w:val="24"/>
          <w:szCs w:val="24"/>
          <w:highlight w:val="none"/>
          <w:lang w:val="en-US" w:eastAsia="zh-CN"/>
        </w:rPr>
        <w:t>，同比降低</w:t>
      </w:r>
      <w:r>
        <w:rPr>
          <w:rFonts w:hint="eastAsia" w:ascii="宋体" w:hAnsi="宋体" w:cs="宋体"/>
          <w:b w:val="0"/>
          <w:bCs/>
          <w:color w:val="auto"/>
          <w:sz w:val="24"/>
          <w:szCs w:val="24"/>
          <w:highlight w:val="none"/>
          <w:lang w:val="en-US" w:eastAsia="zh-CN"/>
        </w:rPr>
        <w:t>15.64%</w:t>
      </w:r>
      <w:r>
        <w:rPr>
          <w:rFonts w:hint="eastAsia" w:ascii="宋体" w:hAnsi="宋体" w:eastAsia="宋体" w:cs="宋体"/>
          <w:b w:val="0"/>
          <w:bCs/>
          <w:color w:val="auto"/>
          <w:sz w:val="24"/>
          <w:szCs w:val="24"/>
          <w:highlight w:val="none"/>
          <w:lang w:val="en-US" w:eastAsia="zh-CN"/>
        </w:rPr>
        <w:t>。变动的主要原因：</w:t>
      </w:r>
      <w:r>
        <w:rPr>
          <w:rFonts w:hint="eastAsia" w:ascii="宋体" w:hAnsi="宋体" w:cs="宋体"/>
          <w:b w:val="0"/>
          <w:bCs/>
          <w:color w:val="auto"/>
          <w:sz w:val="24"/>
          <w:szCs w:val="24"/>
          <w:highlight w:val="none"/>
          <w:shd w:val="clear"/>
          <w:lang w:val="en-US" w:eastAsia="zh-CN"/>
        </w:rPr>
        <w:t>2024</w:t>
      </w:r>
      <w:r>
        <w:rPr>
          <w:rFonts w:hint="eastAsia" w:ascii="宋体" w:hAnsi="宋体" w:eastAsia="宋体" w:cs="宋体"/>
          <w:b w:val="0"/>
          <w:bCs/>
          <w:color w:val="auto"/>
          <w:sz w:val="24"/>
          <w:szCs w:val="24"/>
          <w:highlight w:val="none"/>
          <w:shd w:val="clear"/>
          <w:lang w:val="en-US" w:eastAsia="zh-CN"/>
        </w:rPr>
        <w:t>年</w:t>
      </w:r>
      <w:r>
        <w:rPr>
          <w:rFonts w:hint="eastAsia" w:ascii="宋体" w:hAnsi="宋体" w:cs="宋体"/>
          <w:b w:val="0"/>
          <w:bCs/>
          <w:color w:val="auto"/>
          <w:sz w:val="24"/>
          <w:szCs w:val="24"/>
          <w:highlight w:val="none"/>
          <w:shd w:val="clear"/>
          <w:lang w:val="en-US" w:eastAsia="zh-CN"/>
        </w:rPr>
        <w:t>火电板块负荷率下降，营业成本同比下降，导致存货</w:t>
      </w:r>
      <w:r>
        <w:rPr>
          <w:rFonts w:hint="eastAsia" w:ascii="宋体" w:hAnsi="宋体" w:eastAsia="宋体" w:cs="宋体"/>
          <w:b w:val="0"/>
          <w:bCs/>
          <w:color w:val="auto"/>
          <w:sz w:val="24"/>
          <w:szCs w:val="24"/>
          <w:highlight w:val="none"/>
          <w:shd w:val="clear"/>
          <w:lang w:val="en-US" w:eastAsia="zh-CN"/>
        </w:rPr>
        <w:t>周转率</w:t>
      </w:r>
      <w:r>
        <w:rPr>
          <w:rFonts w:hint="eastAsia" w:ascii="宋体" w:hAnsi="宋体" w:cs="宋体"/>
          <w:b w:val="0"/>
          <w:bCs/>
          <w:color w:val="auto"/>
          <w:sz w:val="24"/>
          <w:szCs w:val="24"/>
          <w:highlight w:val="none"/>
          <w:shd w:val="clear"/>
          <w:lang w:val="en-US" w:eastAsia="zh-CN"/>
        </w:rPr>
        <w:t>降低</w:t>
      </w:r>
      <w:r>
        <w:rPr>
          <w:rFonts w:hint="eastAsia" w:ascii="宋体" w:hAnsi="宋体" w:eastAsia="宋体" w:cs="宋体"/>
          <w:b w:val="0"/>
          <w:bCs/>
          <w:color w:val="auto"/>
          <w:sz w:val="24"/>
          <w:szCs w:val="24"/>
          <w:highlight w:val="none"/>
          <w:shd w:val="clear"/>
          <w:lang w:val="en-US" w:eastAsia="zh-CN"/>
        </w:rPr>
        <w:t>。</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成长情况</w:t>
      </w:r>
    </w:p>
    <w:tbl>
      <w:tblPr>
        <w:tblStyle w:val="2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629"/>
        <w:gridCol w:w="1562"/>
        <w:gridCol w:w="1965"/>
        <w:gridCol w:w="21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57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项目</w:t>
            </w:r>
          </w:p>
        </w:tc>
        <w:tc>
          <w:tcPr>
            <w:tcW w:w="93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本期</w:t>
            </w:r>
          </w:p>
        </w:tc>
        <w:tc>
          <w:tcPr>
            <w:tcW w:w="11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上年同期</w:t>
            </w:r>
          </w:p>
        </w:tc>
        <w:tc>
          <w:tcPr>
            <w:tcW w:w="130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增减变动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57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总资产增长率</w:t>
            </w:r>
          </w:p>
        </w:tc>
        <w:tc>
          <w:tcPr>
            <w:tcW w:w="93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right"/>
              <w:textAlignment w:val="top"/>
              <w:rPr>
                <w:rFonts w:hint="eastAsia" w:ascii="宋体" w:hAnsi="宋体" w:eastAsia="宋体" w:cs="宋体"/>
                <w:i w:val="0"/>
                <w:color w:val="auto"/>
                <w:kern w:val="2"/>
                <w:sz w:val="20"/>
                <w:szCs w:val="20"/>
                <w:highlight w:val="none"/>
                <w:u w:val="none"/>
                <w:lang w:val="en-US" w:eastAsia="zh-CN" w:bidi="ar-SA"/>
              </w:rPr>
            </w:pPr>
            <w:r>
              <w:rPr>
                <w:rFonts w:hint="eastAsia" w:ascii="宋体" w:hAnsi="宋体" w:cs="宋体"/>
                <w:i w:val="0"/>
                <w:color w:val="auto"/>
                <w:kern w:val="0"/>
                <w:sz w:val="20"/>
                <w:szCs w:val="20"/>
                <w:highlight w:val="none"/>
                <w:u w:val="none"/>
                <w:lang w:val="en-US" w:eastAsia="zh-CN" w:bidi="ar"/>
              </w:rPr>
              <w:t>4.65%</w:t>
            </w:r>
          </w:p>
        </w:tc>
        <w:tc>
          <w:tcPr>
            <w:tcW w:w="196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right"/>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7.48%</w:t>
            </w:r>
          </w:p>
        </w:tc>
        <w:tc>
          <w:tcPr>
            <w:tcW w:w="218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top"/>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57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营业收入增长率</w:t>
            </w:r>
          </w:p>
        </w:tc>
        <w:tc>
          <w:tcPr>
            <w:tcW w:w="93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right"/>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-5.23%</w:t>
            </w:r>
          </w:p>
        </w:tc>
        <w:tc>
          <w:tcPr>
            <w:tcW w:w="196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right"/>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13.36%</w:t>
            </w:r>
          </w:p>
        </w:tc>
        <w:tc>
          <w:tcPr>
            <w:tcW w:w="218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top"/>
              <w:rPr>
                <w:rFonts w:hint="eastAsia" w:ascii="宋体" w:hAnsi="宋体" w:eastAsia="宋体" w:cs="宋体"/>
                <w:i w:val="0"/>
                <w:color w:val="auto"/>
                <w:kern w:val="0"/>
                <w:sz w:val="20"/>
                <w:szCs w:val="20"/>
                <w:highlight w:val="none"/>
                <w:u w:val="none"/>
                <w:lang w:bidi="ar"/>
              </w:rPr>
            </w:pPr>
            <w:r>
              <w:rPr>
                <w:rFonts w:hint="eastAsia" w:ascii="宋体" w:hAnsi="宋体" w:eastAsia="宋体" w:cs="宋体"/>
                <w:i w:val="0"/>
                <w:iCs w:val="0"/>
                <w:color w:val="auto"/>
                <w:kern w:val="0"/>
                <w:sz w:val="20"/>
                <w:szCs w:val="20"/>
                <w:highlight w:val="none"/>
                <w:u w:val="none"/>
                <w:lang w:val="en-US" w:eastAsia="zh-CN" w:bidi="ar"/>
              </w:rPr>
              <w:t>-18.59%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1" w:hRule="atLeast"/>
        </w:trPr>
        <w:tc>
          <w:tcPr>
            <w:tcW w:w="157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营业利润增长率</w:t>
            </w:r>
          </w:p>
        </w:tc>
        <w:tc>
          <w:tcPr>
            <w:tcW w:w="93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right"/>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-125.30%</w:t>
            </w:r>
          </w:p>
        </w:tc>
        <w:tc>
          <w:tcPr>
            <w:tcW w:w="196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right"/>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-1377.67%</w:t>
            </w:r>
          </w:p>
        </w:tc>
        <w:tc>
          <w:tcPr>
            <w:tcW w:w="218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top"/>
              <w:rPr>
                <w:rFonts w:hint="eastAsia" w:ascii="宋体" w:hAnsi="宋体" w:eastAsia="宋体" w:cs="宋体"/>
                <w:i w:val="0"/>
                <w:color w:val="auto"/>
                <w:kern w:val="0"/>
                <w:sz w:val="20"/>
                <w:szCs w:val="20"/>
                <w:highlight w:val="none"/>
                <w:u w:val="none"/>
                <w:lang w:val="en-US" w:bidi="ar"/>
              </w:rPr>
            </w:pPr>
            <w:r>
              <w:rPr>
                <w:rFonts w:hint="eastAsia" w:ascii="宋体" w:hAnsi="宋体" w:eastAsia="宋体" w:cs="宋体"/>
                <w:i w:val="0"/>
                <w:iCs w:val="0"/>
                <w:color w:val="auto"/>
                <w:kern w:val="0"/>
                <w:sz w:val="20"/>
                <w:szCs w:val="20"/>
                <w:highlight w:val="none"/>
                <w:u w:val="none"/>
                <w:lang w:val="en-US" w:eastAsia="zh-CN" w:bidi="ar"/>
              </w:rPr>
              <w:t>1252.37%</w:t>
            </w:r>
          </w:p>
        </w:tc>
      </w:tr>
    </w:tbl>
    <w:p>
      <w:pPr>
        <w:pStyle w:val="15"/>
        <w:keepNext w:val="0"/>
        <w:keepLines w:val="0"/>
        <w:pageBreakBefore w:val="0"/>
        <w:kinsoku/>
        <w:wordWrap/>
        <w:overflowPunct/>
        <w:topLinePunct w:val="0"/>
        <w:bidi w:val="0"/>
        <w:spacing w:line="400" w:lineRule="exact"/>
        <w:ind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项目重大变动原因：</w:t>
      </w:r>
    </w:p>
    <w:p>
      <w:pPr>
        <w:keepNext w:val="0"/>
        <w:keepLines w:val="0"/>
        <w:pageBreakBefore w:val="0"/>
        <w:kinsoku/>
        <w:wordWrap/>
        <w:overflowPunct/>
        <w:topLinePunct w:val="0"/>
        <w:autoSpaceDE w:val="0"/>
        <w:autoSpaceDN w:val="0"/>
        <w:bidi w:val="0"/>
        <w:adjustRightInd w:val="0"/>
        <w:spacing w:line="400" w:lineRule="exact"/>
        <w:ind w:firstLine="480" w:firstLineChars="200"/>
        <w:jc w:val="left"/>
        <w:textAlignment w:val="center"/>
        <w:rPr>
          <w:rFonts w:hint="eastAsia" w:ascii="宋体" w:hAnsi="宋体" w:eastAsia="宋体" w:cs="宋体"/>
          <w:b w:val="0"/>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b w:val="0"/>
          <w:color w:val="auto"/>
          <w:kern w:val="0"/>
          <w:sz w:val="24"/>
          <w:szCs w:val="24"/>
          <w:highlight w:val="none"/>
          <w:lang w:val="en-US" w:eastAsia="zh-CN" w:bidi="ar-SA"/>
        </w:rPr>
        <w:t>营业利润增长率</w:t>
      </w:r>
    </w:p>
    <w:p>
      <w:pPr>
        <w:pStyle w:val="15"/>
        <w:keepNext w:val="0"/>
        <w:keepLines w:val="0"/>
        <w:pageBreakBefore w:val="0"/>
        <w:widowControl/>
        <w:numPr>
          <w:ilvl w:val="0"/>
          <w:numId w:val="0"/>
        </w:numPr>
        <w:kinsoku/>
        <w:wordWrap/>
        <w:overflowPunct/>
        <w:topLinePunct w:val="0"/>
        <w:autoSpaceDE/>
        <w:autoSpaceDN/>
        <w:bidi w:val="0"/>
        <w:adjustRightInd/>
        <w:snapToGrid w:val="0"/>
        <w:spacing w:line="400" w:lineRule="exact"/>
        <w:ind w:firstLine="480" w:firstLineChars="200"/>
        <w:jc w:val="left"/>
        <w:textAlignment w:val="auto"/>
        <w:rPr>
          <w:rFonts w:hint="default"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公司202</w:t>
      </w:r>
      <w:r>
        <w:rPr>
          <w:rFonts w:hint="eastAsia" w:ascii="宋体" w:hAnsi="宋体"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lang w:val="en-US" w:eastAsia="zh-CN"/>
        </w:rPr>
        <w:t>年营业利润增长率-1</w:t>
      </w:r>
      <w:r>
        <w:rPr>
          <w:rFonts w:hint="eastAsia" w:ascii="宋体" w:hAnsi="宋体" w:cs="宋体"/>
          <w:b w:val="0"/>
          <w:bCs/>
          <w:color w:val="auto"/>
          <w:sz w:val="24"/>
          <w:szCs w:val="24"/>
          <w:highlight w:val="none"/>
          <w:lang w:val="en-US" w:eastAsia="zh-CN"/>
        </w:rPr>
        <w:t>25.3</w:t>
      </w:r>
      <w:r>
        <w:rPr>
          <w:rFonts w:hint="eastAsia" w:ascii="宋体" w:hAnsi="宋体" w:eastAsia="宋体" w:cs="宋体"/>
          <w:b w:val="0"/>
          <w:bCs/>
          <w:color w:val="auto"/>
          <w:sz w:val="24"/>
          <w:szCs w:val="24"/>
          <w:highlight w:val="none"/>
          <w:lang w:val="en-US" w:eastAsia="zh-CN"/>
        </w:rPr>
        <w:t>%，同比</w:t>
      </w:r>
      <w:r>
        <w:rPr>
          <w:rFonts w:hint="eastAsia" w:ascii="宋体" w:hAnsi="宋体" w:cs="宋体"/>
          <w:b w:val="0"/>
          <w:bCs/>
          <w:color w:val="auto"/>
          <w:sz w:val="24"/>
          <w:szCs w:val="24"/>
          <w:highlight w:val="none"/>
          <w:lang w:val="en-US" w:eastAsia="zh-CN"/>
        </w:rPr>
        <w:t>增加</w:t>
      </w:r>
      <w:r>
        <w:rPr>
          <w:rFonts w:hint="eastAsia" w:ascii="宋体" w:hAnsi="宋体" w:eastAsia="宋体" w:cs="宋体"/>
          <w:b w:val="0"/>
          <w:bCs/>
          <w:color w:val="auto"/>
          <w:sz w:val="24"/>
          <w:szCs w:val="24"/>
          <w:highlight w:val="none"/>
          <w:lang w:val="en-US" w:eastAsia="zh-CN"/>
        </w:rPr>
        <w:t>1</w:t>
      </w:r>
      <w:r>
        <w:rPr>
          <w:rFonts w:hint="eastAsia" w:ascii="宋体" w:hAnsi="宋体" w:cs="宋体"/>
          <w:b w:val="0"/>
          <w:bCs/>
          <w:color w:val="auto"/>
          <w:sz w:val="24"/>
          <w:szCs w:val="24"/>
          <w:highlight w:val="none"/>
          <w:lang w:val="en-US" w:eastAsia="zh-CN"/>
        </w:rPr>
        <w:t>,252.37%</w:t>
      </w:r>
      <w:r>
        <w:rPr>
          <w:rFonts w:hint="eastAsia" w:ascii="宋体" w:hAnsi="宋体" w:eastAsia="宋体" w:cs="宋体"/>
          <w:b w:val="0"/>
          <w:bCs/>
          <w:color w:val="auto"/>
          <w:sz w:val="24"/>
          <w:szCs w:val="24"/>
          <w:highlight w:val="none"/>
          <w:lang w:val="en-US" w:eastAsia="zh-CN"/>
        </w:rPr>
        <w:t>。变动的主要原因：2023年计提减值、确认公允价值变动损益等非经常性损益导致</w:t>
      </w:r>
      <w:r>
        <w:rPr>
          <w:rFonts w:hint="eastAsia" w:ascii="宋体" w:hAnsi="宋体" w:cs="宋体"/>
          <w:b w:val="0"/>
          <w:bCs/>
          <w:color w:val="auto"/>
          <w:sz w:val="24"/>
          <w:szCs w:val="24"/>
          <w:highlight w:val="none"/>
          <w:lang w:val="en-US" w:eastAsia="zh-CN"/>
        </w:rPr>
        <w:t>2023年</w:t>
      </w:r>
      <w:r>
        <w:rPr>
          <w:rFonts w:hint="eastAsia" w:ascii="宋体" w:hAnsi="宋体" w:eastAsia="宋体" w:cs="宋体"/>
          <w:b w:val="0"/>
          <w:bCs/>
          <w:color w:val="auto"/>
          <w:sz w:val="24"/>
          <w:szCs w:val="24"/>
          <w:highlight w:val="none"/>
          <w:lang w:val="en-US" w:eastAsia="zh-CN"/>
        </w:rPr>
        <w:t>营业利润</w:t>
      </w:r>
      <w:r>
        <w:rPr>
          <w:rFonts w:hint="eastAsia" w:ascii="宋体" w:hAnsi="宋体" w:cs="宋体"/>
          <w:b w:val="0"/>
          <w:bCs/>
          <w:color w:val="auto"/>
          <w:sz w:val="24"/>
          <w:szCs w:val="24"/>
          <w:highlight w:val="none"/>
          <w:lang w:val="en-US" w:eastAsia="zh-CN"/>
        </w:rPr>
        <w:t>较低。</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股本情况</w:t>
      </w:r>
    </w:p>
    <w:p>
      <w:pPr>
        <w:spacing w:line="360" w:lineRule="auto"/>
        <w:jc w:val="right"/>
        <w:rPr>
          <w:rFonts w:hint="eastAsia" w:ascii="宋体" w:hAnsi="宋体" w:cs="宋体"/>
          <w:color w:val="auto"/>
          <w:sz w:val="24"/>
          <w:szCs w:val="24"/>
          <w:highlight w:val="none"/>
        </w:rPr>
      </w:pPr>
      <w:r>
        <w:rPr>
          <w:rFonts w:hint="eastAsia" w:ascii="宋体" w:hAnsi="宋体" w:cs="宋体"/>
          <w:color w:val="auto"/>
          <w:highlight w:val="none"/>
        </w:rPr>
        <w:t>单位：股</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09"/>
        <w:gridCol w:w="1989"/>
        <w:gridCol w:w="1964"/>
        <w:gridCol w:w="1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209" w:type="dxa"/>
            <w:noWrap w:val="0"/>
            <w:vAlign w:val="center"/>
          </w:tcPr>
          <w:p>
            <w:pPr>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项目</w:t>
            </w:r>
          </w:p>
        </w:tc>
        <w:tc>
          <w:tcPr>
            <w:tcW w:w="1989" w:type="dxa"/>
            <w:noWrap w:val="0"/>
            <w:vAlign w:val="center"/>
          </w:tcPr>
          <w:p>
            <w:pPr>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本期期末</w:t>
            </w:r>
          </w:p>
        </w:tc>
        <w:tc>
          <w:tcPr>
            <w:tcW w:w="1964" w:type="dxa"/>
            <w:noWrap w:val="0"/>
            <w:vAlign w:val="center"/>
          </w:tcPr>
          <w:p>
            <w:pPr>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本期期初</w:t>
            </w:r>
          </w:p>
        </w:tc>
        <w:tc>
          <w:tcPr>
            <w:tcW w:w="1365" w:type="dxa"/>
            <w:noWrap w:val="0"/>
            <w:vAlign w:val="center"/>
          </w:tcPr>
          <w:p>
            <w:pPr>
              <w:spacing w:line="360" w:lineRule="auto"/>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增减</w:t>
            </w:r>
            <w:r>
              <w:rPr>
                <w:rFonts w:hint="eastAsia" w:ascii="宋体" w:hAnsi="宋体" w:cs="宋体"/>
                <w:color w:val="auto"/>
                <w:kern w:val="0"/>
                <w:sz w:val="20"/>
                <w:szCs w:val="20"/>
                <w:highlight w:val="none"/>
                <w:lang w:eastAsia="zh-CN"/>
              </w:rPr>
              <w:t>变动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3209" w:type="dxa"/>
            <w:noWrap w:val="0"/>
            <w:vAlign w:val="center"/>
          </w:tcPr>
          <w:p>
            <w:pPr>
              <w:spacing w:line="360" w:lineRule="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普通股总股本</w:t>
            </w:r>
          </w:p>
        </w:tc>
        <w:tc>
          <w:tcPr>
            <w:tcW w:w="1989" w:type="dxa"/>
            <w:noWrap w:val="0"/>
            <w:vAlign w:val="center"/>
          </w:tcPr>
          <w:p>
            <w:pPr>
              <w:spacing w:line="360" w:lineRule="auto"/>
              <w:jc w:val="righ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4,692,315,400.00</w:t>
            </w:r>
          </w:p>
        </w:tc>
        <w:tc>
          <w:tcPr>
            <w:tcW w:w="1964" w:type="dxa"/>
            <w:noWrap w:val="0"/>
            <w:vAlign w:val="center"/>
          </w:tcPr>
          <w:p>
            <w:pPr>
              <w:spacing w:line="360" w:lineRule="auto"/>
              <w:jc w:val="righ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4,692,315,400.00</w:t>
            </w:r>
          </w:p>
        </w:tc>
        <w:tc>
          <w:tcPr>
            <w:tcW w:w="1365" w:type="dxa"/>
            <w:noWrap w:val="0"/>
            <w:vAlign w:val="center"/>
          </w:tcPr>
          <w:p>
            <w:pPr>
              <w:spacing w:line="360" w:lineRule="auto"/>
              <w:jc w:val="righ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3209" w:type="dxa"/>
            <w:noWrap w:val="0"/>
            <w:vAlign w:val="center"/>
          </w:tcPr>
          <w:p>
            <w:pPr>
              <w:spacing w:line="360" w:lineRule="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计入权益的优先股数量</w:t>
            </w:r>
          </w:p>
        </w:tc>
        <w:tc>
          <w:tcPr>
            <w:tcW w:w="1989" w:type="dxa"/>
            <w:noWrap w:val="0"/>
            <w:vAlign w:val="top"/>
          </w:tcPr>
          <w:p>
            <w:pPr>
              <w:spacing w:line="360" w:lineRule="auto"/>
              <w:jc w:val="righ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0</w:t>
            </w:r>
          </w:p>
        </w:tc>
        <w:tc>
          <w:tcPr>
            <w:tcW w:w="1964" w:type="dxa"/>
            <w:noWrap w:val="0"/>
            <w:vAlign w:val="top"/>
          </w:tcPr>
          <w:p>
            <w:pPr>
              <w:spacing w:line="360" w:lineRule="auto"/>
              <w:jc w:val="righ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0</w:t>
            </w:r>
          </w:p>
        </w:tc>
        <w:tc>
          <w:tcPr>
            <w:tcW w:w="1365" w:type="dxa"/>
            <w:noWrap w:val="0"/>
            <w:vAlign w:val="top"/>
          </w:tcPr>
          <w:p>
            <w:pPr>
              <w:spacing w:line="360" w:lineRule="auto"/>
              <w:jc w:val="righ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trPr>
        <w:tc>
          <w:tcPr>
            <w:tcW w:w="3209" w:type="dxa"/>
            <w:noWrap w:val="0"/>
            <w:vAlign w:val="center"/>
          </w:tcPr>
          <w:p>
            <w:pPr>
              <w:spacing w:line="360" w:lineRule="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计入负债的优先股数量</w:t>
            </w:r>
          </w:p>
        </w:tc>
        <w:tc>
          <w:tcPr>
            <w:tcW w:w="1989" w:type="dxa"/>
            <w:noWrap w:val="0"/>
            <w:vAlign w:val="top"/>
          </w:tcPr>
          <w:p>
            <w:pPr>
              <w:spacing w:line="360" w:lineRule="auto"/>
              <w:jc w:val="righ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0</w:t>
            </w:r>
          </w:p>
        </w:tc>
        <w:tc>
          <w:tcPr>
            <w:tcW w:w="1964" w:type="dxa"/>
            <w:noWrap w:val="0"/>
            <w:vAlign w:val="top"/>
          </w:tcPr>
          <w:p>
            <w:pPr>
              <w:spacing w:line="360" w:lineRule="auto"/>
              <w:jc w:val="righ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0</w:t>
            </w:r>
          </w:p>
        </w:tc>
        <w:tc>
          <w:tcPr>
            <w:tcW w:w="1365" w:type="dxa"/>
            <w:noWrap w:val="0"/>
            <w:vAlign w:val="top"/>
          </w:tcPr>
          <w:p>
            <w:pPr>
              <w:spacing w:line="360" w:lineRule="auto"/>
              <w:jc w:val="righ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0%</w:t>
            </w:r>
          </w:p>
        </w:tc>
      </w:tr>
    </w:tbl>
    <w:p>
      <w:pPr>
        <w:pStyle w:val="15"/>
        <w:keepNext w:val="0"/>
        <w:keepLines w:val="0"/>
        <w:pageBreakBefore w:val="0"/>
        <w:widowControl/>
        <w:numPr>
          <w:ilvl w:val="0"/>
          <w:numId w:val="0"/>
        </w:numPr>
        <w:kinsoku/>
        <w:wordWrap/>
        <w:overflowPunct/>
        <w:topLinePunct w:val="0"/>
        <w:autoSpaceDE/>
        <w:autoSpaceDN/>
        <w:bidi w:val="0"/>
        <w:adjustRightInd/>
        <w:snapToGrid w:val="0"/>
        <w:spacing w:line="360" w:lineRule="auto"/>
        <w:textAlignment w:val="auto"/>
        <w:rPr>
          <w:rFonts w:hint="eastAsia"/>
          <w:color w:val="auto"/>
          <w:highlight w:val="none"/>
          <w:lang w:val="en-US" w:eastAsia="zh-CN"/>
        </w:rPr>
      </w:pPr>
    </w:p>
    <w:p>
      <w:pPr>
        <w:numPr>
          <w:ilvl w:val="0"/>
          <w:numId w:val="5"/>
        </w:numPr>
        <w:spacing w:line="360" w:lineRule="auto"/>
        <w:ind w:left="0" w:leftChars="0" w:firstLine="482" w:firstLineChars="20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境内外会计准则下会计数据差异</w:t>
      </w:r>
    </w:p>
    <w:p>
      <w:pPr>
        <w:spacing w:line="360" w:lineRule="auto"/>
        <w:ind w:firstLine="480" w:firstLineChars="200"/>
        <w:rPr>
          <w:rFonts w:hint="eastAsia"/>
          <w:color w:val="auto"/>
          <w:highlight w:val="none"/>
          <w:lang w:val="en-US" w:eastAsia="zh-CN"/>
        </w:rPr>
      </w:pPr>
      <w:r>
        <w:rPr>
          <w:rFonts w:hint="eastAsia" w:ascii="宋体" w:hAnsi="宋体" w:cs="宋体"/>
          <w:color w:val="auto"/>
          <w:sz w:val="24"/>
          <w:szCs w:val="24"/>
          <w:highlight w:val="none"/>
        </w:rPr>
        <w:t>不适用。</w:t>
      </w:r>
    </w:p>
    <w:p>
      <w:pPr>
        <w:numPr>
          <w:ilvl w:val="0"/>
          <w:numId w:val="5"/>
        </w:numPr>
        <w:spacing w:line="360" w:lineRule="auto"/>
        <w:ind w:left="0" w:leftChars="0" w:firstLine="482" w:firstLineChars="20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非经常性损益项目及金额</w:t>
      </w:r>
    </w:p>
    <w:tbl>
      <w:tblPr>
        <w:tblStyle w:val="22"/>
        <w:tblW w:w="85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240"/>
        <w:gridCol w:w="23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6240" w:type="dxa"/>
            <w:tcBorders>
              <w:top w:val="nil"/>
              <w:left w:val="nil"/>
              <w:bottom w:val="single" w:color="auto"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auto"/>
                <w:sz w:val="20"/>
                <w:szCs w:val="20"/>
                <w:highlight w:val="none"/>
                <w:u w:val="none"/>
              </w:rPr>
            </w:pPr>
          </w:p>
        </w:tc>
        <w:tc>
          <w:tcPr>
            <w:tcW w:w="2310" w:type="dxa"/>
            <w:tcBorders>
              <w:top w:val="nil"/>
              <w:left w:val="nil"/>
              <w:bottom w:val="single" w:color="auto" w:sz="4" w:space="0"/>
              <w:right w:val="nil"/>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单位：元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atLeast"/>
        </w:trPr>
        <w:tc>
          <w:tcPr>
            <w:tcW w:w="62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项目</w:t>
            </w:r>
          </w:p>
        </w:tc>
        <w:tc>
          <w:tcPr>
            <w:tcW w:w="231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62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ascii="宋体" w:hAnsi="宋体" w:eastAsia="宋体" w:cs="宋体"/>
                <w:i w:val="0"/>
                <w:iCs w:val="0"/>
                <w:color w:val="auto"/>
                <w:kern w:val="0"/>
                <w:sz w:val="19"/>
                <w:szCs w:val="19"/>
                <w:highlight w:val="none"/>
                <w:u w:val="none"/>
                <w:lang w:val="en-US" w:eastAsia="zh-CN" w:bidi="ar"/>
              </w:rPr>
              <w:t>非流动性资产处置损益，包括已计提资产减值准备的冲销部分</w:t>
            </w:r>
          </w:p>
        </w:tc>
        <w:tc>
          <w:tcPr>
            <w:tcW w:w="231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ascii="宋体" w:hAnsi="宋体" w:eastAsia="宋体" w:cs="宋体"/>
                <w:i w:val="0"/>
                <w:iCs w:val="0"/>
                <w:color w:val="auto"/>
                <w:kern w:val="0"/>
                <w:sz w:val="18"/>
                <w:szCs w:val="18"/>
                <w:highlight w:val="none"/>
                <w:u w:val="none"/>
                <w:lang w:val="en-US" w:eastAsia="zh-CN" w:bidi="ar"/>
              </w:rPr>
              <w:t>130,879,954.49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62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ascii="宋体" w:hAnsi="宋体" w:eastAsia="宋体" w:cs="宋体"/>
                <w:i w:val="0"/>
                <w:iCs w:val="0"/>
                <w:color w:val="auto"/>
                <w:kern w:val="0"/>
                <w:sz w:val="19"/>
                <w:szCs w:val="19"/>
                <w:highlight w:val="none"/>
                <w:u w:val="none"/>
                <w:lang w:val="en-US" w:eastAsia="zh-CN" w:bidi="ar"/>
              </w:rPr>
              <w:t>计入当期损益的政府补助，但与公司正常经营业务密切相关、符合国家政策规定、按照确定的标准享有、对公司损益产生持续影响的政府补助除外</w:t>
            </w:r>
          </w:p>
        </w:tc>
        <w:tc>
          <w:tcPr>
            <w:tcW w:w="231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ascii="宋体" w:hAnsi="宋体" w:eastAsia="宋体" w:cs="宋体"/>
                <w:i w:val="0"/>
                <w:iCs w:val="0"/>
                <w:color w:val="auto"/>
                <w:kern w:val="0"/>
                <w:sz w:val="18"/>
                <w:szCs w:val="18"/>
                <w:highlight w:val="none"/>
                <w:u w:val="none"/>
                <w:lang w:val="en-US" w:eastAsia="zh-CN" w:bidi="ar"/>
              </w:rPr>
              <w:t>325,473.00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atLeast"/>
        </w:trPr>
        <w:tc>
          <w:tcPr>
            <w:tcW w:w="62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ascii="宋体" w:hAnsi="宋体" w:eastAsia="宋体" w:cs="宋体"/>
                <w:i w:val="0"/>
                <w:iCs w:val="0"/>
                <w:color w:val="auto"/>
                <w:kern w:val="0"/>
                <w:sz w:val="19"/>
                <w:szCs w:val="19"/>
                <w:highlight w:val="none"/>
                <w:u w:val="none"/>
                <w:lang w:val="en-US" w:eastAsia="zh-CN" w:bidi="ar"/>
              </w:rPr>
              <w:t>对外委托贷款取得的损益</w:t>
            </w:r>
          </w:p>
        </w:tc>
        <w:tc>
          <w:tcPr>
            <w:tcW w:w="231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ascii="宋体" w:hAnsi="宋体" w:eastAsia="宋体" w:cs="宋体"/>
                <w:i w:val="0"/>
                <w:iCs w:val="0"/>
                <w:color w:val="auto"/>
                <w:kern w:val="0"/>
                <w:sz w:val="18"/>
                <w:szCs w:val="18"/>
                <w:highlight w:val="none"/>
                <w:u w:val="none"/>
                <w:lang w:val="en-US" w:eastAsia="zh-CN" w:bidi="ar"/>
              </w:rPr>
              <w:t>82,684,447.91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62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ascii="宋体" w:hAnsi="宋体" w:eastAsia="宋体" w:cs="宋体"/>
                <w:i w:val="0"/>
                <w:iCs w:val="0"/>
                <w:color w:val="auto"/>
                <w:kern w:val="0"/>
                <w:sz w:val="19"/>
                <w:szCs w:val="19"/>
                <w:highlight w:val="none"/>
                <w:u w:val="none"/>
                <w:lang w:val="en-US" w:eastAsia="zh-CN" w:bidi="ar"/>
              </w:rPr>
              <w:t>采用公允价值模式进行后续计量的投资性房地产公允价值变动产生的损益</w:t>
            </w:r>
          </w:p>
        </w:tc>
        <w:tc>
          <w:tcPr>
            <w:tcW w:w="231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ascii="宋体" w:hAnsi="宋体" w:eastAsia="宋体" w:cs="宋体"/>
                <w:i w:val="0"/>
                <w:iCs w:val="0"/>
                <w:color w:val="auto"/>
                <w:kern w:val="0"/>
                <w:sz w:val="18"/>
                <w:szCs w:val="18"/>
                <w:highlight w:val="none"/>
                <w:u w:val="none"/>
                <w:lang w:val="en-US" w:eastAsia="zh-CN" w:bidi="ar"/>
              </w:rPr>
              <w:t>-24,724,161.36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trPr>
        <w:tc>
          <w:tcPr>
            <w:tcW w:w="62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ascii="宋体" w:hAnsi="宋体" w:eastAsia="宋体" w:cs="宋体"/>
                <w:i w:val="0"/>
                <w:iCs w:val="0"/>
                <w:color w:val="auto"/>
                <w:kern w:val="0"/>
                <w:sz w:val="19"/>
                <w:szCs w:val="19"/>
                <w:highlight w:val="none"/>
                <w:u w:val="none"/>
                <w:lang w:val="en-US" w:eastAsia="zh-CN" w:bidi="ar"/>
              </w:rPr>
              <w:t>除上述各项之外的其他营业外收入和支出</w:t>
            </w:r>
          </w:p>
        </w:tc>
        <w:tc>
          <w:tcPr>
            <w:tcW w:w="231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ascii="宋体" w:hAnsi="宋体" w:eastAsia="宋体" w:cs="宋体"/>
                <w:i w:val="0"/>
                <w:iCs w:val="0"/>
                <w:color w:val="auto"/>
                <w:kern w:val="0"/>
                <w:sz w:val="18"/>
                <w:szCs w:val="18"/>
                <w:highlight w:val="none"/>
                <w:u w:val="none"/>
                <w:lang w:val="en-US" w:eastAsia="zh-CN" w:bidi="ar"/>
              </w:rPr>
              <w:t>-195,990,619.24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62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ascii="宋体" w:hAnsi="宋体" w:eastAsia="宋体" w:cs="宋体"/>
                <w:i w:val="0"/>
                <w:iCs w:val="0"/>
                <w:color w:val="auto"/>
                <w:kern w:val="0"/>
                <w:sz w:val="19"/>
                <w:szCs w:val="19"/>
                <w:highlight w:val="none"/>
                <w:u w:val="none"/>
                <w:lang w:val="en-US" w:eastAsia="zh-CN" w:bidi="ar"/>
              </w:rPr>
              <w:t>其他符合非经常性损益定义的损益项目</w:t>
            </w:r>
          </w:p>
        </w:tc>
        <w:tc>
          <w:tcPr>
            <w:tcW w:w="231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ascii="宋体" w:hAnsi="宋体" w:eastAsia="宋体" w:cs="宋体"/>
                <w:i w:val="0"/>
                <w:iCs w:val="0"/>
                <w:color w:val="auto"/>
                <w:kern w:val="0"/>
                <w:sz w:val="18"/>
                <w:szCs w:val="18"/>
                <w:highlight w:val="none"/>
                <w:u w:val="none"/>
                <w:lang w:val="en-US" w:eastAsia="zh-CN" w:bidi="ar"/>
              </w:rPr>
              <w:t>1,650,642,312.20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62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ascii="宋体" w:hAnsi="宋体" w:eastAsia="宋体" w:cs="宋体"/>
                <w:i w:val="0"/>
                <w:iCs w:val="0"/>
                <w:color w:val="auto"/>
                <w:kern w:val="0"/>
                <w:sz w:val="19"/>
                <w:szCs w:val="19"/>
                <w:highlight w:val="none"/>
                <w:u w:val="none"/>
                <w:lang w:val="en-US" w:eastAsia="zh-CN" w:bidi="ar"/>
              </w:rPr>
              <w:t>非经常性损益合计</w:t>
            </w:r>
          </w:p>
        </w:tc>
        <w:tc>
          <w:tcPr>
            <w:tcW w:w="231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ascii="宋体" w:hAnsi="宋体" w:eastAsia="宋体" w:cs="宋体"/>
                <w:i w:val="0"/>
                <w:iCs w:val="0"/>
                <w:color w:val="auto"/>
                <w:kern w:val="0"/>
                <w:sz w:val="18"/>
                <w:szCs w:val="18"/>
                <w:highlight w:val="none"/>
                <w:u w:val="none"/>
                <w:lang w:val="en-US" w:eastAsia="zh-CN" w:bidi="ar"/>
              </w:rPr>
              <w:t>1,643,817,407.00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62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ascii="宋体" w:hAnsi="宋体" w:eastAsia="宋体" w:cs="宋体"/>
                <w:i w:val="0"/>
                <w:iCs w:val="0"/>
                <w:color w:val="auto"/>
                <w:kern w:val="0"/>
                <w:sz w:val="19"/>
                <w:szCs w:val="19"/>
                <w:highlight w:val="none"/>
                <w:u w:val="none"/>
                <w:lang w:val="en-US" w:eastAsia="zh-CN" w:bidi="ar"/>
              </w:rPr>
              <w:t>减：所得税影响额</w:t>
            </w:r>
          </w:p>
        </w:tc>
        <w:tc>
          <w:tcPr>
            <w:tcW w:w="231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ascii="宋体" w:hAnsi="宋体" w:eastAsia="宋体" w:cs="宋体"/>
                <w:i w:val="0"/>
                <w:iCs w:val="0"/>
                <w:color w:val="auto"/>
                <w:kern w:val="0"/>
                <w:sz w:val="18"/>
                <w:szCs w:val="18"/>
                <w:highlight w:val="none"/>
                <w:u w:val="none"/>
                <w:lang w:val="en-US" w:eastAsia="zh-CN" w:bidi="ar"/>
              </w:rPr>
              <w:t>410,954,351.80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62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ascii="宋体" w:hAnsi="宋体" w:eastAsia="宋体" w:cs="宋体"/>
                <w:i w:val="0"/>
                <w:iCs w:val="0"/>
                <w:color w:val="auto"/>
                <w:kern w:val="0"/>
                <w:sz w:val="19"/>
                <w:szCs w:val="19"/>
                <w:highlight w:val="none"/>
                <w:u w:val="none"/>
                <w:lang w:val="en-US" w:eastAsia="zh-CN" w:bidi="ar"/>
              </w:rPr>
              <w:t>非经常性损益净额</w:t>
            </w:r>
          </w:p>
        </w:tc>
        <w:tc>
          <w:tcPr>
            <w:tcW w:w="231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ascii="宋体" w:hAnsi="宋体" w:eastAsia="宋体" w:cs="宋体"/>
                <w:i w:val="0"/>
                <w:iCs w:val="0"/>
                <w:color w:val="auto"/>
                <w:kern w:val="0"/>
                <w:sz w:val="18"/>
                <w:szCs w:val="18"/>
                <w:highlight w:val="none"/>
                <w:u w:val="none"/>
                <w:lang w:val="en-US" w:eastAsia="zh-CN" w:bidi="ar"/>
              </w:rPr>
              <w:t>1,232,863,055.20</w:t>
            </w:r>
          </w:p>
        </w:tc>
      </w:tr>
    </w:tbl>
    <w:p>
      <w:pPr>
        <w:pStyle w:val="15"/>
        <w:keepNext w:val="0"/>
        <w:keepLines w:val="0"/>
        <w:pageBreakBefore w:val="0"/>
        <w:widowControl/>
        <w:numPr>
          <w:ilvl w:val="0"/>
          <w:numId w:val="0"/>
        </w:numPr>
        <w:kinsoku/>
        <w:wordWrap/>
        <w:overflowPunct/>
        <w:topLinePunct w:val="0"/>
        <w:autoSpaceDE/>
        <w:autoSpaceDN/>
        <w:bidi w:val="0"/>
        <w:adjustRightInd/>
        <w:snapToGrid w:val="0"/>
        <w:spacing w:line="400" w:lineRule="exact"/>
        <w:ind w:leftChars="200"/>
        <w:jc w:val="left"/>
        <w:textAlignment w:val="auto"/>
        <w:rPr>
          <w:rFonts w:hint="eastAsia"/>
          <w:color w:val="auto"/>
          <w:highlight w:val="none"/>
          <w:lang w:val="en-US" w:eastAsia="zh-CN"/>
        </w:rPr>
      </w:pPr>
    </w:p>
    <w:p>
      <w:pPr>
        <w:keepNext w:val="0"/>
        <w:keepLines w:val="0"/>
        <w:pageBreakBefore w:val="0"/>
        <w:widowControl w:val="0"/>
        <w:numPr>
          <w:ilvl w:val="0"/>
          <w:numId w:val="5"/>
        </w:numPr>
        <w:kinsoku/>
        <w:wordWrap/>
        <w:overflowPunct/>
        <w:topLinePunct w:val="0"/>
        <w:autoSpaceDE/>
        <w:autoSpaceDN/>
        <w:bidi w:val="0"/>
        <w:adjustRightInd/>
        <w:snapToGrid/>
        <w:spacing w:line="400" w:lineRule="exact"/>
        <w:ind w:left="0" w:leftChars="0" w:firstLine="482" w:firstLineChars="200"/>
        <w:jc w:val="left"/>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补充财务指标</w:t>
      </w:r>
    </w:p>
    <w:p>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无。</w:t>
      </w:r>
    </w:p>
    <w:p>
      <w:pPr>
        <w:keepNext w:val="0"/>
        <w:keepLines w:val="0"/>
        <w:pageBreakBefore w:val="0"/>
        <w:numPr>
          <w:ilvl w:val="0"/>
          <w:numId w:val="5"/>
        </w:numPr>
        <w:kinsoku/>
        <w:wordWrap/>
        <w:overflowPunct/>
        <w:topLinePunct w:val="0"/>
        <w:autoSpaceDE/>
        <w:autoSpaceDN/>
        <w:bidi w:val="0"/>
        <w:adjustRightInd/>
        <w:spacing w:line="400" w:lineRule="exact"/>
        <w:ind w:left="0" w:leftChars="0" w:firstLine="482" w:firstLineChars="200"/>
        <w:jc w:val="left"/>
        <w:textAlignment w:val="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会计政策变更、会计估计变更或重大差错更正等情况</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会计政策变更及影响</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b w:val="0"/>
          <w:bCs w:val="0"/>
          <w:color w:val="auto"/>
          <w:sz w:val="24"/>
          <w:szCs w:val="24"/>
          <w:highlight w:val="none"/>
          <w:lang w:val="en-US" w:eastAsia="zh-CN"/>
        </w:rPr>
      </w:pPr>
      <w:r>
        <w:rPr>
          <w:rFonts w:hint="eastAsia" w:ascii="宋体" w:hAnsi="宋体" w:cs="宋体"/>
          <w:color w:val="auto"/>
          <w:sz w:val="24"/>
          <w:szCs w:val="24"/>
          <w:highlight w:val="none"/>
        </w:rPr>
        <w:t>无。</w:t>
      </w:r>
    </w:p>
    <w:p>
      <w:pPr>
        <w:keepNext w:val="0"/>
        <w:keepLines w:val="0"/>
        <w:pageBreakBefore w:val="0"/>
        <w:widowControl w:val="0"/>
        <w:kinsoku/>
        <w:wordWrap/>
        <w:overflowPunct/>
        <w:topLinePunct w:val="0"/>
        <w:autoSpaceDE/>
        <w:autoSpaceDN/>
        <w:bidi w:val="0"/>
        <w:spacing w:line="400" w:lineRule="exact"/>
        <w:ind w:firstLine="480" w:firstLineChars="200"/>
        <w:jc w:val="left"/>
        <w:textAlignment w:val="auto"/>
        <w:rPr>
          <w:rFonts w:hint="eastAsia" w:ascii="宋体" w:hAnsi="宋体" w:cs="宋体"/>
          <w:color w:val="auto"/>
          <w:sz w:val="24"/>
          <w:szCs w:val="24"/>
          <w:highlight w:val="none"/>
        </w:rPr>
      </w:pPr>
      <w:r>
        <w:rPr>
          <w:rFonts w:hint="eastAsia" w:ascii="宋体" w:hAnsi="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rPr>
        <w:t>.会计估计变更或重大差错更正的</w:t>
      </w:r>
      <w:r>
        <w:rPr>
          <w:rFonts w:hint="eastAsia" w:ascii="宋体" w:hAnsi="宋体" w:cs="宋体"/>
          <w:b w:val="0"/>
          <w:bCs w:val="0"/>
          <w:color w:val="auto"/>
          <w:sz w:val="24"/>
          <w:szCs w:val="24"/>
          <w:highlight w:val="none"/>
          <w:lang w:eastAsia="zh-CN"/>
        </w:rPr>
        <w:t>情况</w:t>
      </w:r>
    </w:p>
    <w:p>
      <w:pPr>
        <w:keepNext w:val="0"/>
        <w:keepLines w:val="0"/>
        <w:pageBreakBefore w:val="0"/>
        <w:widowControl w:val="0"/>
        <w:kinsoku/>
        <w:wordWrap/>
        <w:overflowPunct/>
        <w:topLinePunct w:val="0"/>
        <w:autoSpaceDE/>
        <w:autoSpaceDN/>
        <w:bidi w:val="0"/>
        <w:spacing w:line="400" w:lineRule="exact"/>
        <w:ind w:firstLine="480" w:firstLineChars="200"/>
        <w:jc w:val="left"/>
        <w:textAlignment w:val="auto"/>
        <w:rPr>
          <w:rFonts w:hint="eastAsia"/>
          <w:color w:val="auto"/>
          <w:highlight w:val="none"/>
        </w:rPr>
      </w:pPr>
      <w:r>
        <w:rPr>
          <w:rFonts w:hint="eastAsia" w:ascii="宋体" w:hAnsi="宋体" w:cs="宋体"/>
          <w:color w:val="auto"/>
          <w:sz w:val="24"/>
          <w:szCs w:val="24"/>
          <w:highlight w:val="none"/>
        </w:rPr>
        <w:t>无。</w:t>
      </w:r>
    </w:p>
    <w:p>
      <w:pPr>
        <w:keepNext w:val="0"/>
        <w:keepLines w:val="0"/>
        <w:pageBreakBefore w:val="0"/>
        <w:widowControl w:val="0"/>
        <w:numPr>
          <w:ilvl w:val="0"/>
          <w:numId w:val="6"/>
        </w:numPr>
        <w:kinsoku/>
        <w:wordWrap/>
        <w:overflowPunct/>
        <w:topLinePunct w:val="0"/>
        <w:autoSpaceDE/>
        <w:autoSpaceDN/>
        <w:bidi w:val="0"/>
        <w:spacing w:line="400" w:lineRule="exact"/>
        <w:ind w:firstLine="482" w:firstLineChars="200"/>
        <w:jc w:val="left"/>
        <w:textAlignment w:val="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合并报表范围的变化情况</w:t>
      </w:r>
    </w:p>
    <w:p>
      <w:pPr>
        <w:pStyle w:val="37"/>
        <w:keepNext w:val="0"/>
        <w:keepLines w:val="0"/>
        <w:pageBreakBefore w:val="0"/>
        <w:widowControl w:val="0"/>
        <w:numPr>
          <w:ilvl w:val="0"/>
          <w:numId w:val="0"/>
        </w:numPr>
        <w:kinsoku/>
        <w:wordWrap/>
        <w:overflowPunct/>
        <w:topLinePunct w:val="0"/>
        <w:autoSpaceDE/>
        <w:autoSpaceDN/>
        <w:bidi w:val="0"/>
        <w:spacing w:line="400" w:lineRule="exact"/>
        <w:ind w:firstLine="480" w:firstLineChars="200"/>
        <w:jc w:val="left"/>
        <w:textAlignment w:val="auto"/>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rPr>
        <w:t>1.本期不再纳入合并范围的</w:t>
      </w:r>
      <w:r>
        <w:rPr>
          <w:rFonts w:hint="eastAsia" w:ascii="宋体" w:hAnsi="宋体" w:cs="宋体"/>
          <w:b w:val="0"/>
          <w:bCs/>
          <w:color w:val="auto"/>
          <w:sz w:val="24"/>
          <w:szCs w:val="24"/>
          <w:highlight w:val="none"/>
          <w:lang w:eastAsia="zh-CN"/>
        </w:rPr>
        <w:t>重要</w:t>
      </w:r>
      <w:r>
        <w:rPr>
          <w:rFonts w:hint="eastAsia" w:ascii="宋体" w:hAnsi="宋体" w:cs="宋体"/>
          <w:b w:val="0"/>
          <w:bCs/>
          <w:color w:val="auto"/>
          <w:sz w:val="24"/>
          <w:szCs w:val="24"/>
          <w:highlight w:val="none"/>
        </w:rPr>
        <w:t>子公司情况</w:t>
      </w:r>
    </w:p>
    <w:tbl>
      <w:tblPr>
        <w:tblStyle w:val="36"/>
        <w:tblW w:w="4998" w:type="pct"/>
        <w:tblInd w:w="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627"/>
        <w:gridCol w:w="1729"/>
        <w:gridCol w:w="1178"/>
        <w:gridCol w:w="1178"/>
        <w:gridCol w:w="1321"/>
        <w:gridCol w:w="1321"/>
        <w:gridCol w:w="1172"/>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368" w:type="pc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序号</w:t>
            </w:r>
          </w:p>
        </w:tc>
        <w:tc>
          <w:tcPr>
            <w:tcW w:w="1013" w:type="pc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企业名称</w:t>
            </w:r>
          </w:p>
        </w:tc>
        <w:tc>
          <w:tcPr>
            <w:tcW w:w="690" w:type="pc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注册地</w:t>
            </w:r>
          </w:p>
        </w:tc>
        <w:tc>
          <w:tcPr>
            <w:tcW w:w="690" w:type="pc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业务性质</w:t>
            </w:r>
          </w:p>
        </w:tc>
        <w:tc>
          <w:tcPr>
            <w:tcW w:w="774" w:type="pc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持股比例（%）</w:t>
            </w:r>
          </w:p>
        </w:tc>
        <w:tc>
          <w:tcPr>
            <w:tcW w:w="774" w:type="pc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表决权比例（%）</w:t>
            </w:r>
          </w:p>
        </w:tc>
        <w:tc>
          <w:tcPr>
            <w:tcW w:w="687" w:type="pc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本期不再成为子公司的原因</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8" w:type="pc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w:t>
            </w:r>
          </w:p>
        </w:tc>
        <w:tc>
          <w:tcPr>
            <w:tcW w:w="1013" w:type="pct"/>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贵州能发电力燃料开发有限公司</w:t>
            </w:r>
          </w:p>
        </w:tc>
        <w:tc>
          <w:tcPr>
            <w:tcW w:w="690" w:type="pct"/>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贵州贵阳</w:t>
            </w:r>
          </w:p>
        </w:tc>
        <w:tc>
          <w:tcPr>
            <w:tcW w:w="690" w:type="pct"/>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煤炭</w:t>
            </w:r>
          </w:p>
        </w:tc>
        <w:tc>
          <w:tcPr>
            <w:tcW w:w="774" w:type="pct"/>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100.00</w:t>
            </w:r>
          </w:p>
        </w:tc>
        <w:tc>
          <w:tcPr>
            <w:tcW w:w="774" w:type="pct"/>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100.00</w:t>
            </w:r>
          </w:p>
        </w:tc>
        <w:tc>
          <w:tcPr>
            <w:tcW w:w="687" w:type="pct"/>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丧失控制权</w:t>
            </w:r>
          </w:p>
        </w:tc>
      </w:tr>
    </w:tbl>
    <w:p>
      <w:pPr>
        <w:pStyle w:val="37"/>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宋体" w:hAnsi="宋体" w:cs="宋体"/>
          <w:b w:val="0"/>
          <w:bCs/>
          <w:color w:val="auto"/>
          <w:sz w:val="24"/>
          <w:szCs w:val="24"/>
          <w:highlight w:val="none"/>
        </w:rPr>
      </w:pPr>
    </w:p>
    <w:p>
      <w:pPr>
        <w:pStyle w:val="37"/>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420" w:leftChars="200"/>
        <w:textAlignment w:val="auto"/>
        <w:rPr>
          <w:rFonts w:hint="eastAsia" w:ascii="宋体" w:hAnsi="宋体" w:cs="宋体"/>
          <w:color w:val="auto"/>
          <w:highlight w:val="none"/>
        </w:rPr>
      </w:pPr>
      <w:r>
        <w:rPr>
          <w:rFonts w:hint="eastAsia" w:ascii="宋体" w:hAnsi="宋体" w:cs="宋体"/>
          <w:b w:val="0"/>
          <w:bCs/>
          <w:color w:val="auto"/>
          <w:sz w:val="24"/>
          <w:szCs w:val="24"/>
          <w:highlight w:val="none"/>
        </w:rPr>
        <w:t>2.本期新纳入合并范围的</w:t>
      </w:r>
      <w:r>
        <w:rPr>
          <w:rFonts w:hint="eastAsia" w:ascii="宋体" w:hAnsi="宋体" w:cs="宋体"/>
          <w:b w:val="0"/>
          <w:bCs/>
          <w:color w:val="auto"/>
          <w:sz w:val="24"/>
          <w:szCs w:val="24"/>
          <w:highlight w:val="none"/>
          <w:lang w:eastAsia="zh-CN"/>
        </w:rPr>
        <w:t>重要</w:t>
      </w:r>
      <w:r>
        <w:rPr>
          <w:rFonts w:hint="eastAsia" w:ascii="宋体" w:hAnsi="宋体" w:cs="宋体"/>
          <w:b w:val="0"/>
          <w:bCs/>
          <w:color w:val="auto"/>
          <w:sz w:val="24"/>
          <w:szCs w:val="24"/>
          <w:highlight w:val="none"/>
        </w:rPr>
        <w:t>主体</w:t>
      </w:r>
    </w:p>
    <w:p>
      <w:pPr>
        <w:pStyle w:val="38"/>
        <w:spacing w:line="360" w:lineRule="auto"/>
        <w:ind w:left="0" w:leftChars="0" w:firstLine="7140" w:firstLineChars="3400"/>
        <w:jc w:val="right"/>
        <w:rPr>
          <w:rFonts w:hint="eastAsia" w:eastAsia="宋体"/>
          <w:color w:val="auto"/>
          <w:highlight w:val="none"/>
          <w:lang w:val="en-US" w:eastAsia="zh-CN"/>
        </w:rPr>
      </w:pPr>
      <w:r>
        <w:rPr>
          <w:rFonts w:hint="eastAsia" w:ascii="宋体" w:hAnsi="宋体" w:cs="宋体"/>
          <w:color w:val="auto"/>
          <w:highlight w:val="none"/>
          <w:lang w:val="en-US" w:eastAsia="zh-CN"/>
        </w:rPr>
        <w:t xml:space="preserve">  </w:t>
      </w:r>
      <w:r>
        <w:rPr>
          <w:rFonts w:hint="eastAsia" w:ascii="宋体" w:hAnsi="宋体" w:cs="宋体"/>
          <w:color w:val="auto"/>
          <w:highlight w:val="none"/>
        </w:rPr>
        <w:t>单位：</w:t>
      </w:r>
      <w:r>
        <w:rPr>
          <w:rFonts w:hint="eastAsia" w:ascii="宋体" w:hAnsi="宋体" w:cs="宋体"/>
          <w:color w:val="auto"/>
          <w:highlight w:val="none"/>
          <w:lang w:val="en-US" w:eastAsia="zh-CN"/>
        </w:rPr>
        <w:t>元</w:t>
      </w:r>
    </w:p>
    <w:tbl>
      <w:tblPr>
        <w:tblStyle w:val="22"/>
        <w:tblW w:w="89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2"/>
        <w:gridCol w:w="2600"/>
        <w:gridCol w:w="1625"/>
        <w:gridCol w:w="2152"/>
        <w:gridCol w:w="2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blHeader/>
        </w:trPr>
        <w:tc>
          <w:tcPr>
            <w:tcW w:w="502" w:type="dxa"/>
            <w:noWrap w:val="0"/>
            <w:vAlign w:val="center"/>
          </w:tcPr>
          <w:p>
            <w:pPr>
              <w:spacing w:line="360" w:lineRule="auto"/>
              <w:jc w:val="center"/>
              <w:rPr>
                <w:rFonts w:hint="eastAsia" w:ascii="宋体" w:hAnsi="宋体" w:cs="宋体"/>
                <w:color w:val="auto"/>
                <w:sz w:val="20"/>
                <w:szCs w:val="20"/>
                <w:highlight w:val="none"/>
              </w:rPr>
            </w:pPr>
            <w:r>
              <w:rPr>
                <w:rFonts w:hint="eastAsia" w:ascii="宋体" w:hAnsi="宋体" w:cs="宋体"/>
                <w:color w:val="auto"/>
                <w:sz w:val="20"/>
                <w:szCs w:val="20"/>
                <w:highlight w:val="none"/>
              </w:rPr>
              <w:t>序号</w:t>
            </w:r>
          </w:p>
        </w:tc>
        <w:tc>
          <w:tcPr>
            <w:tcW w:w="2600" w:type="dxa"/>
            <w:noWrap w:val="0"/>
            <w:vAlign w:val="center"/>
          </w:tcPr>
          <w:p>
            <w:pPr>
              <w:spacing w:line="360" w:lineRule="auto"/>
              <w:jc w:val="center"/>
              <w:rPr>
                <w:rFonts w:hint="eastAsia" w:ascii="宋体" w:hAnsi="宋体" w:cs="宋体"/>
                <w:color w:val="auto"/>
                <w:sz w:val="20"/>
                <w:szCs w:val="20"/>
                <w:highlight w:val="none"/>
              </w:rPr>
            </w:pPr>
            <w:r>
              <w:rPr>
                <w:rFonts w:hint="eastAsia" w:ascii="宋体" w:hAnsi="宋体" w:cs="宋体"/>
                <w:color w:val="auto"/>
                <w:sz w:val="20"/>
                <w:szCs w:val="20"/>
                <w:highlight w:val="none"/>
              </w:rPr>
              <w:t>名称</w:t>
            </w:r>
          </w:p>
        </w:tc>
        <w:tc>
          <w:tcPr>
            <w:tcW w:w="1625" w:type="dxa"/>
            <w:noWrap w:val="0"/>
            <w:vAlign w:val="center"/>
          </w:tcPr>
          <w:p>
            <w:pPr>
              <w:spacing w:line="360" w:lineRule="auto"/>
              <w:jc w:val="center"/>
              <w:rPr>
                <w:rFonts w:hint="eastAsia" w:ascii="宋体" w:hAnsi="宋体" w:cs="宋体"/>
                <w:color w:val="auto"/>
                <w:sz w:val="20"/>
                <w:szCs w:val="20"/>
                <w:highlight w:val="none"/>
              </w:rPr>
            </w:pPr>
            <w:r>
              <w:rPr>
                <w:rFonts w:hint="eastAsia" w:ascii="宋体" w:hAnsi="宋体" w:cs="宋体"/>
                <w:color w:val="auto"/>
                <w:sz w:val="20"/>
                <w:szCs w:val="20"/>
                <w:highlight w:val="none"/>
              </w:rPr>
              <w:t>形成控制权</w:t>
            </w:r>
          </w:p>
          <w:p>
            <w:pPr>
              <w:spacing w:line="360" w:lineRule="auto"/>
              <w:jc w:val="center"/>
              <w:rPr>
                <w:rFonts w:hint="eastAsia" w:ascii="宋体" w:hAnsi="宋体" w:cs="宋体"/>
                <w:color w:val="auto"/>
                <w:sz w:val="20"/>
                <w:szCs w:val="20"/>
                <w:highlight w:val="none"/>
              </w:rPr>
            </w:pPr>
            <w:r>
              <w:rPr>
                <w:rFonts w:hint="eastAsia" w:ascii="宋体" w:hAnsi="宋体" w:cs="宋体"/>
                <w:color w:val="auto"/>
                <w:sz w:val="20"/>
                <w:szCs w:val="20"/>
                <w:highlight w:val="none"/>
              </w:rPr>
              <w:t>方式</w:t>
            </w:r>
          </w:p>
        </w:tc>
        <w:tc>
          <w:tcPr>
            <w:tcW w:w="2152" w:type="dxa"/>
            <w:noWrap w:val="0"/>
            <w:vAlign w:val="center"/>
          </w:tcPr>
          <w:p>
            <w:pPr>
              <w:spacing w:line="360" w:lineRule="auto"/>
              <w:jc w:val="center"/>
              <w:rPr>
                <w:rFonts w:hint="eastAsia" w:ascii="宋体" w:hAnsi="宋体" w:cs="宋体"/>
                <w:color w:val="auto"/>
                <w:sz w:val="20"/>
                <w:szCs w:val="20"/>
                <w:highlight w:val="none"/>
              </w:rPr>
            </w:pPr>
            <w:r>
              <w:rPr>
                <w:rFonts w:hint="eastAsia" w:ascii="宋体" w:hAnsi="宋体" w:cs="宋体"/>
                <w:color w:val="auto"/>
                <w:sz w:val="20"/>
                <w:szCs w:val="20"/>
                <w:highlight w:val="none"/>
              </w:rPr>
              <w:t>期末净资产</w:t>
            </w:r>
          </w:p>
        </w:tc>
        <w:tc>
          <w:tcPr>
            <w:tcW w:w="2085" w:type="dxa"/>
            <w:noWrap w:val="0"/>
            <w:vAlign w:val="center"/>
          </w:tcPr>
          <w:p>
            <w:pPr>
              <w:spacing w:line="360" w:lineRule="auto"/>
              <w:jc w:val="center"/>
              <w:rPr>
                <w:rFonts w:hint="eastAsia" w:ascii="宋体" w:hAnsi="宋体" w:cs="宋体"/>
                <w:color w:val="auto"/>
                <w:sz w:val="20"/>
                <w:szCs w:val="20"/>
                <w:highlight w:val="none"/>
              </w:rPr>
            </w:pPr>
            <w:r>
              <w:rPr>
                <w:rFonts w:hint="eastAsia" w:ascii="宋体" w:hAnsi="宋体" w:cs="宋体"/>
                <w:color w:val="auto"/>
                <w:sz w:val="20"/>
                <w:szCs w:val="20"/>
                <w:highlight w:val="none"/>
              </w:rPr>
              <w:t>本期净利润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502" w:type="dxa"/>
            <w:noWrap w:val="0"/>
            <w:vAlign w:val="center"/>
          </w:tcPr>
          <w:p>
            <w:pPr>
              <w:widowControl/>
              <w:snapToGrid w:val="0"/>
              <w:spacing w:line="400" w:lineRule="atLeast"/>
              <w:jc w:val="center"/>
              <w:rPr>
                <w:rFonts w:hint="default" w:ascii="宋体" w:hAnsi="宋体" w:cs="宋体"/>
                <w:color w:val="auto"/>
                <w:sz w:val="20"/>
                <w:szCs w:val="20"/>
                <w:highlight w:val="none"/>
                <w:lang w:val="en-US" w:eastAsia="zh-CN"/>
              </w:rPr>
            </w:pPr>
            <w:r>
              <w:rPr>
                <w:rFonts w:hint="eastAsia" w:ascii="宋体" w:hAnsi="宋体" w:cs="宋体"/>
                <w:color w:val="auto"/>
                <w:sz w:val="20"/>
                <w:szCs w:val="20"/>
                <w:highlight w:val="none"/>
                <w:lang w:val="en-US" w:eastAsia="zh-CN"/>
              </w:rPr>
              <w:t>1</w:t>
            </w:r>
          </w:p>
        </w:tc>
        <w:tc>
          <w:tcPr>
            <w:tcW w:w="2600" w:type="dxa"/>
            <w:noWrap w:val="0"/>
            <w:vAlign w:val="center"/>
          </w:tcPr>
          <w:p>
            <w:pPr>
              <w:keepNext w:val="0"/>
              <w:keepLines w:val="0"/>
              <w:widowControl/>
              <w:suppressLineNumbers w:val="0"/>
              <w:jc w:val="left"/>
              <w:textAlignment w:val="center"/>
              <w:rPr>
                <w:rFonts w:ascii="Times New Roman" w:hAnsi="Times New Roman" w:eastAsia="宋体" w:cs="Times New Roman"/>
                <w:color w:val="auto"/>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电投清能（贵阳）水电合伙企业（有限合伙）</w:t>
            </w:r>
          </w:p>
        </w:tc>
        <w:tc>
          <w:tcPr>
            <w:tcW w:w="1625" w:type="dxa"/>
            <w:noWrap w:val="0"/>
            <w:vAlign w:val="center"/>
          </w:tcPr>
          <w:p>
            <w:pPr>
              <w:keepNext w:val="0"/>
              <w:keepLines w:val="0"/>
              <w:widowControl/>
              <w:suppressLineNumbers w:val="0"/>
              <w:jc w:val="center"/>
              <w:textAlignment w:val="center"/>
              <w:rPr>
                <w:rFonts w:ascii="Times New Roman" w:hAnsi="Times New Roman" w:eastAsia="宋体" w:cs="Times New Roman"/>
                <w:color w:val="auto"/>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投资新设</w:t>
            </w:r>
          </w:p>
        </w:tc>
        <w:tc>
          <w:tcPr>
            <w:tcW w:w="2152" w:type="dxa"/>
            <w:noWrap w:val="0"/>
            <w:vAlign w:val="center"/>
          </w:tcPr>
          <w:p>
            <w:pPr>
              <w:keepNext w:val="0"/>
              <w:keepLines w:val="0"/>
              <w:widowControl/>
              <w:suppressLineNumbers w:val="0"/>
              <w:jc w:val="righ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1,541,542,677.42</w:t>
            </w:r>
          </w:p>
        </w:tc>
        <w:tc>
          <w:tcPr>
            <w:tcW w:w="2085" w:type="dxa"/>
            <w:noWrap w:val="0"/>
            <w:vAlign w:val="center"/>
          </w:tcPr>
          <w:p>
            <w:pPr>
              <w:keepNext w:val="0"/>
              <w:keepLines w:val="0"/>
              <w:widowControl/>
              <w:suppressLineNumbers w:val="0"/>
              <w:jc w:val="righ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4,840,511.80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502" w:type="dxa"/>
            <w:noWrap w:val="0"/>
            <w:vAlign w:val="center"/>
          </w:tcPr>
          <w:p>
            <w:pPr>
              <w:widowControl/>
              <w:snapToGrid w:val="0"/>
              <w:spacing w:line="400" w:lineRule="atLeast"/>
              <w:jc w:val="center"/>
              <w:rPr>
                <w:rFonts w:hint="default" w:ascii="宋体" w:hAnsi="宋体" w:cs="宋体"/>
                <w:color w:val="auto"/>
                <w:sz w:val="20"/>
                <w:szCs w:val="20"/>
                <w:highlight w:val="none"/>
                <w:lang w:val="en-US" w:eastAsia="zh-CN"/>
              </w:rPr>
            </w:pPr>
            <w:r>
              <w:rPr>
                <w:rFonts w:hint="eastAsia" w:ascii="宋体" w:hAnsi="宋体" w:cs="宋体"/>
                <w:color w:val="auto"/>
                <w:sz w:val="20"/>
                <w:szCs w:val="20"/>
                <w:highlight w:val="none"/>
                <w:lang w:val="en-US" w:eastAsia="zh-CN"/>
              </w:rPr>
              <w:t>2</w:t>
            </w:r>
          </w:p>
        </w:tc>
        <w:tc>
          <w:tcPr>
            <w:tcW w:w="2600" w:type="dxa"/>
            <w:noWrap w:val="0"/>
            <w:vAlign w:val="center"/>
          </w:tcPr>
          <w:p>
            <w:pPr>
              <w:keepNext w:val="0"/>
              <w:keepLines w:val="0"/>
              <w:widowControl/>
              <w:suppressLineNumbers w:val="0"/>
              <w:jc w:val="left"/>
              <w:textAlignment w:val="center"/>
              <w:rPr>
                <w:rFonts w:ascii="Times New Roman" w:hAnsi="Times New Roman" w:eastAsia="宋体" w:cs="Times New Roman"/>
                <w:color w:val="auto"/>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威能融合（贵阳）新能源合伙企业（有限合伙）</w:t>
            </w:r>
          </w:p>
        </w:tc>
        <w:tc>
          <w:tcPr>
            <w:tcW w:w="1625" w:type="dxa"/>
            <w:noWrap w:val="0"/>
            <w:vAlign w:val="center"/>
          </w:tcPr>
          <w:p>
            <w:pPr>
              <w:keepNext w:val="0"/>
              <w:keepLines w:val="0"/>
              <w:widowControl/>
              <w:suppressLineNumbers w:val="0"/>
              <w:jc w:val="center"/>
              <w:textAlignment w:val="center"/>
              <w:rPr>
                <w:rFonts w:ascii="Times New Roman" w:hAnsi="Times New Roman" w:eastAsia="宋体" w:cs="Times New Roman"/>
                <w:color w:val="auto"/>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投资新设</w:t>
            </w:r>
          </w:p>
        </w:tc>
        <w:tc>
          <w:tcPr>
            <w:tcW w:w="2152" w:type="dxa"/>
            <w:noWrap w:val="0"/>
            <w:vAlign w:val="center"/>
          </w:tcPr>
          <w:p>
            <w:pPr>
              <w:keepNext w:val="0"/>
              <w:keepLines w:val="0"/>
              <w:widowControl/>
              <w:suppressLineNumbers w:val="0"/>
              <w:jc w:val="righ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2,472,301,652.07</w:t>
            </w:r>
          </w:p>
        </w:tc>
        <w:tc>
          <w:tcPr>
            <w:tcW w:w="2085" w:type="dxa"/>
            <w:noWrap w:val="0"/>
            <w:vAlign w:val="center"/>
          </w:tcPr>
          <w:p>
            <w:pPr>
              <w:keepNext w:val="0"/>
              <w:keepLines w:val="0"/>
              <w:widowControl/>
              <w:suppressLineNumbers w:val="0"/>
              <w:jc w:val="righ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27,115,216.73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502" w:type="dxa"/>
            <w:noWrap w:val="0"/>
            <w:vAlign w:val="center"/>
          </w:tcPr>
          <w:p>
            <w:pPr>
              <w:widowControl/>
              <w:snapToGrid w:val="0"/>
              <w:spacing w:line="400" w:lineRule="atLeast"/>
              <w:jc w:val="center"/>
              <w:rPr>
                <w:rFonts w:hint="default" w:ascii="宋体" w:hAnsi="宋体" w:cs="宋体"/>
                <w:color w:val="auto"/>
                <w:sz w:val="20"/>
                <w:szCs w:val="20"/>
                <w:highlight w:val="none"/>
                <w:lang w:val="en-US" w:eastAsia="zh-CN"/>
              </w:rPr>
            </w:pPr>
            <w:r>
              <w:rPr>
                <w:rFonts w:hint="eastAsia" w:ascii="宋体" w:hAnsi="宋体" w:cs="宋体"/>
                <w:color w:val="auto"/>
                <w:sz w:val="20"/>
                <w:szCs w:val="20"/>
                <w:highlight w:val="none"/>
                <w:lang w:val="en-US" w:eastAsia="zh-CN"/>
              </w:rPr>
              <w:t>3</w:t>
            </w:r>
          </w:p>
        </w:tc>
        <w:tc>
          <w:tcPr>
            <w:tcW w:w="2600" w:type="dxa"/>
            <w:noWrap w:val="0"/>
            <w:vAlign w:val="center"/>
          </w:tcPr>
          <w:p>
            <w:pPr>
              <w:keepNext w:val="0"/>
              <w:keepLines w:val="0"/>
              <w:widowControl/>
              <w:suppressLineNumbers w:val="0"/>
              <w:jc w:val="left"/>
              <w:textAlignment w:val="center"/>
              <w:rPr>
                <w:rFonts w:ascii="Times New Roman" w:hAnsi="Times New Roman" w:eastAsia="宋体" w:cs="Times New Roman"/>
                <w:color w:val="auto"/>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电投亿能（贵阳）电力合伙企业（有限合伙）</w:t>
            </w:r>
          </w:p>
        </w:tc>
        <w:tc>
          <w:tcPr>
            <w:tcW w:w="1625" w:type="dxa"/>
            <w:noWrap w:val="0"/>
            <w:vAlign w:val="center"/>
          </w:tcPr>
          <w:p>
            <w:pPr>
              <w:keepNext w:val="0"/>
              <w:keepLines w:val="0"/>
              <w:widowControl/>
              <w:suppressLineNumbers w:val="0"/>
              <w:jc w:val="center"/>
              <w:textAlignment w:val="center"/>
              <w:rPr>
                <w:rFonts w:ascii="Times New Roman" w:hAnsi="Times New Roman" w:eastAsia="宋体" w:cs="Times New Roman"/>
                <w:color w:val="auto"/>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投资新设</w:t>
            </w:r>
          </w:p>
        </w:tc>
        <w:tc>
          <w:tcPr>
            <w:tcW w:w="2152" w:type="dxa"/>
            <w:noWrap w:val="0"/>
            <w:vAlign w:val="center"/>
          </w:tcPr>
          <w:p>
            <w:pPr>
              <w:keepNext w:val="0"/>
              <w:keepLines w:val="0"/>
              <w:widowControl/>
              <w:suppressLineNumbers w:val="0"/>
              <w:jc w:val="righ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4,988,869,999.99</w:t>
            </w:r>
          </w:p>
        </w:tc>
        <w:tc>
          <w:tcPr>
            <w:tcW w:w="2085" w:type="dxa"/>
            <w:noWrap w:val="0"/>
            <w:vAlign w:val="center"/>
          </w:tcPr>
          <w:p>
            <w:pPr>
              <w:keepNext w:val="0"/>
              <w:keepLines w:val="0"/>
              <w:widowControl/>
              <w:suppressLineNumbers w:val="0"/>
              <w:jc w:val="right"/>
              <w:textAlignment w:val="center"/>
              <w:rPr>
                <w:rFonts w:hint="default" w:ascii="宋体" w:hAnsi="宋体" w:eastAsia="宋体" w:cs="宋体"/>
                <w:i w:val="0"/>
                <w:color w:val="auto"/>
                <w:kern w:val="0"/>
                <w:sz w:val="20"/>
                <w:szCs w:val="20"/>
                <w:highlight w:val="none"/>
                <w:u w:val="none"/>
                <w:lang w:val="en-US" w:eastAsia="zh-CN" w:bidi="ar"/>
              </w:rPr>
            </w:pPr>
            <w:r>
              <w:rPr>
                <w:rFonts w:hint="eastAsia" w:ascii="宋体" w:hAnsi="宋体" w:cs="宋体"/>
                <w:i w:val="0"/>
                <w:color w:val="auto"/>
                <w:kern w:val="0"/>
                <w:sz w:val="20"/>
                <w:szCs w:val="20"/>
                <w:highlight w:val="none"/>
                <w:u w:val="none"/>
                <w:lang w:val="en-US" w:eastAsia="zh-CN" w:bidi="ar"/>
              </w:rPr>
              <w:t>2,774,778.25</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bCs/>
          <w:color w:val="auto"/>
          <w:sz w:val="24"/>
          <w:szCs w:val="24"/>
          <w:highlight w:val="none"/>
        </w:rPr>
      </w:pPr>
    </w:p>
    <w:p>
      <w:pPr>
        <w:keepNext w:val="0"/>
        <w:keepLines w:val="0"/>
        <w:pageBreakBefore w:val="0"/>
        <w:widowControl w:val="0"/>
        <w:kinsoku/>
        <w:wordWrap/>
        <w:overflowPunct/>
        <w:topLinePunct w:val="0"/>
        <w:bidi w:val="0"/>
        <w:snapToGrid/>
        <w:spacing w:line="400" w:lineRule="exact"/>
        <w:ind w:firstLine="482" w:firstLineChars="200"/>
        <w:jc w:val="left"/>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二、主要经营情况回顾</w:t>
      </w:r>
    </w:p>
    <w:p>
      <w:pPr>
        <w:keepNext w:val="0"/>
        <w:keepLines w:val="0"/>
        <w:pageBreakBefore w:val="0"/>
        <w:widowControl w:val="0"/>
        <w:kinsoku/>
        <w:wordWrap/>
        <w:overflowPunct/>
        <w:topLinePunct w:val="0"/>
        <w:bidi w:val="0"/>
        <w:snapToGrid/>
        <w:spacing w:line="400" w:lineRule="exact"/>
        <w:ind w:firstLine="482" w:firstLineChars="200"/>
        <w:jc w:val="left"/>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（一）业务概要</w:t>
      </w:r>
    </w:p>
    <w:p>
      <w:pPr>
        <w:keepNext w:val="0"/>
        <w:keepLines w:val="0"/>
        <w:pageBreakBefore w:val="0"/>
        <w:widowControl w:val="0"/>
        <w:kinsoku/>
        <w:wordWrap/>
        <w:overflowPunct/>
        <w:topLinePunct w:val="0"/>
        <w:bidi w:val="0"/>
        <w:snapToGrid/>
        <w:spacing w:line="40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1.公司主营业务</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jc w:val="left"/>
        <w:textAlignment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公司主要从事火电、水电、新能源发电等电力业务的</w:t>
      </w:r>
      <w:r>
        <w:rPr>
          <w:rFonts w:hint="eastAsia" w:ascii="宋体" w:hAnsi="宋体" w:cs="宋体"/>
          <w:color w:val="auto"/>
          <w:kern w:val="0"/>
          <w:sz w:val="24"/>
          <w:szCs w:val="24"/>
          <w:highlight w:val="none"/>
          <w:lang w:val="en-US" w:eastAsia="zh-CN"/>
        </w:rPr>
        <w:t>投资、</w:t>
      </w:r>
      <w:r>
        <w:rPr>
          <w:rFonts w:hint="eastAsia" w:ascii="宋体" w:hAnsi="宋体" w:cs="宋体"/>
          <w:color w:val="auto"/>
          <w:kern w:val="0"/>
          <w:sz w:val="24"/>
          <w:szCs w:val="24"/>
          <w:highlight w:val="none"/>
        </w:rPr>
        <w:t>运营及销售，同时涉及煤炭开采及销售、综合智慧能源、绿色交通服务、电站服务业、物业管理等业务。</w:t>
      </w:r>
    </w:p>
    <w:p>
      <w:pPr>
        <w:keepNext w:val="0"/>
        <w:keepLines w:val="0"/>
        <w:pageBreakBefore w:val="0"/>
        <w:widowControl w:val="0"/>
        <w:kinsoku/>
        <w:wordWrap/>
        <w:overflowPunct/>
        <w:topLinePunct w:val="0"/>
        <w:bidi w:val="0"/>
        <w:snapToGrid/>
        <w:spacing w:line="40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2.公司经营范围</w:t>
      </w:r>
    </w:p>
    <w:p>
      <w:pPr>
        <w:keepNext w:val="0"/>
        <w:keepLines w:val="0"/>
        <w:pageBreakBefore w:val="0"/>
        <w:widowControl w:val="0"/>
        <w:kinsoku/>
        <w:wordWrap/>
        <w:overflowPunct/>
        <w:topLinePunct w:val="0"/>
        <w:bidi w:val="0"/>
        <w:snapToGrid/>
        <w:spacing w:line="40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kern w:val="0"/>
          <w:sz w:val="24"/>
          <w:szCs w:val="24"/>
          <w:highlight w:val="none"/>
        </w:rPr>
        <w:t>公司的主要经营范围为：法律、法规、国务院决定规定禁止的不得经营；法律、法规、国务院决定规定应当许可（审批）的，经审批机关批准后凭许可（审批）文件经营；法律、法规、国务院决定规定无需许可（审批）的，市场主体自主选择经营。（从事电力生产（限分支机构）、购售（限分支机构）、检修；电力建设、与其他产业的横向联合以及第三产业；电力物资的批零兼营；电力投资，投资业务（除金融和证券投资以外）；综合智慧能源供应与服务；新能源、分布式能源（分散式风电、分布式光伏、分布式燃机）、增量配网、能源输配管网、充换电站、节能降耗项目的投资建设和运维；电、热、冷、汽、水、煤炭、铁合金产品、矿石、沙石、固废的采购与销售；生物质、地热、氢能、储能技术的开发和推广利用；能源管控平台、供应链平台等能源数字化平台的投资、建设、运营与服务；新能源车辆的销售、租赁、维护保养、保险代理、售后服务、以及货物运输。</w:t>
      </w:r>
    </w:p>
    <w:p>
      <w:pPr>
        <w:keepNext w:val="0"/>
        <w:keepLines w:val="0"/>
        <w:pageBreakBefore w:val="0"/>
        <w:widowControl w:val="0"/>
        <w:kinsoku/>
        <w:wordWrap/>
        <w:overflowPunct/>
        <w:topLinePunct w:val="0"/>
        <w:bidi w:val="0"/>
        <w:snapToGrid/>
        <w:spacing w:line="40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3.公司主要产品</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jc w:val="left"/>
        <w:textAlignment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报告期内，公司主要产品为电力、煤炭、综合能源服务。</w:t>
      </w:r>
    </w:p>
    <w:p>
      <w:pPr>
        <w:keepNext w:val="0"/>
        <w:keepLines w:val="0"/>
        <w:pageBreakBefore w:val="0"/>
        <w:widowControl w:val="0"/>
        <w:kinsoku/>
        <w:wordWrap/>
        <w:overflowPunct/>
        <w:topLinePunct w:val="0"/>
        <w:bidi w:val="0"/>
        <w:snapToGrid/>
        <w:spacing w:line="40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4.公司经营模式</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jc w:val="left"/>
        <w:textAlignment w:val="center"/>
        <w:rPr>
          <w:rFonts w:hint="eastAsia" w:ascii="宋体" w:hAnsi="宋体" w:cs="宋体"/>
          <w:color w:val="auto"/>
          <w:kern w:val="0"/>
          <w:sz w:val="24"/>
          <w:szCs w:val="24"/>
          <w:highlight w:val="none"/>
          <w:lang w:val="zh-CN"/>
        </w:rPr>
      </w:pPr>
      <w:r>
        <w:rPr>
          <w:rFonts w:hint="eastAsia" w:ascii="宋体" w:hAnsi="宋体" w:cs="宋体"/>
          <w:color w:val="auto"/>
          <w:kern w:val="0"/>
          <w:sz w:val="24"/>
          <w:szCs w:val="24"/>
          <w:highlight w:val="none"/>
        </w:rPr>
        <w:t>公司主要通过投资、建设并运营火电厂、水电站、新能源场站等业务</w:t>
      </w:r>
      <w:r>
        <w:rPr>
          <w:rFonts w:hint="eastAsia" w:ascii="宋体" w:hAnsi="宋体" w:cs="宋体"/>
          <w:color w:val="auto"/>
          <w:kern w:val="0"/>
          <w:sz w:val="24"/>
          <w:szCs w:val="24"/>
          <w:highlight w:val="none"/>
          <w:lang w:val="zh-CN"/>
        </w:rPr>
        <w:t>，通过与市场化主体签订售电合同、服务合同，获取持续性的收入、利润和现金流。</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jc w:val="left"/>
        <w:textAlignment w:val="center"/>
        <w:rPr>
          <w:rFonts w:hint="eastAsia" w:ascii="宋体" w:hAnsi="宋体" w:cs="宋体"/>
          <w:color w:val="auto"/>
          <w:kern w:val="0"/>
          <w:sz w:val="24"/>
          <w:szCs w:val="24"/>
          <w:highlight w:val="none"/>
          <w:lang w:val="zh-CN"/>
        </w:rPr>
      </w:pPr>
      <w:r>
        <w:rPr>
          <w:rFonts w:hint="eastAsia" w:ascii="宋体" w:hAnsi="宋体" w:cs="宋体"/>
          <w:color w:val="auto"/>
          <w:sz w:val="24"/>
          <w:szCs w:val="24"/>
          <w:highlight w:val="none"/>
        </w:rPr>
        <w:t>报告期内，公司商业模式较上年度未发生变化。</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jc w:val="left"/>
        <w:textAlignment w:val="auto"/>
        <w:rPr>
          <w:rFonts w:hint="eastAsia" w:ascii="宋体" w:hAnsi="宋体" w:cs="宋体"/>
          <w:b/>
          <w:color w:val="auto"/>
          <w:sz w:val="24"/>
          <w:szCs w:val="24"/>
          <w:highlight w:val="none"/>
        </w:rPr>
      </w:pPr>
      <w:r>
        <w:rPr>
          <w:rFonts w:hint="eastAsia" w:ascii="宋体" w:hAnsi="宋体" w:cs="宋体"/>
          <w:b/>
          <w:color w:val="auto"/>
          <w:sz w:val="24"/>
          <w:szCs w:val="24"/>
          <w:highlight w:val="none"/>
          <w:lang w:val="en-US" w:eastAsia="zh-CN"/>
        </w:rPr>
        <w:t>(二)</w:t>
      </w:r>
      <w:r>
        <w:rPr>
          <w:rFonts w:hint="eastAsia" w:ascii="宋体" w:hAnsi="宋体" w:cs="宋体"/>
          <w:b/>
          <w:color w:val="auto"/>
          <w:sz w:val="24"/>
          <w:szCs w:val="24"/>
          <w:highlight w:val="none"/>
        </w:rPr>
        <w:t>财务分析</w:t>
      </w:r>
    </w:p>
    <w:p>
      <w:pPr>
        <w:pStyle w:val="15"/>
        <w:keepNext w:val="0"/>
        <w:keepLines w:val="0"/>
        <w:pageBreakBefore w:val="0"/>
        <w:numPr>
          <w:ilvl w:val="0"/>
          <w:numId w:val="7"/>
        </w:numPr>
        <w:kinsoku/>
        <w:wordWrap/>
        <w:overflowPunct/>
        <w:topLinePunct w:val="0"/>
        <w:bidi w:val="0"/>
        <w:spacing w:line="400" w:lineRule="exact"/>
        <w:ind w:left="480"/>
        <w:jc w:val="left"/>
        <w:rPr>
          <w:rFonts w:hint="eastAsia" w:ascii="宋体" w:hAnsi="宋体" w:cs="宋体"/>
          <w:b w:val="0"/>
          <w:color w:val="auto"/>
          <w:sz w:val="24"/>
          <w:szCs w:val="24"/>
          <w:highlight w:val="none"/>
          <w:lang w:val="en-US" w:eastAsia="zh-CN"/>
        </w:rPr>
      </w:pPr>
      <w:r>
        <w:rPr>
          <w:rFonts w:hint="eastAsia" w:ascii="宋体" w:hAnsi="宋体" w:cs="宋体"/>
          <w:b w:val="0"/>
          <w:color w:val="auto"/>
          <w:sz w:val="24"/>
          <w:szCs w:val="24"/>
          <w:highlight w:val="none"/>
          <w:lang w:val="en-US" w:eastAsia="zh-CN"/>
        </w:rPr>
        <w:t>资产负债结构分析</w:t>
      </w:r>
    </w:p>
    <w:tbl>
      <w:tblPr>
        <w:tblStyle w:val="2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183"/>
        <w:gridCol w:w="1815"/>
        <w:gridCol w:w="1440"/>
        <w:gridCol w:w="1815"/>
        <w:gridCol w:w="924"/>
        <w:gridCol w:w="116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709" w:type="pct"/>
            <w:tcBorders>
              <w:top w:val="nil"/>
              <w:left w:val="nil"/>
              <w:bottom w:val="single" w:color="auto"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auto"/>
                <w:sz w:val="20"/>
                <w:szCs w:val="20"/>
                <w:highlight w:val="none"/>
                <w:u w:val="none"/>
              </w:rPr>
            </w:pPr>
          </w:p>
        </w:tc>
        <w:tc>
          <w:tcPr>
            <w:tcW w:w="1088" w:type="pct"/>
            <w:tcBorders>
              <w:top w:val="nil"/>
              <w:left w:val="nil"/>
              <w:bottom w:val="single" w:color="auto"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auto"/>
                <w:sz w:val="20"/>
                <w:szCs w:val="20"/>
                <w:highlight w:val="none"/>
                <w:u w:val="none"/>
              </w:rPr>
            </w:pPr>
          </w:p>
        </w:tc>
        <w:tc>
          <w:tcPr>
            <w:tcW w:w="863" w:type="pct"/>
            <w:tcBorders>
              <w:top w:val="nil"/>
              <w:left w:val="nil"/>
              <w:bottom w:val="single" w:color="auto"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auto"/>
                <w:sz w:val="20"/>
                <w:szCs w:val="20"/>
                <w:highlight w:val="none"/>
                <w:u w:val="none"/>
              </w:rPr>
            </w:pPr>
          </w:p>
        </w:tc>
        <w:tc>
          <w:tcPr>
            <w:tcW w:w="1088" w:type="pct"/>
            <w:tcBorders>
              <w:top w:val="nil"/>
              <w:left w:val="nil"/>
              <w:bottom w:val="single" w:color="auto"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auto"/>
                <w:sz w:val="20"/>
                <w:szCs w:val="20"/>
                <w:highlight w:val="none"/>
                <w:u w:val="none"/>
              </w:rPr>
            </w:pPr>
          </w:p>
        </w:tc>
        <w:tc>
          <w:tcPr>
            <w:tcW w:w="553" w:type="pct"/>
            <w:tcBorders>
              <w:top w:val="nil"/>
              <w:left w:val="nil"/>
              <w:bottom w:val="single" w:color="auto"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auto"/>
                <w:sz w:val="20"/>
                <w:szCs w:val="20"/>
                <w:highlight w:val="none"/>
                <w:u w:val="none"/>
              </w:rPr>
            </w:pPr>
          </w:p>
        </w:tc>
        <w:tc>
          <w:tcPr>
            <w:tcW w:w="697" w:type="pct"/>
            <w:tcBorders>
              <w:top w:val="nil"/>
              <w:left w:val="nil"/>
              <w:bottom w:val="single" w:color="auto" w:sz="4" w:space="0"/>
              <w:right w:val="nil"/>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单位：元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709"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项目</w:t>
            </w:r>
          </w:p>
        </w:tc>
        <w:tc>
          <w:tcPr>
            <w:tcW w:w="1951"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本期期末</w:t>
            </w:r>
          </w:p>
        </w:tc>
        <w:tc>
          <w:tcPr>
            <w:tcW w:w="1642"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上年期末</w:t>
            </w:r>
          </w:p>
        </w:tc>
        <w:tc>
          <w:tcPr>
            <w:tcW w:w="697"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增减变动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trPr>
        <w:tc>
          <w:tcPr>
            <w:tcW w:w="709"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0"/>
                <w:szCs w:val="20"/>
                <w:highlight w:val="none"/>
                <w:u w:val="none"/>
              </w:rPr>
            </w:pPr>
          </w:p>
        </w:tc>
        <w:tc>
          <w:tcPr>
            <w:tcW w:w="108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金额</w:t>
            </w:r>
          </w:p>
        </w:tc>
        <w:tc>
          <w:tcPr>
            <w:tcW w:w="86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 xml:space="preserve"> 占总资产的比重% </w:t>
            </w:r>
          </w:p>
        </w:tc>
        <w:tc>
          <w:tcPr>
            <w:tcW w:w="108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金额</w:t>
            </w:r>
          </w:p>
        </w:tc>
        <w:tc>
          <w:tcPr>
            <w:tcW w:w="55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占总资产的比重%</w:t>
            </w:r>
          </w:p>
        </w:tc>
        <w:tc>
          <w:tcPr>
            <w:tcW w:w="697"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70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both"/>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货币资金</w:t>
            </w:r>
          </w:p>
        </w:tc>
        <w:tc>
          <w:tcPr>
            <w:tcW w:w="1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1,470,659,019.30</w:t>
            </w:r>
          </w:p>
        </w:tc>
        <w:tc>
          <w:tcPr>
            <w:tcW w:w="14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1.99%</w:t>
            </w:r>
          </w:p>
        </w:tc>
        <w:tc>
          <w:tcPr>
            <w:tcW w:w="108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kern w:val="2"/>
                <w:sz w:val="20"/>
                <w:szCs w:val="20"/>
                <w:highlight w:val="none"/>
                <w:u w:val="none"/>
                <w:lang w:val="en-US" w:eastAsia="zh-CN" w:bidi="ar-SA"/>
              </w:rPr>
            </w:pPr>
            <w:r>
              <w:rPr>
                <w:rFonts w:hint="eastAsia" w:ascii="宋体" w:hAnsi="宋体" w:eastAsia="宋体" w:cs="宋体"/>
                <w:i w:val="0"/>
                <w:color w:val="auto"/>
                <w:kern w:val="0"/>
                <w:sz w:val="20"/>
                <w:szCs w:val="20"/>
                <w:highlight w:val="none"/>
                <w:u w:val="none"/>
                <w:lang w:val="en-US" w:eastAsia="zh-CN" w:bidi="ar"/>
              </w:rPr>
              <w:t>1,068,115,348.52</w:t>
            </w:r>
          </w:p>
        </w:tc>
        <w:tc>
          <w:tcPr>
            <w:tcW w:w="92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1.51%</w:t>
            </w:r>
          </w:p>
        </w:tc>
        <w:tc>
          <w:tcPr>
            <w:tcW w:w="116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2"/>
                <w:szCs w:val="22"/>
                <w:highlight w:val="none"/>
                <w:u w:val="none"/>
                <w:lang w:val="en-US" w:eastAsia="zh-CN" w:bidi="ar"/>
              </w:rPr>
              <w:t>37.69%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70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both"/>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应收票据</w:t>
            </w:r>
          </w:p>
        </w:tc>
        <w:tc>
          <w:tcPr>
            <w:tcW w:w="1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109,893,330.14</w:t>
            </w:r>
          </w:p>
        </w:tc>
        <w:tc>
          <w:tcPr>
            <w:tcW w:w="14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0.15%</w:t>
            </w:r>
          </w:p>
        </w:tc>
        <w:tc>
          <w:tcPr>
            <w:tcW w:w="108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kern w:val="2"/>
                <w:sz w:val="20"/>
                <w:szCs w:val="20"/>
                <w:highlight w:val="none"/>
                <w:u w:val="none"/>
                <w:lang w:val="en-US" w:eastAsia="zh-CN" w:bidi="ar-SA"/>
              </w:rPr>
            </w:pPr>
            <w:r>
              <w:rPr>
                <w:rFonts w:hint="eastAsia" w:ascii="宋体" w:hAnsi="宋体" w:eastAsia="宋体" w:cs="宋体"/>
                <w:i w:val="0"/>
                <w:color w:val="auto"/>
                <w:kern w:val="0"/>
                <w:sz w:val="20"/>
                <w:szCs w:val="20"/>
                <w:highlight w:val="none"/>
                <w:u w:val="none"/>
                <w:lang w:val="en-US" w:eastAsia="zh-CN" w:bidi="ar"/>
              </w:rPr>
              <w:t>21,145,366.38</w:t>
            </w:r>
          </w:p>
        </w:tc>
        <w:tc>
          <w:tcPr>
            <w:tcW w:w="92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0.03%</w:t>
            </w:r>
          </w:p>
        </w:tc>
        <w:tc>
          <w:tcPr>
            <w:tcW w:w="116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2"/>
                <w:szCs w:val="22"/>
                <w:highlight w:val="none"/>
                <w:u w:val="none"/>
                <w:lang w:val="en-US" w:eastAsia="zh-CN" w:bidi="ar"/>
              </w:rPr>
              <w:t>419.70%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70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both"/>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应收账款</w:t>
            </w:r>
          </w:p>
        </w:tc>
        <w:tc>
          <w:tcPr>
            <w:tcW w:w="1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5,726,917,640.19</w:t>
            </w:r>
          </w:p>
        </w:tc>
        <w:tc>
          <w:tcPr>
            <w:tcW w:w="14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7.74%</w:t>
            </w:r>
          </w:p>
        </w:tc>
        <w:tc>
          <w:tcPr>
            <w:tcW w:w="108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kern w:val="2"/>
                <w:sz w:val="20"/>
                <w:szCs w:val="20"/>
                <w:highlight w:val="none"/>
                <w:u w:val="none"/>
                <w:lang w:val="en-US" w:eastAsia="zh-CN" w:bidi="ar-SA"/>
              </w:rPr>
            </w:pPr>
            <w:r>
              <w:rPr>
                <w:rFonts w:hint="eastAsia" w:ascii="宋体" w:hAnsi="宋体" w:eastAsia="宋体" w:cs="宋体"/>
                <w:i w:val="0"/>
                <w:color w:val="auto"/>
                <w:kern w:val="0"/>
                <w:sz w:val="20"/>
                <w:szCs w:val="20"/>
                <w:highlight w:val="none"/>
                <w:u w:val="none"/>
                <w:lang w:val="en-US" w:eastAsia="zh-CN" w:bidi="ar"/>
              </w:rPr>
              <w:t>4,851,082,613.23</w:t>
            </w:r>
          </w:p>
        </w:tc>
        <w:tc>
          <w:tcPr>
            <w:tcW w:w="92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6.86%</w:t>
            </w:r>
          </w:p>
        </w:tc>
        <w:tc>
          <w:tcPr>
            <w:tcW w:w="116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2"/>
                <w:szCs w:val="22"/>
                <w:highlight w:val="none"/>
                <w:u w:val="none"/>
                <w:lang w:val="en-US" w:eastAsia="zh-CN" w:bidi="ar"/>
              </w:rPr>
              <w:t>18.05%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70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both"/>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存货</w:t>
            </w:r>
          </w:p>
        </w:tc>
        <w:tc>
          <w:tcPr>
            <w:tcW w:w="1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1,247,630,630.33</w:t>
            </w:r>
          </w:p>
        </w:tc>
        <w:tc>
          <w:tcPr>
            <w:tcW w:w="14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1.69%</w:t>
            </w:r>
          </w:p>
        </w:tc>
        <w:tc>
          <w:tcPr>
            <w:tcW w:w="108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kern w:val="2"/>
                <w:sz w:val="20"/>
                <w:szCs w:val="20"/>
                <w:highlight w:val="none"/>
                <w:u w:val="none"/>
                <w:lang w:val="en-US" w:eastAsia="zh-CN" w:bidi="ar-SA"/>
              </w:rPr>
            </w:pPr>
            <w:r>
              <w:rPr>
                <w:rFonts w:hint="eastAsia" w:ascii="宋体" w:hAnsi="宋体" w:eastAsia="宋体" w:cs="宋体"/>
                <w:i w:val="0"/>
                <w:color w:val="auto"/>
                <w:kern w:val="0"/>
                <w:sz w:val="20"/>
                <w:szCs w:val="20"/>
                <w:highlight w:val="none"/>
                <w:u w:val="none"/>
                <w:lang w:val="en-US" w:eastAsia="zh-CN" w:bidi="ar"/>
              </w:rPr>
              <w:t>1,513,748,065.72</w:t>
            </w:r>
          </w:p>
        </w:tc>
        <w:tc>
          <w:tcPr>
            <w:tcW w:w="92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2.14%</w:t>
            </w:r>
          </w:p>
        </w:tc>
        <w:tc>
          <w:tcPr>
            <w:tcW w:w="116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2"/>
                <w:szCs w:val="22"/>
                <w:highlight w:val="none"/>
                <w:u w:val="none"/>
                <w:lang w:val="en-US" w:eastAsia="zh-CN" w:bidi="ar"/>
              </w:rPr>
              <w:t>-17.58%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70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both"/>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投资性房地产</w:t>
            </w:r>
          </w:p>
        </w:tc>
        <w:tc>
          <w:tcPr>
            <w:tcW w:w="1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974,998,444.58</w:t>
            </w:r>
          </w:p>
        </w:tc>
        <w:tc>
          <w:tcPr>
            <w:tcW w:w="14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1.32%</w:t>
            </w:r>
          </w:p>
        </w:tc>
        <w:tc>
          <w:tcPr>
            <w:tcW w:w="108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kern w:val="2"/>
                <w:sz w:val="20"/>
                <w:szCs w:val="20"/>
                <w:highlight w:val="none"/>
                <w:u w:val="none"/>
                <w:lang w:val="en-US" w:eastAsia="zh-CN" w:bidi="ar-SA"/>
              </w:rPr>
            </w:pPr>
            <w:r>
              <w:rPr>
                <w:rFonts w:hint="eastAsia" w:ascii="宋体" w:hAnsi="宋体" w:eastAsia="宋体" w:cs="宋体"/>
                <w:i w:val="0"/>
                <w:color w:val="auto"/>
                <w:kern w:val="0"/>
                <w:sz w:val="20"/>
                <w:szCs w:val="20"/>
                <w:highlight w:val="none"/>
                <w:u w:val="none"/>
                <w:lang w:val="en-US" w:eastAsia="zh-CN" w:bidi="ar"/>
              </w:rPr>
              <w:t>999,945,225.79</w:t>
            </w:r>
          </w:p>
        </w:tc>
        <w:tc>
          <w:tcPr>
            <w:tcW w:w="92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1.41%</w:t>
            </w:r>
          </w:p>
        </w:tc>
        <w:tc>
          <w:tcPr>
            <w:tcW w:w="116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2"/>
                <w:szCs w:val="22"/>
                <w:highlight w:val="none"/>
                <w:u w:val="none"/>
                <w:lang w:val="en-US" w:eastAsia="zh-CN" w:bidi="ar"/>
              </w:rPr>
              <w:t>-2.49%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70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both"/>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长期股权投资</w:t>
            </w:r>
          </w:p>
        </w:tc>
        <w:tc>
          <w:tcPr>
            <w:tcW w:w="1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1,741,604,559.28</w:t>
            </w:r>
          </w:p>
        </w:tc>
        <w:tc>
          <w:tcPr>
            <w:tcW w:w="14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2.35%</w:t>
            </w:r>
          </w:p>
        </w:tc>
        <w:tc>
          <w:tcPr>
            <w:tcW w:w="108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kern w:val="2"/>
                <w:sz w:val="20"/>
                <w:szCs w:val="20"/>
                <w:highlight w:val="none"/>
                <w:u w:val="none"/>
                <w:lang w:val="en-US" w:eastAsia="zh-CN" w:bidi="ar-SA"/>
              </w:rPr>
            </w:pPr>
            <w:r>
              <w:rPr>
                <w:rFonts w:hint="eastAsia" w:ascii="宋体" w:hAnsi="宋体" w:eastAsia="宋体" w:cs="宋体"/>
                <w:i w:val="0"/>
                <w:color w:val="auto"/>
                <w:kern w:val="0"/>
                <w:sz w:val="20"/>
                <w:szCs w:val="20"/>
                <w:highlight w:val="none"/>
                <w:u w:val="none"/>
                <w:lang w:val="en-US" w:eastAsia="zh-CN" w:bidi="ar"/>
              </w:rPr>
              <w:t>1,340,675,272.29</w:t>
            </w:r>
          </w:p>
        </w:tc>
        <w:tc>
          <w:tcPr>
            <w:tcW w:w="92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1.90%</w:t>
            </w:r>
          </w:p>
        </w:tc>
        <w:tc>
          <w:tcPr>
            <w:tcW w:w="116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2"/>
                <w:szCs w:val="22"/>
                <w:highlight w:val="none"/>
                <w:u w:val="none"/>
                <w:lang w:val="en-US" w:eastAsia="zh-CN" w:bidi="ar"/>
              </w:rPr>
              <w:t>29.91%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70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both"/>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固定资产</w:t>
            </w:r>
          </w:p>
        </w:tc>
        <w:tc>
          <w:tcPr>
            <w:tcW w:w="1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43,967,409,151.61</w:t>
            </w:r>
          </w:p>
        </w:tc>
        <w:tc>
          <w:tcPr>
            <w:tcW w:w="14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59.42%</w:t>
            </w:r>
          </w:p>
        </w:tc>
        <w:tc>
          <w:tcPr>
            <w:tcW w:w="108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kern w:val="2"/>
                <w:sz w:val="20"/>
                <w:szCs w:val="20"/>
                <w:highlight w:val="none"/>
                <w:u w:val="none"/>
                <w:lang w:val="en-US" w:eastAsia="zh-CN" w:bidi="ar-SA"/>
              </w:rPr>
            </w:pPr>
            <w:r>
              <w:rPr>
                <w:rFonts w:hint="eastAsia" w:ascii="宋体" w:hAnsi="宋体" w:eastAsia="宋体" w:cs="宋体"/>
                <w:i w:val="0"/>
                <w:color w:val="auto"/>
                <w:kern w:val="0"/>
                <w:sz w:val="20"/>
                <w:szCs w:val="20"/>
                <w:highlight w:val="none"/>
                <w:u w:val="none"/>
                <w:lang w:val="en-US" w:eastAsia="zh-CN" w:bidi="ar"/>
              </w:rPr>
              <w:t>41,582,044,069.31</w:t>
            </w:r>
          </w:p>
        </w:tc>
        <w:tc>
          <w:tcPr>
            <w:tcW w:w="92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58.81%</w:t>
            </w:r>
          </w:p>
        </w:tc>
        <w:tc>
          <w:tcPr>
            <w:tcW w:w="116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2"/>
                <w:szCs w:val="22"/>
                <w:highlight w:val="none"/>
                <w:u w:val="none"/>
                <w:lang w:val="en-US" w:eastAsia="zh-CN" w:bidi="ar"/>
              </w:rPr>
              <w:t>5.74%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70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both"/>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在建工程</w:t>
            </w:r>
          </w:p>
        </w:tc>
        <w:tc>
          <w:tcPr>
            <w:tcW w:w="1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4,572,870,572.56</w:t>
            </w:r>
          </w:p>
        </w:tc>
        <w:tc>
          <w:tcPr>
            <w:tcW w:w="14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6.18%</w:t>
            </w:r>
          </w:p>
        </w:tc>
        <w:tc>
          <w:tcPr>
            <w:tcW w:w="108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kern w:val="2"/>
                <w:sz w:val="20"/>
                <w:szCs w:val="20"/>
                <w:highlight w:val="none"/>
                <w:u w:val="none"/>
                <w:lang w:val="en-US" w:eastAsia="zh-CN" w:bidi="ar-SA"/>
              </w:rPr>
            </w:pPr>
            <w:r>
              <w:rPr>
                <w:rFonts w:hint="eastAsia" w:ascii="宋体" w:hAnsi="宋体" w:eastAsia="宋体" w:cs="宋体"/>
                <w:i w:val="0"/>
                <w:color w:val="auto"/>
                <w:kern w:val="0"/>
                <w:sz w:val="20"/>
                <w:szCs w:val="20"/>
                <w:highlight w:val="none"/>
                <w:u w:val="none"/>
                <w:lang w:val="en-US" w:eastAsia="zh-CN" w:bidi="ar"/>
              </w:rPr>
              <w:t>5,398,525,880.53</w:t>
            </w:r>
          </w:p>
        </w:tc>
        <w:tc>
          <w:tcPr>
            <w:tcW w:w="92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7.64%</w:t>
            </w:r>
          </w:p>
        </w:tc>
        <w:tc>
          <w:tcPr>
            <w:tcW w:w="116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2"/>
                <w:szCs w:val="22"/>
                <w:highlight w:val="none"/>
                <w:u w:val="none"/>
                <w:lang w:val="en-US" w:eastAsia="zh-CN" w:bidi="ar"/>
              </w:rPr>
              <w:t>-15.29%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70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both"/>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无形资产</w:t>
            </w:r>
          </w:p>
        </w:tc>
        <w:tc>
          <w:tcPr>
            <w:tcW w:w="1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1,047,272,775.79</w:t>
            </w:r>
          </w:p>
        </w:tc>
        <w:tc>
          <w:tcPr>
            <w:tcW w:w="14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1.42%</w:t>
            </w:r>
          </w:p>
        </w:tc>
        <w:tc>
          <w:tcPr>
            <w:tcW w:w="108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kern w:val="2"/>
                <w:sz w:val="20"/>
                <w:szCs w:val="20"/>
                <w:highlight w:val="none"/>
                <w:u w:val="none"/>
                <w:lang w:val="en-US" w:eastAsia="zh-CN" w:bidi="ar-SA"/>
              </w:rPr>
            </w:pPr>
            <w:r>
              <w:rPr>
                <w:rFonts w:hint="eastAsia" w:ascii="宋体" w:hAnsi="宋体" w:eastAsia="宋体" w:cs="宋体"/>
                <w:i w:val="0"/>
                <w:color w:val="auto"/>
                <w:kern w:val="0"/>
                <w:sz w:val="20"/>
                <w:szCs w:val="20"/>
                <w:highlight w:val="none"/>
                <w:u w:val="none"/>
                <w:lang w:val="en-US" w:eastAsia="zh-CN" w:bidi="ar"/>
              </w:rPr>
              <w:t>1,403,309,875.18</w:t>
            </w:r>
          </w:p>
        </w:tc>
        <w:tc>
          <w:tcPr>
            <w:tcW w:w="92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1.98%</w:t>
            </w:r>
          </w:p>
        </w:tc>
        <w:tc>
          <w:tcPr>
            <w:tcW w:w="116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2"/>
                <w:szCs w:val="22"/>
                <w:highlight w:val="none"/>
                <w:u w:val="none"/>
                <w:lang w:val="en-US" w:eastAsia="zh-CN" w:bidi="ar"/>
              </w:rPr>
              <w:t>-25.37%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70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both"/>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商誉</w:t>
            </w:r>
          </w:p>
        </w:tc>
        <w:tc>
          <w:tcPr>
            <w:tcW w:w="1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w:t>
            </w:r>
          </w:p>
        </w:tc>
        <w:tc>
          <w:tcPr>
            <w:tcW w:w="14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w:t>
            </w:r>
          </w:p>
        </w:tc>
        <w:tc>
          <w:tcPr>
            <w:tcW w:w="108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kern w:val="2"/>
                <w:sz w:val="20"/>
                <w:szCs w:val="20"/>
                <w:highlight w:val="none"/>
                <w:u w:val="none"/>
                <w:lang w:val="en-US" w:eastAsia="zh-CN" w:bidi="ar-SA"/>
              </w:rPr>
            </w:pPr>
            <w:r>
              <w:rPr>
                <w:rFonts w:hint="eastAsia" w:ascii="宋体" w:hAnsi="宋体" w:eastAsia="宋体" w:cs="宋体"/>
                <w:i w:val="0"/>
                <w:color w:val="auto"/>
                <w:kern w:val="0"/>
                <w:sz w:val="20"/>
                <w:szCs w:val="20"/>
                <w:highlight w:val="none"/>
                <w:u w:val="none"/>
                <w:lang w:val="en-US" w:eastAsia="zh-CN" w:bidi="ar"/>
              </w:rPr>
              <w:t>0</w:t>
            </w:r>
          </w:p>
        </w:tc>
        <w:tc>
          <w:tcPr>
            <w:tcW w:w="55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kern w:val="2"/>
                <w:sz w:val="20"/>
                <w:szCs w:val="20"/>
                <w:highlight w:val="none"/>
                <w:u w:val="none"/>
                <w:lang w:val="en-US" w:eastAsia="zh-CN" w:bidi="ar-SA"/>
              </w:rPr>
            </w:pPr>
            <w:r>
              <w:rPr>
                <w:rFonts w:hint="eastAsia" w:ascii="宋体" w:hAnsi="宋体" w:eastAsia="宋体" w:cs="宋体"/>
                <w:i w:val="0"/>
                <w:color w:val="auto"/>
                <w:kern w:val="0"/>
                <w:sz w:val="20"/>
                <w:szCs w:val="20"/>
                <w:highlight w:val="none"/>
                <w:u w:val="none"/>
                <w:lang w:val="en-US" w:eastAsia="zh-CN" w:bidi="ar"/>
              </w:rPr>
              <w:t>0</w:t>
            </w:r>
          </w:p>
        </w:tc>
        <w:tc>
          <w:tcPr>
            <w:tcW w:w="116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70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both"/>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短期借款</w:t>
            </w:r>
          </w:p>
        </w:tc>
        <w:tc>
          <w:tcPr>
            <w:tcW w:w="1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8,301,400,836.00</w:t>
            </w:r>
          </w:p>
        </w:tc>
        <w:tc>
          <w:tcPr>
            <w:tcW w:w="14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auto"/>
                <w:sz w:val="20"/>
                <w:szCs w:val="20"/>
                <w:highlight w:val="none"/>
                <w:u w:val="none"/>
              </w:rPr>
            </w:pPr>
          </w:p>
        </w:tc>
        <w:tc>
          <w:tcPr>
            <w:tcW w:w="108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kern w:val="2"/>
                <w:sz w:val="20"/>
                <w:szCs w:val="20"/>
                <w:highlight w:val="none"/>
                <w:u w:val="none"/>
                <w:lang w:val="en-US" w:eastAsia="zh-CN" w:bidi="ar-SA"/>
              </w:rPr>
            </w:pPr>
            <w:r>
              <w:rPr>
                <w:rFonts w:hint="eastAsia" w:ascii="宋体" w:hAnsi="宋体" w:eastAsia="宋体" w:cs="宋体"/>
                <w:i w:val="0"/>
                <w:color w:val="auto"/>
                <w:kern w:val="0"/>
                <w:sz w:val="20"/>
                <w:szCs w:val="20"/>
                <w:highlight w:val="none"/>
                <w:u w:val="none"/>
                <w:lang w:val="en-US" w:eastAsia="zh-CN" w:bidi="ar"/>
              </w:rPr>
              <w:t>11,106,638,741.87</w:t>
            </w:r>
          </w:p>
        </w:tc>
        <w:tc>
          <w:tcPr>
            <w:tcW w:w="55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kern w:val="2"/>
                <w:sz w:val="20"/>
                <w:szCs w:val="20"/>
                <w:highlight w:val="none"/>
                <w:u w:val="none"/>
                <w:lang w:val="en-US" w:eastAsia="zh-CN" w:bidi="ar-SA"/>
              </w:rPr>
            </w:pPr>
          </w:p>
        </w:tc>
        <w:tc>
          <w:tcPr>
            <w:tcW w:w="116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2"/>
                <w:szCs w:val="22"/>
                <w:highlight w:val="none"/>
                <w:u w:val="none"/>
                <w:lang w:val="en-US" w:eastAsia="zh-CN" w:bidi="ar"/>
              </w:rPr>
              <w:t>-25.26%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70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both"/>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长期借款</w:t>
            </w:r>
          </w:p>
        </w:tc>
        <w:tc>
          <w:tcPr>
            <w:tcW w:w="1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28,488,713,773.26</w:t>
            </w:r>
          </w:p>
        </w:tc>
        <w:tc>
          <w:tcPr>
            <w:tcW w:w="14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auto"/>
                <w:sz w:val="20"/>
                <w:szCs w:val="20"/>
                <w:highlight w:val="none"/>
                <w:u w:val="none"/>
              </w:rPr>
            </w:pPr>
          </w:p>
        </w:tc>
        <w:tc>
          <w:tcPr>
            <w:tcW w:w="108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kern w:val="2"/>
                <w:sz w:val="20"/>
                <w:szCs w:val="20"/>
                <w:highlight w:val="none"/>
                <w:u w:val="none"/>
                <w:lang w:val="en-US" w:eastAsia="zh-CN" w:bidi="ar-SA"/>
              </w:rPr>
            </w:pPr>
            <w:r>
              <w:rPr>
                <w:rFonts w:hint="eastAsia" w:ascii="宋体" w:hAnsi="宋体" w:eastAsia="宋体" w:cs="宋体"/>
                <w:i w:val="0"/>
                <w:color w:val="auto"/>
                <w:kern w:val="0"/>
                <w:sz w:val="20"/>
                <w:szCs w:val="20"/>
                <w:highlight w:val="none"/>
                <w:u w:val="none"/>
                <w:lang w:val="en-US" w:eastAsia="zh-CN" w:bidi="ar"/>
              </w:rPr>
              <w:t>26,571,213,197.28</w:t>
            </w:r>
          </w:p>
        </w:tc>
        <w:tc>
          <w:tcPr>
            <w:tcW w:w="55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kern w:val="2"/>
                <w:sz w:val="20"/>
                <w:szCs w:val="20"/>
                <w:highlight w:val="none"/>
                <w:u w:val="none"/>
                <w:lang w:val="en-US" w:eastAsia="zh-CN" w:bidi="ar-SA"/>
              </w:rPr>
            </w:pPr>
          </w:p>
        </w:tc>
        <w:tc>
          <w:tcPr>
            <w:tcW w:w="116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2"/>
                <w:szCs w:val="22"/>
                <w:highlight w:val="none"/>
                <w:u w:val="none"/>
                <w:lang w:val="en-US" w:eastAsia="zh-CN" w:bidi="ar"/>
              </w:rPr>
              <w:t>7.22%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70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both"/>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资产合计</w:t>
            </w:r>
          </w:p>
        </w:tc>
        <w:tc>
          <w:tcPr>
            <w:tcW w:w="1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73,992,875,461.15</w:t>
            </w:r>
          </w:p>
        </w:tc>
        <w:tc>
          <w:tcPr>
            <w:tcW w:w="14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cs="宋体"/>
                <w:i w:val="0"/>
                <w:iCs w:val="0"/>
                <w:color w:val="auto"/>
                <w:kern w:val="0"/>
                <w:sz w:val="20"/>
                <w:szCs w:val="20"/>
                <w:highlight w:val="none"/>
                <w:u w:val="none"/>
                <w:lang w:val="en-US" w:eastAsia="zh-CN" w:bidi="ar"/>
              </w:rPr>
              <w:t>100%</w:t>
            </w:r>
          </w:p>
        </w:tc>
        <w:tc>
          <w:tcPr>
            <w:tcW w:w="108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kern w:val="2"/>
                <w:sz w:val="20"/>
                <w:szCs w:val="20"/>
                <w:highlight w:val="none"/>
                <w:u w:val="none"/>
                <w:lang w:val="en-US" w:eastAsia="zh-CN" w:bidi="ar-SA"/>
              </w:rPr>
            </w:pPr>
            <w:r>
              <w:rPr>
                <w:rFonts w:hint="eastAsia" w:ascii="宋体" w:hAnsi="宋体" w:eastAsia="宋体" w:cs="宋体"/>
                <w:i w:val="0"/>
                <w:color w:val="auto"/>
                <w:kern w:val="0"/>
                <w:sz w:val="20"/>
                <w:szCs w:val="20"/>
                <w:highlight w:val="none"/>
                <w:u w:val="none"/>
                <w:lang w:val="en-US" w:eastAsia="zh-CN" w:bidi="ar"/>
              </w:rPr>
              <w:t>70,704,234,711.23</w:t>
            </w:r>
          </w:p>
        </w:tc>
        <w:tc>
          <w:tcPr>
            <w:tcW w:w="55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kern w:val="2"/>
                <w:sz w:val="20"/>
                <w:szCs w:val="20"/>
                <w:highlight w:val="none"/>
                <w:u w:val="none"/>
                <w:lang w:val="en-US" w:eastAsia="zh-CN" w:bidi="ar-SA"/>
              </w:rPr>
            </w:pPr>
            <w:r>
              <w:rPr>
                <w:rFonts w:hint="eastAsia" w:ascii="宋体" w:hAnsi="宋体" w:cs="宋体"/>
                <w:i w:val="0"/>
                <w:iCs w:val="0"/>
                <w:color w:val="auto"/>
                <w:kern w:val="0"/>
                <w:sz w:val="20"/>
                <w:szCs w:val="20"/>
                <w:highlight w:val="none"/>
                <w:u w:val="none"/>
                <w:lang w:val="en-US" w:eastAsia="zh-CN" w:bidi="ar"/>
              </w:rPr>
              <w:t>100%</w:t>
            </w:r>
            <w:r>
              <w:rPr>
                <w:rFonts w:hint="eastAsia" w:ascii="宋体" w:hAnsi="宋体" w:eastAsia="宋体" w:cs="宋体"/>
                <w:i w:val="0"/>
                <w:color w:val="auto"/>
                <w:kern w:val="0"/>
                <w:sz w:val="20"/>
                <w:szCs w:val="20"/>
                <w:highlight w:val="none"/>
                <w:u w:val="none"/>
                <w:lang w:val="en-US" w:eastAsia="zh-CN" w:bidi="ar"/>
              </w:rPr>
              <w:t xml:space="preserve"> </w:t>
            </w:r>
          </w:p>
        </w:tc>
        <w:tc>
          <w:tcPr>
            <w:tcW w:w="116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4.65%</w:t>
            </w:r>
          </w:p>
        </w:tc>
      </w:tr>
    </w:tbl>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项目重大变动原因：</w:t>
      </w:r>
    </w:p>
    <w:p>
      <w:pPr>
        <w:keepNext w:val="0"/>
        <w:keepLines w:val="0"/>
        <w:pageBreakBefore w:val="0"/>
        <w:numPr>
          <w:ilvl w:val="0"/>
          <w:numId w:val="0"/>
        </w:numPr>
        <w:kinsoku/>
        <w:overflowPunct/>
        <w:topLinePunct w:val="0"/>
        <w:autoSpaceDE w:val="0"/>
        <w:autoSpaceDN w:val="0"/>
        <w:bidi w:val="0"/>
        <w:adjustRightInd w:val="0"/>
        <w:spacing w:line="400" w:lineRule="exact"/>
        <w:ind w:firstLine="480" w:firstLineChars="200"/>
        <w:jc w:val="left"/>
        <w:textAlignment w:val="center"/>
        <w:rPr>
          <w:rFonts w:hint="eastAsia" w:ascii="宋体" w:hAnsi="宋体" w:cs="宋体"/>
          <w:b w:val="0"/>
          <w:bCs w:val="0"/>
          <w:color w:val="auto"/>
          <w:sz w:val="24"/>
          <w:szCs w:val="24"/>
          <w:highlight w:val="none"/>
          <w:lang w:val="en-US" w:eastAsia="zh-CN"/>
        </w:rPr>
      </w:pP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b w:val="0"/>
          <w:bCs w:val="0"/>
          <w:color w:val="auto"/>
          <w:sz w:val="24"/>
          <w:szCs w:val="24"/>
          <w:highlight w:val="none"/>
          <w:lang w:val="en-US" w:eastAsia="zh-CN"/>
        </w:rPr>
        <w:t xml:space="preserve">货币资金  </w:t>
      </w:r>
    </w:p>
    <w:p>
      <w:pPr>
        <w:keepNext w:val="0"/>
        <w:keepLines w:val="0"/>
        <w:pageBreakBefore w:val="0"/>
        <w:kinsoku/>
        <w:overflowPunct/>
        <w:topLinePunct w:val="0"/>
        <w:autoSpaceDE w:val="0"/>
        <w:autoSpaceDN w:val="0"/>
        <w:bidi w:val="0"/>
        <w:adjustRightInd w:val="0"/>
        <w:spacing w:line="400" w:lineRule="exact"/>
        <w:ind w:firstLine="480" w:firstLineChars="200"/>
        <w:jc w:val="left"/>
        <w:textAlignment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eastAsia="zh-CN"/>
        </w:rPr>
        <w:t>公司</w:t>
      </w:r>
      <w:r>
        <w:rPr>
          <w:rFonts w:hint="eastAsia" w:ascii="宋体" w:hAnsi="宋体" w:eastAsia="宋体" w:cs="宋体"/>
          <w:color w:val="auto"/>
          <w:kern w:val="0"/>
          <w:sz w:val="24"/>
          <w:szCs w:val="24"/>
          <w:highlight w:val="none"/>
          <w:lang w:val="en-US" w:eastAsia="zh-CN"/>
        </w:rPr>
        <w:t>202</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lang w:val="en-US" w:eastAsia="zh-CN"/>
        </w:rPr>
        <w:t>年年末</w:t>
      </w:r>
      <w:r>
        <w:rPr>
          <w:rFonts w:hint="eastAsia" w:ascii="宋体" w:hAnsi="宋体" w:cs="宋体"/>
          <w:b w:val="0"/>
          <w:bCs w:val="0"/>
          <w:color w:val="auto"/>
          <w:sz w:val="24"/>
          <w:szCs w:val="24"/>
          <w:highlight w:val="none"/>
          <w:lang w:val="en-US" w:eastAsia="zh-CN"/>
        </w:rPr>
        <w:t>货币资金</w:t>
      </w:r>
      <w:r>
        <w:rPr>
          <w:rFonts w:hint="eastAsia" w:ascii="宋体" w:hAnsi="宋体" w:eastAsia="宋体" w:cs="宋体"/>
          <w:i w:val="0"/>
          <w:iCs w:val="0"/>
          <w:color w:val="auto"/>
          <w:kern w:val="2"/>
          <w:sz w:val="24"/>
          <w:szCs w:val="24"/>
          <w:highlight w:val="none"/>
          <w:u w:val="none"/>
          <w:lang w:val="en-US" w:eastAsia="zh-CN" w:bidi="ar"/>
        </w:rPr>
        <w:t>1,470,659,019.30</w:t>
      </w:r>
      <w:r>
        <w:rPr>
          <w:rFonts w:hint="eastAsia" w:ascii="宋体" w:hAnsi="宋体" w:eastAsia="宋体" w:cs="宋体"/>
          <w:color w:val="auto"/>
          <w:kern w:val="2"/>
          <w:sz w:val="24"/>
          <w:szCs w:val="24"/>
          <w:highlight w:val="none"/>
          <w:lang w:eastAsia="zh-CN"/>
        </w:rPr>
        <w:t>元</w:t>
      </w:r>
      <w:r>
        <w:rPr>
          <w:rFonts w:hint="eastAsia" w:ascii="宋体" w:hAnsi="宋体" w:cs="宋体"/>
          <w:color w:val="auto"/>
          <w:kern w:val="2"/>
          <w:sz w:val="24"/>
          <w:szCs w:val="24"/>
          <w:highlight w:val="none"/>
          <w:lang w:eastAsia="zh-CN"/>
        </w:rPr>
        <w:t>，</w:t>
      </w:r>
      <w:r>
        <w:rPr>
          <w:rFonts w:hint="eastAsia" w:ascii="宋体" w:hAnsi="宋体" w:eastAsia="宋体" w:cs="宋体"/>
          <w:color w:val="auto"/>
          <w:kern w:val="0"/>
          <w:sz w:val="24"/>
          <w:szCs w:val="24"/>
          <w:highlight w:val="none"/>
          <w:lang w:eastAsia="zh-CN"/>
        </w:rPr>
        <w:t>同比</w:t>
      </w:r>
      <w:r>
        <w:rPr>
          <w:rFonts w:hint="eastAsia" w:ascii="宋体" w:hAnsi="宋体" w:cs="宋体"/>
          <w:color w:val="auto"/>
          <w:kern w:val="0"/>
          <w:sz w:val="24"/>
          <w:szCs w:val="24"/>
          <w:highlight w:val="none"/>
          <w:lang w:val="en-US" w:eastAsia="zh-CN"/>
        </w:rPr>
        <w:t>增加</w:t>
      </w:r>
      <w:r>
        <w:rPr>
          <w:rFonts w:hint="eastAsia" w:ascii="宋体" w:hAnsi="宋体" w:eastAsia="宋体" w:cs="宋体"/>
          <w:color w:val="auto"/>
          <w:kern w:val="0"/>
          <w:sz w:val="24"/>
          <w:szCs w:val="24"/>
          <w:highlight w:val="none"/>
          <w:lang w:eastAsia="zh-CN"/>
        </w:rPr>
        <w:t>402</w:t>
      </w:r>
      <w:r>
        <w:rPr>
          <w:rFonts w:hint="eastAsia" w:ascii="宋体" w:hAnsi="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lang w:eastAsia="zh-CN"/>
        </w:rPr>
        <w:t>543</w:t>
      </w:r>
      <w:r>
        <w:rPr>
          <w:rFonts w:hint="eastAsia" w:ascii="宋体" w:hAnsi="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lang w:eastAsia="zh-CN"/>
        </w:rPr>
        <w:t>670.78</w:t>
      </w:r>
      <w:r>
        <w:rPr>
          <w:rFonts w:hint="eastAsia" w:ascii="宋体" w:hAnsi="宋体" w:eastAsia="宋体" w:cs="宋体"/>
          <w:color w:val="auto"/>
          <w:kern w:val="0"/>
          <w:sz w:val="24"/>
          <w:szCs w:val="24"/>
          <w:highlight w:val="none"/>
          <w:lang w:val="en-US" w:eastAsia="zh-CN"/>
        </w:rPr>
        <w:t>元，</w:t>
      </w:r>
      <w:r>
        <w:rPr>
          <w:rFonts w:hint="eastAsia" w:ascii="宋体" w:hAnsi="宋体" w:cs="宋体"/>
          <w:color w:val="auto"/>
          <w:kern w:val="0"/>
          <w:sz w:val="24"/>
          <w:szCs w:val="24"/>
          <w:highlight w:val="none"/>
          <w:lang w:val="en-US" w:eastAsia="zh-CN"/>
        </w:rPr>
        <w:t>增</w:t>
      </w:r>
      <w:r>
        <w:rPr>
          <w:rFonts w:hint="eastAsia" w:ascii="宋体" w:hAnsi="宋体" w:eastAsia="宋体" w:cs="宋体"/>
          <w:color w:val="auto"/>
          <w:kern w:val="0"/>
          <w:sz w:val="24"/>
          <w:szCs w:val="24"/>
          <w:highlight w:val="none"/>
          <w:lang w:val="en-US" w:eastAsia="zh-CN"/>
        </w:rPr>
        <w:t>幅</w:t>
      </w:r>
      <w:r>
        <w:rPr>
          <w:rFonts w:hint="eastAsia" w:ascii="宋体" w:hAnsi="宋体" w:cs="宋体"/>
          <w:color w:val="auto"/>
          <w:kern w:val="0"/>
          <w:sz w:val="24"/>
          <w:szCs w:val="24"/>
          <w:highlight w:val="none"/>
          <w:lang w:val="en-US" w:eastAsia="zh-CN"/>
        </w:rPr>
        <w:t>37.69</w:t>
      </w:r>
      <w:r>
        <w:rPr>
          <w:rFonts w:hint="eastAsia" w:ascii="宋体" w:hAnsi="宋体" w:eastAsia="宋体" w:cs="宋体"/>
          <w:color w:val="auto"/>
          <w:kern w:val="0"/>
          <w:sz w:val="24"/>
          <w:szCs w:val="24"/>
          <w:highlight w:val="none"/>
          <w:lang w:val="en-US" w:eastAsia="zh-CN"/>
        </w:rPr>
        <w:t>%。变动的主要原因：</w:t>
      </w:r>
      <w:r>
        <w:rPr>
          <w:rFonts w:hint="eastAsia" w:ascii="宋体" w:hAnsi="宋体" w:eastAsia="宋体" w:cs="宋体"/>
          <w:color w:val="auto"/>
          <w:kern w:val="0"/>
          <w:sz w:val="24"/>
          <w:szCs w:val="24"/>
          <w:highlight w:val="none"/>
          <w:lang w:val="en-US" w:eastAsia="zh-CN" w:bidi="ar"/>
        </w:rPr>
        <w:t>202</w:t>
      </w:r>
      <w:r>
        <w:rPr>
          <w:rFonts w:hint="eastAsia" w:ascii="宋体" w:hAnsi="宋体" w:cs="宋体"/>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val="en-US" w:eastAsia="zh-CN" w:bidi="ar"/>
        </w:rPr>
        <w:t>年</w:t>
      </w:r>
      <w:r>
        <w:rPr>
          <w:rFonts w:hint="eastAsia" w:ascii="宋体" w:hAnsi="宋体" w:cs="宋体"/>
          <w:color w:val="auto"/>
          <w:kern w:val="0"/>
          <w:sz w:val="24"/>
          <w:szCs w:val="24"/>
          <w:highlight w:val="none"/>
          <w:lang w:val="en-US" w:eastAsia="zh-CN" w:bidi="ar"/>
        </w:rPr>
        <w:t>末收到百瑞信托永续债放款，货币资金增加</w:t>
      </w:r>
      <w:r>
        <w:rPr>
          <w:rFonts w:hint="eastAsia" w:ascii="宋体" w:hAnsi="宋体" w:eastAsia="宋体" w:cs="宋体"/>
          <w:color w:val="auto"/>
          <w:kern w:val="0"/>
          <w:sz w:val="24"/>
          <w:szCs w:val="24"/>
          <w:highlight w:val="none"/>
          <w:lang w:val="en-US" w:eastAsia="zh-CN"/>
        </w:rPr>
        <w:t>。</w:t>
      </w:r>
    </w:p>
    <w:p>
      <w:pPr>
        <w:keepNext w:val="0"/>
        <w:keepLines w:val="0"/>
        <w:pageBreakBefore w:val="0"/>
        <w:kinsoku/>
        <w:overflowPunct/>
        <w:topLinePunct w:val="0"/>
        <w:autoSpaceDE w:val="0"/>
        <w:autoSpaceDN w:val="0"/>
        <w:bidi w:val="0"/>
        <w:adjustRightInd w:val="0"/>
        <w:spacing w:line="400" w:lineRule="exact"/>
        <w:ind w:firstLine="480" w:firstLineChars="20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eastAsia="zh-CN"/>
        </w:rPr>
        <w:t>应收票据</w:t>
      </w:r>
    </w:p>
    <w:p>
      <w:pPr>
        <w:keepNext w:val="0"/>
        <w:keepLines w:val="0"/>
        <w:pageBreakBefore w:val="0"/>
        <w:kinsoku/>
        <w:overflowPunct/>
        <w:topLinePunct w:val="0"/>
        <w:autoSpaceDE w:val="0"/>
        <w:autoSpaceDN w:val="0"/>
        <w:bidi w:val="0"/>
        <w:adjustRightInd w:val="0"/>
        <w:spacing w:line="400" w:lineRule="exact"/>
        <w:ind w:firstLine="480" w:firstLineChars="20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公司</w:t>
      </w:r>
      <w:r>
        <w:rPr>
          <w:rFonts w:hint="eastAsia" w:ascii="宋体" w:hAnsi="宋体" w:eastAsia="宋体" w:cs="宋体"/>
          <w:color w:val="auto"/>
          <w:kern w:val="0"/>
          <w:sz w:val="24"/>
          <w:szCs w:val="24"/>
          <w:highlight w:val="none"/>
          <w:lang w:val="en-US" w:eastAsia="zh-CN"/>
        </w:rPr>
        <w:t>202</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lang w:val="en-US" w:eastAsia="zh-CN"/>
        </w:rPr>
        <w:t>年年末应收票据</w:t>
      </w:r>
      <w:r>
        <w:rPr>
          <w:rFonts w:hint="eastAsia" w:ascii="宋体" w:hAnsi="宋体" w:eastAsia="宋体" w:cs="宋体"/>
          <w:i w:val="0"/>
          <w:iCs w:val="0"/>
          <w:color w:val="auto"/>
          <w:kern w:val="2"/>
          <w:sz w:val="24"/>
          <w:szCs w:val="24"/>
          <w:highlight w:val="none"/>
          <w:u w:val="none"/>
          <w:lang w:val="en-US" w:eastAsia="zh-CN" w:bidi="ar"/>
        </w:rPr>
        <w:t>109,893,330.14</w:t>
      </w:r>
      <w:r>
        <w:rPr>
          <w:rFonts w:hint="eastAsia" w:ascii="宋体" w:hAnsi="宋体" w:eastAsia="宋体" w:cs="宋体"/>
          <w:color w:val="auto"/>
          <w:kern w:val="2"/>
          <w:sz w:val="24"/>
          <w:szCs w:val="24"/>
          <w:highlight w:val="none"/>
          <w:lang w:eastAsia="zh-CN" w:bidi="ar"/>
        </w:rPr>
        <w:t>元</w:t>
      </w:r>
      <w:r>
        <w:rPr>
          <w:rFonts w:hint="eastAsia" w:ascii="宋体" w:hAnsi="宋体" w:eastAsia="宋体" w:cs="宋体"/>
          <w:color w:val="auto"/>
          <w:kern w:val="0"/>
          <w:sz w:val="24"/>
          <w:szCs w:val="24"/>
          <w:highlight w:val="none"/>
          <w:lang w:eastAsia="zh-CN" w:bidi="ar"/>
        </w:rPr>
        <w:t>，同比</w:t>
      </w:r>
      <w:r>
        <w:rPr>
          <w:rFonts w:hint="eastAsia" w:ascii="宋体" w:hAnsi="宋体" w:cs="宋体"/>
          <w:color w:val="auto"/>
          <w:kern w:val="0"/>
          <w:sz w:val="24"/>
          <w:szCs w:val="24"/>
          <w:highlight w:val="none"/>
          <w:lang w:val="en-US" w:eastAsia="zh-CN" w:bidi="ar"/>
        </w:rPr>
        <w:t>增加</w:t>
      </w:r>
      <w:r>
        <w:rPr>
          <w:rFonts w:hint="eastAsia" w:ascii="宋体" w:hAnsi="宋体" w:eastAsia="宋体" w:cs="宋体"/>
          <w:color w:val="auto"/>
          <w:kern w:val="0"/>
          <w:sz w:val="24"/>
          <w:szCs w:val="24"/>
          <w:highlight w:val="none"/>
          <w:lang w:val="en-US" w:eastAsia="zh-CN" w:bidi="ar"/>
        </w:rPr>
        <w:t>88</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747</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963.76元，</w:t>
      </w:r>
      <w:r>
        <w:rPr>
          <w:rFonts w:hint="eastAsia" w:ascii="宋体" w:hAnsi="宋体" w:cs="宋体"/>
          <w:color w:val="auto"/>
          <w:kern w:val="0"/>
          <w:sz w:val="24"/>
          <w:szCs w:val="24"/>
          <w:highlight w:val="none"/>
          <w:lang w:val="en-US" w:eastAsia="zh-CN"/>
        </w:rPr>
        <w:t>增</w:t>
      </w:r>
      <w:r>
        <w:rPr>
          <w:rFonts w:hint="eastAsia" w:ascii="宋体" w:hAnsi="宋体" w:eastAsia="宋体" w:cs="宋体"/>
          <w:color w:val="auto"/>
          <w:kern w:val="0"/>
          <w:sz w:val="24"/>
          <w:szCs w:val="24"/>
          <w:highlight w:val="none"/>
          <w:lang w:val="en-US" w:eastAsia="zh-CN" w:bidi="ar"/>
        </w:rPr>
        <w:t>幅</w:t>
      </w:r>
      <w:r>
        <w:rPr>
          <w:rFonts w:hint="eastAsia" w:ascii="宋体" w:hAnsi="宋体" w:cs="宋体"/>
          <w:color w:val="auto"/>
          <w:kern w:val="0"/>
          <w:sz w:val="24"/>
          <w:szCs w:val="24"/>
          <w:highlight w:val="none"/>
          <w:lang w:val="en-US" w:eastAsia="zh-CN" w:bidi="ar"/>
        </w:rPr>
        <w:t>419.7</w:t>
      </w:r>
      <w:r>
        <w:rPr>
          <w:rFonts w:hint="eastAsia" w:ascii="宋体" w:hAnsi="宋体" w:eastAsia="宋体" w:cs="宋体"/>
          <w:color w:val="auto"/>
          <w:kern w:val="0"/>
          <w:sz w:val="24"/>
          <w:szCs w:val="24"/>
          <w:highlight w:val="none"/>
          <w:lang w:val="en-US" w:eastAsia="zh-CN" w:bidi="ar"/>
        </w:rPr>
        <w:t>%。变动的主要原因：</w:t>
      </w:r>
      <w:r>
        <w:rPr>
          <w:rFonts w:hint="eastAsia" w:ascii="宋体" w:hAnsi="宋体" w:cs="宋体"/>
          <w:color w:val="auto"/>
          <w:kern w:val="0"/>
          <w:sz w:val="24"/>
          <w:szCs w:val="24"/>
          <w:highlight w:val="none"/>
          <w:lang w:val="en-US" w:eastAsia="zh-CN" w:bidi="ar"/>
        </w:rPr>
        <w:t>电煤贸易规模同比增加，应收票据增加。</w:t>
      </w:r>
    </w:p>
    <w:p>
      <w:pPr>
        <w:keepNext w:val="0"/>
        <w:keepLines w:val="0"/>
        <w:pageBreakBefore w:val="0"/>
        <w:kinsoku/>
        <w:overflowPunct/>
        <w:topLinePunct w:val="0"/>
        <w:autoSpaceDE w:val="0"/>
        <w:autoSpaceDN w:val="0"/>
        <w:bidi w:val="0"/>
        <w:adjustRightInd w:val="0"/>
        <w:spacing w:line="400" w:lineRule="exact"/>
        <w:ind w:firstLine="480" w:firstLineChars="20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)存货</w:t>
      </w:r>
    </w:p>
    <w:p>
      <w:pPr>
        <w:keepNext w:val="0"/>
        <w:keepLines w:val="0"/>
        <w:pageBreakBefore w:val="0"/>
        <w:kinsoku/>
        <w:overflowPunct/>
        <w:topLinePunct w:val="0"/>
        <w:autoSpaceDE w:val="0"/>
        <w:autoSpaceDN w:val="0"/>
        <w:bidi w:val="0"/>
        <w:adjustRightInd w:val="0"/>
        <w:spacing w:line="400" w:lineRule="exact"/>
        <w:ind w:firstLine="480" w:firstLineChars="200"/>
        <w:jc w:val="left"/>
        <w:textAlignment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rPr>
        <w:t>公司202</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年末</w:t>
      </w:r>
      <w:r>
        <w:rPr>
          <w:rFonts w:hint="eastAsia" w:ascii="宋体" w:hAnsi="宋体" w:eastAsia="宋体" w:cs="宋体"/>
          <w:color w:val="auto"/>
          <w:kern w:val="0"/>
          <w:sz w:val="24"/>
          <w:szCs w:val="24"/>
          <w:highlight w:val="none"/>
        </w:rPr>
        <w:t>存货</w:t>
      </w:r>
      <w:r>
        <w:rPr>
          <w:rFonts w:hint="eastAsia" w:ascii="宋体" w:hAnsi="宋体" w:eastAsia="宋体" w:cs="宋体"/>
          <w:i w:val="0"/>
          <w:iCs w:val="0"/>
          <w:color w:val="auto"/>
          <w:kern w:val="0"/>
          <w:sz w:val="24"/>
          <w:szCs w:val="24"/>
          <w:highlight w:val="none"/>
          <w:u w:val="none"/>
          <w:lang w:val="en-US" w:eastAsia="zh-CN" w:bidi="ar"/>
        </w:rPr>
        <w:t>1,247,630,630.33</w:t>
      </w:r>
      <w:r>
        <w:rPr>
          <w:rFonts w:hint="eastAsia" w:ascii="宋体" w:hAnsi="宋体" w:eastAsia="宋体" w:cs="宋体"/>
          <w:color w:val="auto"/>
          <w:kern w:val="0"/>
          <w:sz w:val="24"/>
          <w:szCs w:val="24"/>
          <w:highlight w:val="none"/>
        </w:rPr>
        <w:t>元，同比</w:t>
      </w:r>
      <w:r>
        <w:rPr>
          <w:rFonts w:hint="eastAsia" w:ascii="宋体" w:hAnsi="宋体" w:cs="宋体"/>
          <w:color w:val="auto"/>
          <w:kern w:val="0"/>
          <w:sz w:val="24"/>
          <w:szCs w:val="24"/>
          <w:highlight w:val="none"/>
          <w:lang w:val="en-US" w:eastAsia="zh-CN"/>
        </w:rPr>
        <w:t>减少</w:t>
      </w:r>
      <w:r>
        <w:rPr>
          <w:rFonts w:hint="eastAsia" w:ascii="宋体" w:hAnsi="宋体" w:eastAsia="宋体" w:cs="宋体"/>
          <w:color w:val="auto"/>
          <w:kern w:val="0"/>
          <w:sz w:val="24"/>
          <w:szCs w:val="24"/>
          <w:highlight w:val="none"/>
        </w:rPr>
        <w:t>266</w:t>
      </w:r>
      <w:r>
        <w:rPr>
          <w:rFonts w:hint="eastAsia" w:ascii="宋体" w:hAnsi="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rPr>
        <w:t>117</w:t>
      </w:r>
      <w:r>
        <w:rPr>
          <w:rFonts w:hint="eastAsia" w:ascii="宋体" w:hAnsi="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rPr>
        <w:t>435.39元，</w:t>
      </w:r>
      <w:r>
        <w:rPr>
          <w:rFonts w:hint="eastAsia" w:ascii="宋体" w:hAnsi="宋体" w:cs="宋体"/>
          <w:color w:val="auto"/>
          <w:kern w:val="0"/>
          <w:sz w:val="24"/>
          <w:szCs w:val="24"/>
          <w:highlight w:val="none"/>
          <w:lang w:val="en-US" w:eastAsia="zh-CN"/>
        </w:rPr>
        <w:t>降</w:t>
      </w:r>
      <w:r>
        <w:rPr>
          <w:rFonts w:hint="eastAsia" w:ascii="宋体" w:hAnsi="宋体" w:eastAsia="宋体" w:cs="宋体"/>
          <w:color w:val="auto"/>
          <w:kern w:val="0"/>
          <w:sz w:val="24"/>
          <w:szCs w:val="24"/>
          <w:highlight w:val="none"/>
          <w:lang w:eastAsia="zh-CN"/>
        </w:rPr>
        <w:t>幅</w:t>
      </w:r>
      <w:r>
        <w:rPr>
          <w:rFonts w:hint="eastAsia" w:ascii="宋体" w:hAnsi="宋体" w:cs="宋体"/>
          <w:color w:val="auto"/>
          <w:kern w:val="0"/>
          <w:sz w:val="24"/>
          <w:szCs w:val="24"/>
          <w:highlight w:val="none"/>
          <w:lang w:val="en-US" w:eastAsia="zh-CN"/>
        </w:rPr>
        <w:t>17.58</w:t>
      </w:r>
      <w:r>
        <w:rPr>
          <w:rFonts w:hint="eastAsia" w:ascii="宋体" w:hAnsi="宋体" w:eastAsia="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rPr>
        <w:t>。变动的主要原因：</w:t>
      </w:r>
      <w:r>
        <w:rPr>
          <w:rFonts w:hint="eastAsia" w:ascii="宋体" w:hAnsi="宋体" w:eastAsia="宋体" w:cs="宋体"/>
          <w:color w:val="auto"/>
          <w:kern w:val="0"/>
          <w:sz w:val="24"/>
          <w:szCs w:val="24"/>
          <w:highlight w:val="none"/>
          <w:lang w:val="en-US" w:eastAsia="zh-CN" w:bidi="ar"/>
        </w:rPr>
        <w:t>202</w:t>
      </w:r>
      <w:r>
        <w:rPr>
          <w:rFonts w:hint="eastAsia" w:ascii="宋体" w:hAnsi="宋体" w:cs="宋体"/>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val="en-US" w:eastAsia="zh-CN" w:bidi="ar"/>
        </w:rPr>
        <w:t>年</w:t>
      </w:r>
      <w:r>
        <w:rPr>
          <w:rFonts w:hint="eastAsia" w:ascii="宋体" w:hAnsi="宋体" w:cs="宋体"/>
          <w:color w:val="auto"/>
          <w:kern w:val="0"/>
          <w:sz w:val="24"/>
          <w:szCs w:val="24"/>
          <w:highlight w:val="none"/>
          <w:lang w:val="en-US" w:eastAsia="zh-CN" w:bidi="ar"/>
        </w:rPr>
        <w:t>火电板块负荷下降，存煤量减少</w:t>
      </w:r>
      <w:r>
        <w:rPr>
          <w:rFonts w:hint="eastAsia" w:ascii="宋体" w:hAnsi="宋体" w:cs="宋体"/>
          <w:color w:val="auto"/>
          <w:kern w:val="0"/>
          <w:sz w:val="24"/>
          <w:szCs w:val="24"/>
          <w:highlight w:val="none"/>
          <w:lang w:val="en-US" w:eastAsia="zh-CN"/>
        </w:rPr>
        <w:t>。</w:t>
      </w:r>
    </w:p>
    <w:p>
      <w:pPr>
        <w:keepNext w:val="0"/>
        <w:keepLines w:val="0"/>
        <w:pageBreakBefore w:val="0"/>
        <w:numPr>
          <w:ilvl w:val="0"/>
          <w:numId w:val="0"/>
        </w:numPr>
        <w:kinsoku/>
        <w:overflowPunct/>
        <w:topLinePunct w:val="0"/>
        <w:bidi w:val="0"/>
        <w:spacing w:line="40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投资性房地产</w:t>
      </w:r>
    </w:p>
    <w:p>
      <w:pPr>
        <w:keepNext w:val="0"/>
        <w:keepLines w:val="0"/>
        <w:pageBreakBefore w:val="0"/>
        <w:numPr>
          <w:ilvl w:val="0"/>
          <w:numId w:val="0"/>
        </w:numPr>
        <w:kinsoku/>
        <w:overflowPunct/>
        <w:topLinePunct w:val="0"/>
        <w:autoSpaceDE w:val="0"/>
        <w:autoSpaceDN w:val="0"/>
        <w:bidi w:val="0"/>
        <w:adjustRightInd w:val="0"/>
        <w:spacing w:line="400" w:lineRule="exact"/>
        <w:ind w:firstLine="480" w:firstLineChars="200"/>
        <w:jc w:val="left"/>
        <w:textAlignment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eastAsia="zh-CN"/>
        </w:rPr>
        <w:t>公司</w:t>
      </w:r>
      <w:r>
        <w:rPr>
          <w:rFonts w:hint="eastAsia" w:ascii="宋体" w:hAnsi="宋体" w:eastAsia="宋体" w:cs="宋体"/>
          <w:color w:val="auto"/>
          <w:kern w:val="0"/>
          <w:sz w:val="24"/>
          <w:szCs w:val="24"/>
          <w:highlight w:val="none"/>
          <w:lang w:val="en-US" w:eastAsia="zh-CN"/>
        </w:rPr>
        <w:t>202</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lang w:val="en-US" w:eastAsia="zh-CN"/>
        </w:rPr>
        <w:t>年年末投资性房地产</w:t>
      </w:r>
      <w:r>
        <w:rPr>
          <w:rFonts w:hint="eastAsia" w:ascii="宋体" w:hAnsi="宋体" w:eastAsia="宋体" w:cs="宋体"/>
          <w:i w:val="0"/>
          <w:iCs w:val="0"/>
          <w:color w:val="auto"/>
          <w:kern w:val="0"/>
          <w:sz w:val="24"/>
          <w:szCs w:val="24"/>
          <w:highlight w:val="none"/>
          <w:u w:val="none"/>
          <w:lang w:val="en-US" w:eastAsia="zh-CN" w:bidi="ar"/>
        </w:rPr>
        <w:t>974,998,444.58</w:t>
      </w:r>
      <w:r>
        <w:rPr>
          <w:rFonts w:hint="eastAsia" w:ascii="宋体" w:hAnsi="宋体" w:eastAsia="宋体" w:cs="宋体"/>
          <w:color w:val="auto"/>
          <w:kern w:val="0"/>
          <w:sz w:val="24"/>
          <w:szCs w:val="24"/>
          <w:highlight w:val="none"/>
          <w:lang w:eastAsia="zh-CN" w:bidi="ar"/>
        </w:rPr>
        <w:t>元，同比</w:t>
      </w:r>
      <w:r>
        <w:rPr>
          <w:rFonts w:hint="eastAsia" w:ascii="宋体" w:hAnsi="宋体" w:cs="宋体"/>
          <w:color w:val="auto"/>
          <w:kern w:val="0"/>
          <w:sz w:val="24"/>
          <w:szCs w:val="24"/>
          <w:highlight w:val="none"/>
          <w:lang w:val="en-US" w:eastAsia="zh-CN" w:bidi="ar"/>
        </w:rPr>
        <w:t>减少</w:t>
      </w:r>
      <w:r>
        <w:rPr>
          <w:rFonts w:hint="eastAsia" w:ascii="宋体" w:hAnsi="宋体" w:eastAsia="宋体" w:cs="宋体"/>
          <w:color w:val="auto"/>
          <w:kern w:val="0"/>
          <w:sz w:val="24"/>
          <w:szCs w:val="24"/>
          <w:highlight w:val="none"/>
          <w:lang w:eastAsia="zh-CN" w:bidi="ar"/>
        </w:rPr>
        <w:t>24</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eastAsia="zh-CN" w:bidi="ar"/>
        </w:rPr>
        <w:t>946</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eastAsia="zh-CN" w:bidi="ar"/>
        </w:rPr>
        <w:t>781.2</w:t>
      </w:r>
      <w:r>
        <w:rPr>
          <w:rFonts w:hint="eastAsia" w:ascii="宋体" w:hAnsi="宋体" w:cs="宋体"/>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eastAsia="zh-CN" w:bidi="ar"/>
        </w:rPr>
        <w:t>元，</w:t>
      </w:r>
      <w:r>
        <w:rPr>
          <w:rFonts w:hint="eastAsia" w:ascii="宋体" w:hAnsi="宋体" w:cs="宋体"/>
          <w:color w:val="auto"/>
          <w:kern w:val="0"/>
          <w:sz w:val="24"/>
          <w:szCs w:val="24"/>
          <w:highlight w:val="none"/>
          <w:lang w:val="en-US" w:eastAsia="zh-CN" w:bidi="ar"/>
        </w:rPr>
        <w:t>降</w:t>
      </w:r>
      <w:r>
        <w:rPr>
          <w:rFonts w:hint="eastAsia" w:ascii="宋体" w:hAnsi="宋体" w:eastAsia="宋体" w:cs="宋体"/>
          <w:color w:val="auto"/>
          <w:kern w:val="0"/>
          <w:sz w:val="24"/>
          <w:szCs w:val="24"/>
          <w:highlight w:val="none"/>
          <w:lang w:eastAsia="zh-CN" w:bidi="ar"/>
        </w:rPr>
        <w:t>幅</w:t>
      </w:r>
      <w:r>
        <w:rPr>
          <w:rFonts w:hint="eastAsia" w:ascii="宋体" w:hAnsi="宋体" w:cs="宋体"/>
          <w:color w:val="auto"/>
          <w:kern w:val="0"/>
          <w:sz w:val="24"/>
          <w:szCs w:val="24"/>
          <w:highlight w:val="none"/>
          <w:lang w:val="en-US" w:eastAsia="zh-CN" w:bidi="ar"/>
        </w:rPr>
        <w:t>2.49</w:t>
      </w:r>
      <w:r>
        <w:rPr>
          <w:rFonts w:hint="eastAsia" w:ascii="宋体" w:hAnsi="宋体" w:eastAsia="宋体" w:cs="宋体"/>
          <w:color w:val="auto"/>
          <w:kern w:val="0"/>
          <w:sz w:val="24"/>
          <w:szCs w:val="24"/>
          <w:highlight w:val="none"/>
          <w:lang w:val="en-US" w:eastAsia="zh-CN" w:bidi="ar"/>
        </w:rPr>
        <w:t>%。变动</w:t>
      </w:r>
      <w:r>
        <w:rPr>
          <w:rFonts w:hint="eastAsia" w:ascii="宋体" w:hAnsi="宋体" w:cs="宋体"/>
          <w:color w:val="auto"/>
          <w:kern w:val="0"/>
          <w:sz w:val="24"/>
          <w:szCs w:val="24"/>
          <w:highlight w:val="none"/>
          <w:lang w:val="en-US" w:eastAsia="zh-CN" w:bidi="ar"/>
        </w:rPr>
        <w:t>的</w:t>
      </w:r>
      <w:r>
        <w:rPr>
          <w:rFonts w:hint="eastAsia" w:ascii="宋体" w:hAnsi="宋体" w:eastAsia="宋体" w:cs="宋体"/>
          <w:color w:val="auto"/>
          <w:kern w:val="0"/>
          <w:sz w:val="24"/>
          <w:szCs w:val="24"/>
          <w:highlight w:val="none"/>
          <w:lang w:val="en-US" w:eastAsia="zh-CN" w:bidi="ar"/>
        </w:rPr>
        <w:t>主要原因：202</w:t>
      </w:r>
      <w:r>
        <w:rPr>
          <w:rFonts w:hint="eastAsia" w:ascii="宋体" w:hAnsi="宋体" w:cs="宋体"/>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val="en-US" w:eastAsia="zh-CN" w:bidi="ar"/>
        </w:rPr>
        <w:t>年</w:t>
      </w:r>
      <w:r>
        <w:rPr>
          <w:rFonts w:hint="eastAsia" w:ascii="宋体" w:hAnsi="宋体" w:cs="宋体"/>
          <w:color w:val="auto"/>
          <w:kern w:val="0"/>
          <w:sz w:val="24"/>
          <w:szCs w:val="24"/>
          <w:highlight w:val="none"/>
          <w:lang w:val="en-US" w:eastAsia="zh-CN" w:bidi="ar"/>
        </w:rPr>
        <w:t>投资性房地产评估值降低</w:t>
      </w:r>
      <w:r>
        <w:rPr>
          <w:rFonts w:hint="eastAsia" w:ascii="宋体" w:hAnsi="宋体" w:eastAsia="宋体" w:cs="宋体"/>
          <w:color w:val="auto"/>
          <w:kern w:val="0"/>
          <w:sz w:val="24"/>
          <w:szCs w:val="24"/>
          <w:highlight w:val="none"/>
          <w:lang w:val="en-US" w:eastAsia="zh-CN" w:bidi="ar"/>
        </w:rPr>
        <w:t>。</w:t>
      </w:r>
    </w:p>
    <w:p>
      <w:pPr>
        <w:keepNext w:val="0"/>
        <w:keepLines w:val="0"/>
        <w:pageBreakBefore w:val="0"/>
        <w:numPr>
          <w:ilvl w:val="0"/>
          <w:numId w:val="0"/>
        </w:numPr>
        <w:kinsoku/>
        <w:overflowPunct/>
        <w:topLinePunct w:val="0"/>
        <w:bidi w:val="0"/>
        <w:spacing w:line="40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)长期股权投资</w:t>
      </w:r>
    </w:p>
    <w:p>
      <w:pPr>
        <w:keepNext w:val="0"/>
        <w:keepLines w:val="0"/>
        <w:pageBreakBefore w:val="0"/>
        <w:widowControl w:val="0"/>
        <w:kinsoku/>
        <w:wordWrap w:val="0"/>
        <w:overflowPunct/>
        <w:topLinePunct w:val="0"/>
        <w:autoSpaceDE w:val="0"/>
        <w:autoSpaceDN w:val="0"/>
        <w:bidi w:val="0"/>
        <w:adjustRightInd w:val="0"/>
        <w:snapToGrid/>
        <w:spacing w:line="400" w:lineRule="exact"/>
        <w:ind w:firstLine="480" w:firstLineChars="200"/>
        <w:jc w:val="left"/>
        <w:textAlignment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eastAsia="zh-CN"/>
        </w:rPr>
        <w:t>公司</w:t>
      </w:r>
      <w:r>
        <w:rPr>
          <w:rFonts w:hint="eastAsia" w:ascii="宋体" w:hAnsi="宋体" w:eastAsia="宋体" w:cs="宋体"/>
          <w:color w:val="auto"/>
          <w:kern w:val="0"/>
          <w:sz w:val="24"/>
          <w:szCs w:val="24"/>
          <w:highlight w:val="none"/>
          <w:lang w:val="en-US" w:eastAsia="zh-CN"/>
        </w:rPr>
        <w:t>202</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lang w:val="en-US" w:eastAsia="zh-CN"/>
        </w:rPr>
        <w:t>年年末</w:t>
      </w:r>
      <w:r>
        <w:rPr>
          <w:rFonts w:hint="eastAsia" w:ascii="宋体" w:hAnsi="宋体" w:eastAsia="宋体" w:cs="宋体"/>
          <w:color w:val="auto"/>
          <w:kern w:val="0"/>
          <w:sz w:val="24"/>
          <w:szCs w:val="24"/>
          <w:highlight w:val="none"/>
          <w:lang w:eastAsia="zh-CN"/>
        </w:rPr>
        <w:t>长期股权</w:t>
      </w:r>
      <w:r>
        <w:rPr>
          <w:rFonts w:hint="eastAsia" w:ascii="宋体" w:hAnsi="宋体" w:eastAsia="宋体" w:cs="宋体"/>
          <w:color w:val="auto"/>
          <w:kern w:val="0"/>
          <w:sz w:val="24"/>
          <w:szCs w:val="24"/>
          <w:highlight w:val="none"/>
          <w:lang w:val="en-US" w:eastAsia="zh-CN"/>
        </w:rPr>
        <w:t>投资</w:t>
      </w:r>
      <w:r>
        <w:rPr>
          <w:rFonts w:hint="eastAsia" w:ascii="宋体" w:hAnsi="宋体" w:eastAsia="宋体" w:cs="宋体"/>
          <w:i w:val="0"/>
          <w:iCs w:val="0"/>
          <w:color w:val="auto"/>
          <w:kern w:val="0"/>
          <w:sz w:val="24"/>
          <w:szCs w:val="24"/>
          <w:highlight w:val="none"/>
          <w:u w:val="none"/>
          <w:lang w:val="en-US" w:eastAsia="zh-CN" w:bidi="ar"/>
        </w:rPr>
        <w:t>1,741,604,559.28</w:t>
      </w:r>
      <w:r>
        <w:rPr>
          <w:rFonts w:hint="eastAsia" w:ascii="宋体" w:hAnsi="宋体" w:eastAsia="宋体" w:cs="宋体"/>
          <w:color w:val="auto"/>
          <w:kern w:val="0"/>
          <w:sz w:val="24"/>
          <w:szCs w:val="24"/>
          <w:highlight w:val="none"/>
          <w:lang w:eastAsia="zh-CN"/>
        </w:rPr>
        <w:t>元</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eastAsia="zh-CN"/>
        </w:rPr>
        <w:t>同比</w:t>
      </w:r>
      <w:r>
        <w:rPr>
          <w:rFonts w:hint="eastAsia" w:ascii="宋体" w:hAnsi="宋体" w:cs="宋体"/>
          <w:color w:val="auto"/>
          <w:kern w:val="0"/>
          <w:sz w:val="24"/>
          <w:szCs w:val="24"/>
          <w:highlight w:val="none"/>
          <w:lang w:val="en-US" w:eastAsia="zh-CN"/>
        </w:rPr>
        <w:t>增加</w:t>
      </w:r>
      <w:r>
        <w:rPr>
          <w:rFonts w:hint="eastAsia" w:ascii="宋体" w:hAnsi="宋体" w:eastAsia="宋体" w:cs="宋体"/>
          <w:color w:val="auto"/>
          <w:kern w:val="0"/>
          <w:sz w:val="24"/>
          <w:szCs w:val="24"/>
          <w:highlight w:val="none"/>
          <w:lang w:eastAsia="zh-CN"/>
        </w:rPr>
        <w:t>400</w:t>
      </w:r>
      <w:r>
        <w:rPr>
          <w:rFonts w:hint="eastAsia" w:ascii="宋体" w:hAnsi="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lang w:eastAsia="zh-CN"/>
        </w:rPr>
        <w:t>929</w:t>
      </w:r>
      <w:r>
        <w:rPr>
          <w:rFonts w:hint="eastAsia" w:ascii="宋体" w:hAnsi="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lang w:eastAsia="zh-CN"/>
        </w:rPr>
        <w:t>286.99元，</w:t>
      </w:r>
      <w:r>
        <w:rPr>
          <w:rFonts w:hint="eastAsia" w:ascii="宋体" w:hAnsi="宋体" w:cs="宋体"/>
          <w:color w:val="auto"/>
          <w:kern w:val="0"/>
          <w:sz w:val="24"/>
          <w:szCs w:val="24"/>
          <w:highlight w:val="none"/>
          <w:lang w:val="en-US" w:eastAsia="zh-CN"/>
        </w:rPr>
        <w:t>增</w:t>
      </w:r>
      <w:r>
        <w:rPr>
          <w:rFonts w:hint="eastAsia" w:ascii="宋体" w:hAnsi="宋体" w:eastAsia="宋体" w:cs="宋体"/>
          <w:color w:val="auto"/>
          <w:kern w:val="0"/>
          <w:sz w:val="24"/>
          <w:szCs w:val="24"/>
          <w:highlight w:val="none"/>
          <w:lang w:eastAsia="zh-CN"/>
        </w:rPr>
        <w:t>幅</w:t>
      </w:r>
      <w:r>
        <w:rPr>
          <w:rFonts w:hint="eastAsia" w:ascii="宋体" w:hAnsi="宋体" w:cs="宋体"/>
          <w:color w:val="auto"/>
          <w:kern w:val="0"/>
          <w:sz w:val="24"/>
          <w:szCs w:val="24"/>
          <w:highlight w:val="none"/>
          <w:lang w:val="en-US" w:eastAsia="zh-CN"/>
        </w:rPr>
        <w:t>29.91</w:t>
      </w:r>
      <w:r>
        <w:rPr>
          <w:rFonts w:hint="eastAsia" w:ascii="宋体" w:hAnsi="宋体" w:eastAsia="宋体" w:cs="宋体"/>
          <w:color w:val="auto"/>
          <w:kern w:val="0"/>
          <w:sz w:val="24"/>
          <w:szCs w:val="24"/>
          <w:highlight w:val="none"/>
          <w:lang w:val="en-US" w:eastAsia="zh-CN"/>
        </w:rPr>
        <w:t>%。变动</w:t>
      </w:r>
      <w:r>
        <w:rPr>
          <w:rFonts w:hint="eastAsia" w:ascii="宋体" w:hAnsi="宋体" w:cs="宋体"/>
          <w:color w:val="auto"/>
          <w:kern w:val="0"/>
          <w:sz w:val="24"/>
          <w:szCs w:val="24"/>
          <w:highlight w:val="none"/>
          <w:lang w:val="en-US" w:eastAsia="zh-CN"/>
        </w:rPr>
        <w:t>的</w:t>
      </w:r>
      <w:r>
        <w:rPr>
          <w:rFonts w:hint="eastAsia" w:ascii="宋体" w:hAnsi="宋体" w:eastAsia="宋体" w:cs="宋体"/>
          <w:color w:val="auto"/>
          <w:kern w:val="0"/>
          <w:sz w:val="24"/>
          <w:szCs w:val="24"/>
          <w:highlight w:val="none"/>
          <w:lang w:val="en-US" w:eastAsia="zh-CN"/>
        </w:rPr>
        <w:t>主要原因：202</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lang w:val="en-US" w:eastAsia="zh-CN"/>
        </w:rPr>
        <w:t>年</w:t>
      </w:r>
      <w:r>
        <w:rPr>
          <w:rFonts w:hint="eastAsia" w:ascii="宋体" w:hAnsi="宋体" w:eastAsia="宋体" w:cs="宋体"/>
          <w:b w:val="0"/>
          <w:bCs w:val="0"/>
          <w:color w:val="auto"/>
          <w:kern w:val="0"/>
          <w:sz w:val="24"/>
          <w:szCs w:val="24"/>
          <w:highlight w:val="none"/>
          <w:lang w:val="en-US" w:eastAsia="zh-CN"/>
        </w:rPr>
        <w:t>贵州金元对能发燃料公司由成本法转权益法核算，</w:t>
      </w:r>
      <w:r>
        <w:rPr>
          <w:rFonts w:hint="eastAsia" w:ascii="宋体" w:hAnsi="宋体" w:cs="宋体"/>
          <w:b w:val="0"/>
          <w:bCs w:val="0"/>
          <w:color w:val="auto"/>
          <w:kern w:val="0"/>
          <w:sz w:val="24"/>
          <w:szCs w:val="24"/>
          <w:highlight w:val="none"/>
          <w:lang w:val="en-US" w:eastAsia="zh-CN"/>
        </w:rPr>
        <w:t>长期股权投资增加</w:t>
      </w:r>
      <w:r>
        <w:rPr>
          <w:rFonts w:hint="eastAsia" w:ascii="宋体" w:hAnsi="宋体" w:eastAsia="宋体" w:cs="宋体"/>
          <w:color w:val="auto"/>
          <w:kern w:val="0"/>
          <w:sz w:val="24"/>
          <w:szCs w:val="24"/>
          <w:highlight w:val="none"/>
          <w:lang w:val="en-US" w:eastAsia="zh-CN"/>
        </w:rPr>
        <w:t>。</w:t>
      </w:r>
    </w:p>
    <w:p>
      <w:pPr>
        <w:keepNext w:val="0"/>
        <w:keepLines w:val="0"/>
        <w:pageBreakBefore w:val="0"/>
        <w:numPr>
          <w:ilvl w:val="0"/>
          <w:numId w:val="0"/>
        </w:numPr>
        <w:kinsoku/>
        <w:overflowPunct/>
        <w:topLinePunct w:val="0"/>
        <w:bidi w:val="0"/>
        <w:spacing w:line="400" w:lineRule="exact"/>
        <w:ind w:firstLine="480" w:firstLineChars="200"/>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在建工程</w:t>
      </w:r>
    </w:p>
    <w:p>
      <w:pPr>
        <w:keepNext w:val="0"/>
        <w:keepLines w:val="0"/>
        <w:pageBreakBefore w:val="0"/>
        <w:numPr>
          <w:ilvl w:val="0"/>
          <w:numId w:val="0"/>
        </w:numPr>
        <w:kinsoku/>
        <w:overflowPunct/>
        <w:topLinePunct w:val="0"/>
        <w:bidi w:val="0"/>
        <w:spacing w:line="400" w:lineRule="exact"/>
        <w:ind w:firstLine="480" w:firstLineChars="200"/>
        <w:jc w:val="left"/>
        <w:rPr>
          <w:rFonts w:hint="eastAsia"/>
          <w:color w:val="auto"/>
          <w:highlight w:val="none"/>
          <w:lang w:val="en-US" w:eastAsia="zh-CN"/>
        </w:rPr>
      </w:pPr>
      <w:r>
        <w:rPr>
          <w:rFonts w:hint="eastAsia" w:ascii="宋体" w:hAnsi="宋体" w:eastAsia="宋体" w:cs="宋体"/>
          <w:color w:val="auto"/>
          <w:kern w:val="0"/>
          <w:sz w:val="24"/>
          <w:szCs w:val="24"/>
          <w:highlight w:val="none"/>
          <w:lang w:eastAsia="zh-CN"/>
        </w:rPr>
        <w:t>公司</w:t>
      </w:r>
      <w:r>
        <w:rPr>
          <w:rFonts w:hint="eastAsia" w:ascii="宋体" w:hAnsi="宋体" w:eastAsia="宋体" w:cs="宋体"/>
          <w:color w:val="auto"/>
          <w:kern w:val="0"/>
          <w:sz w:val="24"/>
          <w:szCs w:val="24"/>
          <w:highlight w:val="none"/>
          <w:lang w:val="en-US" w:eastAsia="zh-CN"/>
        </w:rPr>
        <w:t>202</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lang w:val="en-US" w:eastAsia="zh-CN"/>
        </w:rPr>
        <w:t>年</w:t>
      </w:r>
      <w:r>
        <w:rPr>
          <w:rFonts w:hint="eastAsia" w:ascii="宋体" w:hAnsi="宋体" w:cs="宋体"/>
          <w:color w:val="auto"/>
          <w:kern w:val="0"/>
          <w:sz w:val="24"/>
          <w:szCs w:val="24"/>
          <w:highlight w:val="none"/>
          <w:lang w:val="en-US" w:eastAsia="zh-CN"/>
        </w:rPr>
        <w:t>在建工程</w:t>
      </w:r>
      <w:r>
        <w:rPr>
          <w:rFonts w:hint="eastAsia" w:ascii="宋体" w:hAnsi="宋体" w:eastAsia="宋体" w:cs="宋体"/>
          <w:i w:val="0"/>
          <w:iCs w:val="0"/>
          <w:color w:val="auto"/>
          <w:kern w:val="0"/>
          <w:sz w:val="24"/>
          <w:szCs w:val="24"/>
          <w:highlight w:val="none"/>
          <w:u w:val="none"/>
          <w:lang w:val="en-US" w:eastAsia="zh-CN" w:bidi="ar"/>
        </w:rPr>
        <w:t>4,572,870,572.56</w:t>
      </w:r>
      <w:r>
        <w:rPr>
          <w:rFonts w:hint="eastAsia" w:ascii="宋体" w:hAnsi="宋体" w:eastAsia="宋体" w:cs="宋体"/>
          <w:color w:val="auto"/>
          <w:kern w:val="0"/>
          <w:sz w:val="24"/>
          <w:szCs w:val="24"/>
          <w:highlight w:val="none"/>
          <w:lang w:eastAsia="zh-CN" w:bidi="ar"/>
        </w:rPr>
        <w:t>元</w:t>
      </w:r>
      <w:r>
        <w:rPr>
          <w:rFonts w:hint="eastAsia" w:ascii="宋体" w:hAnsi="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eastAsia="zh-CN" w:bidi="ar"/>
        </w:rPr>
        <w:t>同比</w:t>
      </w:r>
      <w:r>
        <w:rPr>
          <w:rFonts w:hint="eastAsia" w:ascii="宋体" w:hAnsi="宋体" w:cs="宋体"/>
          <w:color w:val="auto"/>
          <w:kern w:val="0"/>
          <w:sz w:val="24"/>
          <w:szCs w:val="24"/>
          <w:highlight w:val="none"/>
          <w:lang w:val="en-US" w:eastAsia="zh-CN" w:bidi="ar"/>
        </w:rPr>
        <w:t>减少</w:t>
      </w:r>
      <w:r>
        <w:rPr>
          <w:rFonts w:hint="eastAsia" w:ascii="宋体" w:hAnsi="宋体" w:eastAsia="宋体" w:cs="宋体"/>
          <w:color w:val="auto"/>
          <w:kern w:val="0"/>
          <w:sz w:val="24"/>
          <w:szCs w:val="24"/>
          <w:highlight w:val="none"/>
          <w:lang w:bidi="ar"/>
        </w:rPr>
        <w:t>825</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bidi="ar"/>
        </w:rPr>
        <w:t>655</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bidi="ar"/>
        </w:rPr>
        <w:t>307.97</w:t>
      </w:r>
      <w:r>
        <w:rPr>
          <w:rFonts w:hint="eastAsia" w:ascii="宋体" w:hAnsi="宋体" w:eastAsia="宋体" w:cs="宋体"/>
          <w:color w:val="auto"/>
          <w:kern w:val="0"/>
          <w:sz w:val="24"/>
          <w:szCs w:val="24"/>
          <w:highlight w:val="none"/>
          <w:lang w:eastAsia="zh-CN" w:bidi="ar"/>
        </w:rPr>
        <w:t>元，</w:t>
      </w:r>
      <w:r>
        <w:rPr>
          <w:rFonts w:hint="eastAsia" w:ascii="宋体" w:hAnsi="宋体" w:cs="宋体"/>
          <w:color w:val="auto"/>
          <w:kern w:val="0"/>
          <w:sz w:val="24"/>
          <w:szCs w:val="24"/>
          <w:highlight w:val="none"/>
          <w:lang w:val="en-US" w:eastAsia="zh-CN" w:bidi="ar"/>
        </w:rPr>
        <w:t>降</w:t>
      </w:r>
      <w:r>
        <w:rPr>
          <w:rFonts w:hint="eastAsia" w:ascii="宋体" w:hAnsi="宋体" w:eastAsia="宋体" w:cs="宋体"/>
          <w:color w:val="auto"/>
          <w:kern w:val="0"/>
          <w:sz w:val="24"/>
          <w:szCs w:val="24"/>
          <w:highlight w:val="none"/>
          <w:lang w:eastAsia="zh-CN" w:bidi="ar"/>
        </w:rPr>
        <w:t>幅</w:t>
      </w:r>
      <w:r>
        <w:rPr>
          <w:rFonts w:hint="eastAsia" w:ascii="宋体" w:hAnsi="宋体" w:cs="宋体"/>
          <w:color w:val="auto"/>
          <w:kern w:val="0"/>
          <w:sz w:val="24"/>
          <w:szCs w:val="24"/>
          <w:highlight w:val="none"/>
          <w:lang w:val="en-US" w:eastAsia="zh-CN" w:bidi="ar"/>
        </w:rPr>
        <w:t>15.29%</w:t>
      </w:r>
      <w:r>
        <w:rPr>
          <w:rFonts w:hint="eastAsia" w:ascii="宋体" w:hAnsi="宋体" w:eastAsia="宋体" w:cs="宋体"/>
          <w:color w:val="auto"/>
          <w:kern w:val="0"/>
          <w:sz w:val="24"/>
          <w:szCs w:val="24"/>
          <w:highlight w:val="none"/>
          <w:lang w:val="en-US" w:eastAsia="zh-CN" w:bidi="ar"/>
        </w:rPr>
        <w:t>。变动</w:t>
      </w:r>
      <w:r>
        <w:rPr>
          <w:rFonts w:hint="eastAsia" w:ascii="宋体" w:hAnsi="宋体" w:cs="宋体"/>
          <w:color w:val="auto"/>
          <w:kern w:val="0"/>
          <w:sz w:val="24"/>
          <w:szCs w:val="24"/>
          <w:highlight w:val="none"/>
          <w:lang w:val="en-US" w:eastAsia="zh-CN" w:bidi="ar"/>
        </w:rPr>
        <w:t>的</w:t>
      </w:r>
      <w:r>
        <w:rPr>
          <w:rFonts w:hint="eastAsia" w:ascii="宋体" w:hAnsi="宋体" w:eastAsia="宋体" w:cs="宋体"/>
          <w:color w:val="auto"/>
          <w:kern w:val="0"/>
          <w:sz w:val="24"/>
          <w:szCs w:val="24"/>
          <w:highlight w:val="none"/>
          <w:lang w:val="en-US" w:eastAsia="zh-CN" w:bidi="ar"/>
        </w:rPr>
        <w:t>主要原因：</w:t>
      </w:r>
      <w:r>
        <w:rPr>
          <w:rFonts w:hint="eastAsia" w:ascii="宋体" w:hAnsi="宋体" w:cs="宋体"/>
          <w:color w:val="auto"/>
          <w:kern w:val="0"/>
          <w:sz w:val="24"/>
          <w:szCs w:val="24"/>
          <w:highlight w:val="none"/>
          <w:lang w:val="en-US" w:eastAsia="zh-CN" w:bidi="ar"/>
        </w:rPr>
        <w:t>新能源在建项目陆续并网</w:t>
      </w:r>
      <w:r>
        <w:rPr>
          <w:rFonts w:hint="eastAsia" w:ascii="宋体" w:hAnsi="宋体" w:eastAsia="宋体" w:cs="宋体"/>
          <w:color w:val="auto"/>
          <w:kern w:val="0"/>
          <w:sz w:val="24"/>
          <w:szCs w:val="24"/>
          <w:highlight w:val="none"/>
          <w:lang w:val="en-US" w:eastAsia="zh-CN" w:bidi="ar"/>
        </w:rPr>
        <w:t>。</w:t>
      </w:r>
    </w:p>
    <w:p>
      <w:pPr>
        <w:pStyle w:val="15"/>
        <w:keepNext w:val="0"/>
        <w:keepLines w:val="0"/>
        <w:pageBreakBefore w:val="0"/>
        <w:widowControl/>
        <w:numPr>
          <w:ilvl w:val="0"/>
          <w:numId w:val="7"/>
        </w:numPr>
        <w:kinsoku/>
        <w:wordWrap/>
        <w:overflowPunct/>
        <w:topLinePunct w:val="0"/>
        <w:autoSpaceDE/>
        <w:autoSpaceDN/>
        <w:bidi w:val="0"/>
        <w:adjustRightInd/>
        <w:snapToGrid w:val="0"/>
        <w:spacing w:line="400" w:lineRule="exact"/>
        <w:ind w:left="482"/>
        <w:jc w:val="left"/>
        <w:textAlignment w:val="auto"/>
        <w:rPr>
          <w:rFonts w:hint="default" w:ascii="宋体" w:hAnsi="宋体" w:cs="宋体"/>
          <w:b w:val="0"/>
          <w:color w:val="auto"/>
          <w:sz w:val="24"/>
          <w:szCs w:val="24"/>
          <w:highlight w:val="none"/>
          <w:lang w:val="en-US" w:eastAsia="zh-CN"/>
        </w:rPr>
      </w:pPr>
      <w:r>
        <w:rPr>
          <w:rFonts w:hint="eastAsia" w:ascii="宋体" w:hAnsi="宋体" w:cs="宋体"/>
          <w:b w:val="0"/>
          <w:color w:val="auto"/>
          <w:sz w:val="24"/>
          <w:szCs w:val="24"/>
          <w:highlight w:val="none"/>
          <w:lang w:val="en-US" w:eastAsia="zh-CN"/>
        </w:rPr>
        <w:t>营业情况分析</w:t>
      </w:r>
    </w:p>
    <w:tbl>
      <w:tblPr>
        <w:tblStyle w:val="22"/>
        <w:tblpPr w:leftFromText="180" w:rightFromText="180" w:vertAnchor="text" w:horzAnchor="page" w:tblpX="1782" w:tblpY="478"/>
        <w:tblOverlap w:val="neve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725"/>
        <w:gridCol w:w="1865"/>
        <w:gridCol w:w="943"/>
        <w:gridCol w:w="1800"/>
        <w:gridCol w:w="925"/>
        <w:gridCol w:w="108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1034" w:type="pct"/>
            <w:tcBorders>
              <w:top w:val="nil"/>
              <w:left w:val="nil"/>
              <w:bottom w:val="single" w:color="auto"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auto"/>
                <w:sz w:val="20"/>
                <w:szCs w:val="20"/>
                <w:highlight w:val="none"/>
                <w:u w:val="none"/>
              </w:rPr>
            </w:pPr>
          </w:p>
        </w:tc>
        <w:tc>
          <w:tcPr>
            <w:tcW w:w="1118" w:type="pct"/>
            <w:tcBorders>
              <w:top w:val="nil"/>
              <w:left w:val="nil"/>
              <w:bottom w:val="single" w:color="auto"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auto"/>
                <w:sz w:val="20"/>
                <w:szCs w:val="20"/>
                <w:highlight w:val="none"/>
                <w:u w:val="none"/>
              </w:rPr>
            </w:pPr>
          </w:p>
        </w:tc>
        <w:tc>
          <w:tcPr>
            <w:tcW w:w="565" w:type="pct"/>
            <w:tcBorders>
              <w:top w:val="nil"/>
              <w:left w:val="nil"/>
              <w:bottom w:val="single" w:color="auto"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auto"/>
                <w:sz w:val="20"/>
                <w:szCs w:val="20"/>
                <w:highlight w:val="none"/>
                <w:u w:val="none"/>
              </w:rPr>
            </w:pPr>
          </w:p>
        </w:tc>
        <w:tc>
          <w:tcPr>
            <w:tcW w:w="1079" w:type="pct"/>
            <w:tcBorders>
              <w:top w:val="nil"/>
              <w:left w:val="nil"/>
              <w:bottom w:val="single" w:color="auto"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auto"/>
                <w:sz w:val="20"/>
                <w:szCs w:val="20"/>
                <w:highlight w:val="none"/>
                <w:u w:val="none"/>
              </w:rPr>
            </w:pPr>
          </w:p>
        </w:tc>
        <w:tc>
          <w:tcPr>
            <w:tcW w:w="553" w:type="pct"/>
            <w:tcBorders>
              <w:top w:val="nil"/>
              <w:left w:val="nil"/>
              <w:bottom w:val="single" w:color="auto"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auto"/>
                <w:sz w:val="20"/>
                <w:szCs w:val="20"/>
                <w:highlight w:val="none"/>
                <w:u w:val="none"/>
              </w:rPr>
            </w:pPr>
          </w:p>
        </w:tc>
        <w:tc>
          <w:tcPr>
            <w:tcW w:w="648" w:type="pct"/>
            <w:tcBorders>
              <w:top w:val="nil"/>
              <w:left w:val="nil"/>
              <w:bottom w:val="single" w:color="auto" w:sz="4" w:space="0"/>
              <w:right w:val="nil"/>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单位：元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034"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项目</w:t>
            </w:r>
          </w:p>
        </w:tc>
        <w:tc>
          <w:tcPr>
            <w:tcW w:w="1683"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本期</w:t>
            </w:r>
          </w:p>
        </w:tc>
        <w:tc>
          <w:tcPr>
            <w:tcW w:w="1633"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上年同期</w:t>
            </w:r>
          </w:p>
        </w:tc>
        <w:tc>
          <w:tcPr>
            <w:tcW w:w="648"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增减变动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trPr>
        <w:tc>
          <w:tcPr>
            <w:tcW w:w="103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0"/>
                <w:szCs w:val="20"/>
                <w:highlight w:val="none"/>
                <w:u w:val="none"/>
              </w:rPr>
            </w:pPr>
          </w:p>
        </w:tc>
        <w:tc>
          <w:tcPr>
            <w:tcW w:w="111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金额</w:t>
            </w:r>
          </w:p>
        </w:tc>
        <w:tc>
          <w:tcPr>
            <w:tcW w:w="56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占营业收入的比重%</w:t>
            </w:r>
          </w:p>
        </w:tc>
        <w:tc>
          <w:tcPr>
            <w:tcW w:w="107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金额</w:t>
            </w:r>
          </w:p>
        </w:tc>
        <w:tc>
          <w:tcPr>
            <w:tcW w:w="55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占营业收入的比重%</w:t>
            </w:r>
          </w:p>
        </w:tc>
        <w:tc>
          <w:tcPr>
            <w:tcW w:w="648"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03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both"/>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营业收入</w:t>
            </w:r>
          </w:p>
        </w:tc>
        <w:tc>
          <w:tcPr>
            <w:tcW w:w="111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16,321,005,879.66</w:t>
            </w:r>
          </w:p>
        </w:tc>
        <w:tc>
          <w:tcPr>
            <w:tcW w:w="56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100.00%</w:t>
            </w:r>
          </w:p>
        </w:tc>
        <w:tc>
          <w:tcPr>
            <w:tcW w:w="107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17,221,240,926.74</w:t>
            </w:r>
          </w:p>
        </w:tc>
        <w:tc>
          <w:tcPr>
            <w:tcW w:w="55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100.00%</w:t>
            </w:r>
          </w:p>
        </w:tc>
        <w:tc>
          <w:tcPr>
            <w:tcW w:w="64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03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both"/>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营业成本</w:t>
            </w:r>
          </w:p>
        </w:tc>
        <w:tc>
          <w:tcPr>
            <w:tcW w:w="111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14,784,571,562.56</w:t>
            </w:r>
          </w:p>
        </w:tc>
        <w:tc>
          <w:tcPr>
            <w:tcW w:w="56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90.59%</w:t>
            </w:r>
          </w:p>
        </w:tc>
        <w:tc>
          <w:tcPr>
            <w:tcW w:w="107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14,514,214,513.67</w:t>
            </w:r>
          </w:p>
        </w:tc>
        <w:tc>
          <w:tcPr>
            <w:tcW w:w="55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84.28%</w:t>
            </w:r>
          </w:p>
        </w:tc>
        <w:tc>
          <w:tcPr>
            <w:tcW w:w="64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103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both"/>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毛利率</w:t>
            </w:r>
          </w:p>
        </w:tc>
        <w:tc>
          <w:tcPr>
            <w:tcW w:w="111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9.41%</w:t>
            </w:r>
          </w:p>
        </w:tc>
        <w:tc>
          <w:tcPr>
            <w:tcW w:w="56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0.00%</w:t>
            </w:r>
          </w:p>
        </w:tc>
        <w:tc>
          <w:tcPr>
            <w:tcW w:w="107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15.72%</w:t>
            </w:r>
          </w:p>
        </w:tc>
        <w:tc>
          <w:tcPr>
            <w:tcW w:w="55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0.00%</w:t>
            </w:r>
          </w:p>
        </w:tc>
        <w:tc>
          <w:tcPr>
            <w:tcW w:w="64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103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both"/>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销售费用</w:t>
            </w:r>
          </w:p>
        </w:tc>
        <w:tc>
          <w:tcPr>
            <w:tcW w:w="111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94,656,503.60</w:t>
            </w:r>
          </w:p>
        </w:tc>
        <w:tc>
          <w:tcPr>
            <w:tcW w:w="56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0.58%</w:t>
            </w:r>
          </w:p>
        </w:tc>
        <w:tc>
          <w:tcPr>
            <w:tcW w:w="107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128,454,513.79</w:t>
            </w:r>
          </w:p>
        </w:tc>
        <w:tc>
          <w:tcPr>
            <w:tcW w:w="55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0.75%</w:t>
            </w:r>
          </w:p>
        </w:tc>
        <w:tc>
          <w:tcPr>
            <w:tcW w:w="64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03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both"/>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管理费用</w:t>
            </w:r>
          </w:p>
        </w:tc>
        <w:tc>
          <w:tcPr>
            <w:tcW w:w="111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650,624,212.18</w:t>
            </w:r>
          </w:p>
        </w:tc>
        <w:tc>
          <w:tcPr>
            <w:tcW w:w="56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3.99%</w:t>
            </w:r>
          </w:p>
        </w:tc>
        <w:tc>
          <w:tcPr>
            <w:tcW w:w="107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703,880,076.46</w:t>
            </w:r>
          </w:p>
        </w:tc>
        <w:tc>
          <w:tcPr>
            <w:tcW w:w="55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4.09%</w:t>
            </w:r>
          </w:p>
        </w:tc>
        <w:tc>
          <w:tcPr>
            <w:tcW w:w="64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03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both"/>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研发费用</w:t>
            </w:r>
          </w:p>
        </w:tc>
        <w:tc>
          <w:tcPr>
            <w:tcW w:w="111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129,579,443.34</w:t>
            </w:r>
          </w:p>
        </w:tc>
        <w:tc>
          <w:tcPr>
            <w:tcW w:w="56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0.79%</w:t>
            </w:r>
          </w:p>
        </w:tc>
        <w:tc>
          <w:tcPr>
            <w:tcW w:w="107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285,646,093.45</w:t>
            </w:r>
          </w:p>
        </w:tc>
        <w:tc>
          <w:tcPr>
            <w:tcW w:w="55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1.66%</w:t>
            </w:r>
          </w:p>
        </w:tc>
        <w:tc>
          <w:tcPr>
            <w:tcW w:w="64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-54.64%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03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both"/>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财务费用</w:t>
            </w:r>
          </w:p>
        </w:tc>
        <w:tc>
          <w:tcPr>
            <w:tcW w:w="111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1,535,209,467.94</w:t>
            </w:r>
          </w:p>
        </w:tc>
        <w:tc>
          <w:tcPr>
            <w:tcW w:w="56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9.41%</w:t>
            </w:r>
          </w:p>
        </w:tc>
        <w:tc>
          <w:tcPr>
            <w:tcW w:w="107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1,695,369,528.27</w:t>
            </w:r>
          </w:p>
        </w:tc>
        <w:tc>
          <w:tcPr>
            <w:tcW w:w="55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9.84%</w:t>
            </w:r>
          </w:p>
        </w:tc>
        <w:tc>
          <w:tcPr>
            <w:tcW w:w="64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03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both"/>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信用减值损失</w:t>
            </w:r>
          </w:p>
        </w:tc>
        <w:tc>
          <w:tcPr>
            <w:tcW w:w="111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-12,183,109.32</w:t>
            </w:r>
          </w:p>
        </w:tc>
        <w:tc>
          <w:tcPr>
            <w:tcW w:w="56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-0.07%</w:t>
            </w:r>
          </w:p>
        </w:tc>
        <w:tc>
          <w:tcPr>
            <w:tcW w:w="107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1,163,625,490.25</w:t>
            </w:r>
          </w:p>
        </w:tc>
        <w:tc>
          <w:tcPr>
            <w:tcW w:w="55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6.76%</w:t>
            </w:r>
          </w:p>
        </w:tc>
        <w:tc>
          <w:tcPr>
            <w:tcW w:w="64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-101.05%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103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both"/>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资产减值损失</w:t>
            </w:r>
          </w:p>
        </w:tc>
        <w:tc>
          <w:tcPr>
            <w:tcW w:w="111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-502,902,323.36</w:t>
            </w:r>
          </w:p>
        </w:tc>
        <w:tc>
          <w:tcPr>
            <w:tcW w:w="56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-3.08%</w:t>
            </w:r>
          </w:p>
        </w:tc>
        <w:tc>
          <w:tcPr>
            <w:tcW w:w="107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-3,498,021,961.79</w:t>
            </w:r>
          </w:p>
        </w:tc>
        <w:tc>
          <w:tcPr>
            <w:tcW w:w="55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-20.31%</w:t>
            </w:r>
          </w:p>
        </w:tc>
        <w:tc>
          <w:tcPr>
            <w:tcW w:w="64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-85.62%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103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both"/>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其他收益</w:t>
            </w:r>
          </w:p>
        </w:tc>
        <w:tc>
          <w:tcPr>
            <w:tcW w:w="111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86,415,816.01</w:t>
            </w:r>
          </w:p>
        </w:tc>
        <w:tc>
          <w:tcPr>
            <w:tcW w:w="56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0.53%</w:t>
            </w:r>
          </w:p>
        </w:tc>
        <w:tc>
          <w:tcPr>
            <w:tcW w:w="107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246,081,713.17</w:t>
            </w:r>
          </w:p>
        </w:tc>
        <w:tc>
          <w:tcPr>
            <w:tcW w:w="55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1.43%</w:t>
            </w:r>
          </w:p>
        </w:tc>
        <w:tc>
          <w:tcPr>
            <w:tcW w:w="64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-64.88%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03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both"/>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投资收益</w:t>
            </w:r>
          </w:p>
        </w:tc>
        <w:tc>
          <w:tcPr>
            <w:tcW w:w="111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1,813,604,233.62</w:t>
            </w:r>
          </w:p>
        </w:tc>
        <w:tc>
          <w:tcPr>
            <w:tcW w:w="56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11.11%</w:t>
            </w:r>
          </w:p>
        </w:tc>
        <w:tc>
          <w:tcPr>
            <w:tcW w:w="107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657,804,783.43</w:t>
            </w:r>
          </w:p>
        </w:tc>
        <w:tc>
          <w:tcPr>
            <w:tcW w:w="55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3.82%</w:t>
            </w:r>
          </w:p>
        </w:tc>
        <w:tc>
          <w:tcPr>
            <w:tcW w:w="64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175.71%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03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公允价值变动收益</w:t>
            </w:r>
          </w:p>
        </w:tc>
        <w:tc>
          <w:tcPr>
            <w:tcW w:w="111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-24,724,161.36</w:t>
            </w:r>
          </w:p>
        </w:tc>
        <w:tc>
          <w:tcPr>
            <w:tcW w:w="56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-0.15%</w:t>
            </w:r>
          </w:p>
        </w:tc>
        <w:tc>
          <w:tcPr>
            <w:tcW w:w="107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-16,471,236.91</w:t>
            </w:r>
          </w:p>
        </w:tc>
        <w:tc>
          <w:tcPr>
            <w:tcW w:w="55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-0.10%</w:t>
            </w:r>
          </w:p>
        </w:tc>
        <w:tc>
          <w:tcPr>
            <w:tcW w:w="64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03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both"/>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资产处置收益</w:t>
            </w:r>
          </w:p>
        </w:tc>
        <w:tc>
          <w:tcPr>
            <w:tcW w:w="111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130,879,954.49</w:t>
            </w:r>
          </w:p>
        </w:tc>
        <w:tc>
          <w:tcPr>
            <w:tcW w:w="56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0.80%</w:t>
            </w:r>
          </w:p>
        </w:tc>
        <w:tc>
          <w:tcPr>
            <w:tcW w:w="107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161,133,607.26</w:t>
            </w:r>
          </w:p>
        </w:tc>
        <w:tc>
          <w:tcPr>
            <w:tcW w:w="55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0.94%</w:t>
            </w:r>
          </w:p>
        </w:tc>
        <w:tc>
          <w:tcPr>
            <w:tcW w:w="64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-18.78%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103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both"/>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汇兑收益</w:t>
            </w:r>
          </w:p>
        </w:tc>
        <w:tc>
          <w:tcPr>
            <w:tcW w:w="111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w:t>
            </w:r>
          </w:p>
        </w:tc>
        <w:tc>
          <w:tcPr>
            <w:tcW w:w="56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w:t>
            </w:r>
          </w:p>
        </w:tc>
        <w:tc>
          <w:tcPr>
            <w:tcW w:w="107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w:t>
            </w:r>
          </w:p>
        </w:tc>
        <w:tc>
          <w:tcPr>
            <w:tcW w:w="55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w:t>
            </w:r>
          </w:p>
        </w:tc>
        <w:tc>
          <w:tcPr>
            <w:tcW w:w="64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03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both"/>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营业利润</w:t>
            </w:r>
          </w:p>
        </w:tc>
        <w:tc>
          <w:tcPr>
            <w:tcW w:w="111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405,339,170.12</w:t>
            </w:r>
          </w:p>
        </w:tc>
        <w:tc>
          <w:tcPr>
            <w:tcW w:w="56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2.48%</w:t>
            </w:r>
          </w:p>
        </w:tc>
        <w:tc>
          <w:tcPr>
            <w:tcW w:w="107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-1,602,410,001.80</w:t>
            </w:r>
          </w:p>
        </w:tc>
        <w:tc>
          <w:tcPr>
            <w:tcW w:w="55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-9.30%</w:t>
            </w:r>
          </w:p>
        </w:tc>
        <w:tc>
          <w:tcPr>
            <w:tcW w:w="64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-125.30%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03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both"/>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营业外收入</w:t>
            </w:r>
          </w:p>
        </w:tc>
        <w:tc>
          <w:tcPr>
            <w:tcW w:w="111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55,977,443.16</w:t>
            </w:r>
          </w:p>
        </w:tc>
        <w:tc>
          <w:tcPr>
            <w:tcW w:w="56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0.34%</w:t>
            </w:r>
          </w:p>
        </w:tc>
        <w:tc>
          <w:tcPr>
            <w:tcW w:w="107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24,054,067.13</w:t>
            </w:r>
          </w:p>
        </w:tc>
        <w:tc>
          <w:tcPr>
            <w:tcW w:w="55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0.14%</w:t>
            </w:r>
          </w:p>
        </w:tc>
        <w:tc>
          <w:tcPr>
            <w:tcW w:w="64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132.72%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103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both"/>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营业外支出</w:t>
            </w:r>
          </w:p>
        </w:tc>
        <w:tc>
          <w:tcPr>
            <w:tcW w:w="111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251,642,589.40</w:t>
            </w:r>
          </w:p>
        </w:tc>
        <w:tc>
          <w:tcPr>
            <w:tcW w:w="56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1.54%</w:t>
            </w:r>
          </w:p>
        </w:tc>
        <w:tc>
          <w:tcPr>
            <w:tcW w:w="107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140,086,772.31</w:t>
            </w:r>
          </w:p>
        </w:tc>
        <w:tc>
          <w:tcPr>
            <w:tcW w:w="55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0.81%</w:t>
            </w:r>
          </w:p>
        </w:tc>
        <w:tc>
          <w:tcPr>
            <w:tcW w:w="64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79.63%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103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both"/>
              <w:textAlignment w:val="top"/>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净利润</w:t>
            </w:r>
          </w:p>
        </w:tc>
        <w:tc>
          <w:tcPr>
            <w:tcW w:w="111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70,098,978.14</w:t>
            </w:r>
          </w:p>
        </w:tc>
        <w:tc>
          <w:tcPr>
            <w:tcW w:w="56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0.43%</w:t>
            </w:r>
          </w:p>
        </w:tc>
        <w:tc>
          <w:tcPr>
            <w:tcW w:w="107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-1,894,699,948.82</w:t>
            </w:r>
          </w:p>
        </w:tc>
        <w:tc>
          <w:tcPr>
            <w:tcW w:w="55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-11.00%</w:t>
            </w:r>
          </w:p>
        </w:tc>
        <w:tc>
          <w:tcPr>
            <w:tcW w:w="64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103.70%</w:t>
            </w:r>
          </w:p>
        </w:tc>
      </w:tr>
    </w:tbl>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(1)利润构成</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bCs/>
          <w:color w:val="auto"/>
          <w:sz w:val="24"/>
          <w:szCs w:val="24"/>
          <w:highlight w:val="none"/>
          <w:lang w:val="en-US" w:eastAsia="zh-CN"/>
        </w:rPr>
      </w:pPr>
      <w:r>
        <w:rPr>
          <w:rFonts w:hint="eastAsia" w:ascii="宋体" w:hAnsi="宋体" w:cs="宋体"/>
          <w:bCs/>
          <w:color w:val="auto"/>
          <w:sz w:val="24"/>
          <w:szCs w:val="24"/>
          <w:highlight w:val="none"/>
        </w:rPr>
        <w:t>项目重大变动原因：</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firstLine="480" w:firstLineChars="200"/>
        <w:textAlignment w:val="auto"/>
        <w:rPr>
          <w:rFonts w:hint="eastAsia" w:ascii="宋体" w:hAnsi="宋体" w:eastAsia="宋体" w:cs="宋体"/>
          <w:color w:val="auto"/>
          <w:kern w:val="0"/>
          <w:sz w:val="24"/>
          <w:szCs w:val="24"/>
          <w:highlight w:val="none"/>
          <w:lang w:eastAsia="zh-CN" w:bidi="ar"/>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 1 \* GB3 \* MERGEFORMAT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color w:val="auto"/>
          <w:sz w:val="24"/>
          <w:szCs w:val="24"/>
          <w:highlight w:val="none"/>
        </w:rPr>
        <w:t>①</w:t>
      </w:r>
      <w:r>
        <w:rPr>
          <w:rFonts w:hint="eastAsia" w:ascii="宋体" w:hAnsi="宋体" w:eastAsia="宋体" w:cs="宋体"/>
          <w:bCs/>
          <w:color w:val="auto"/>
          <w:sz w:val="24"/>
          <w:szCs w:val="24"/>
          <w:highlight w:val="none"/>
        </w:rPr>
        <w:fldChar w:fldCharType="end"/>
      </w:r>
      <w:r>
        <w:rPr>
          <w:rFonts w:hint="eastAsia" w:ascii="宋体" w:hAnsi="宋体" w:eastAsia="宋体" w:cs="宋体"/>
          <w:color w:val="auto"/>
          <w:kern w:val="0"/>
          <w:sz w:val="24"/>
          <w:szCs w:val="24"/>
          <w:highlight w:val="none"/>
          <w:lang w:eastAsia="zh-CN" w:bidi="ar"/>
        </w:rPr>
        <w:t>营业成本</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kern w:val="0"/>
          <w:sz w:val="24"/>
          <w:highlight w:val="none"/>
          <w:u w:val="none"/>
          <w:lang w:val="en-US" w:eastAsia="zh-CN" w:bidi="ar"/>
        </w:rPr>
      </w:pPr>
      <w:r>
        <w:rPr>
          <w:rFonts w:hint="eastAsia" w:ascii="宋体" w:hAnsi="宋体" w:eastAsia="宋体" w:cs="宋体"/>
          <w:color w:val="auto"/>
          <w:kern w:val="0"/>
          <w:sz w:val="24"/>
          <w:szCs w:val="24"/>
          <w:highlight w:val="none"/>
          <w:lang w:eastAsia="zh-CN" w:bidi="ar"/>
        </w:rPr>
        <w:t>公司</w:t>
      </w:r>
      <w:r>
        <w:rPr>
          <w:rFonts w:hint="eastAsia" w:ascii="宋体" w:hAnsi="宋体" w:eastAsia="宋体" w:cs="宋体"/>
          <w:color w:val="auto"/>
          <w:kern w:val="0"/>
          <w:sz w:val="24"/>
          <w:szCs w:val="24"/>
          <w:highlight w:val="none"/>
          <w:lang w:val="en-US" w:eastAsia="zh-CN" w:bidi="ar"/>
        </w:rPr>
        <w:t>202</w:t>
      </w:r>
      <w:r>
        <w:rPr>
          <w:rFonts w:hint="eastAsia" w:ascii="宋体" w:hAnsi="宋体" w:cs="宋体"/>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val="en-US" w:eastAsia="zh-CN" w:bidi="ar"/>
        </w:rPr>
        <w:t>年营业成本</w:t>
      </w:r>
      <w:r>
        <w:rPr>
          <w:rFonts w:hint="eastAsia" w:ascii="宋体" w:hAnsi="宋体" w:eastAsia="宋体" w:cs="宋体"/>
          <w:i w:val="0"/>
          <w:iCs w:val="0"/>
          <w:color w:val="auto"/>
          <w:kern w:val="0"/>
          <w:sz w:val="24"/>
          <w:szCs w:val="24"/>
          <w:highlight w:val="none"/>
          <w:u w:val="none"/>
          <w:lang w:val="en-US" w:eastAsia="zh-CN" w:bidi="ar"/>
        </w:rPr>
        <w:t>14,784,571,562.56</w:t>
      </w:r>
      <w:r>
        <w:rPr>
          <w:rFonts w:hint="eastAsia" w:ascii="宋体" w:hAnsi="宋体" w:eastAsia="宋体" w:cs="宋体"/>
          <w:color w:val="auto"/>
          <w:kern w:val="0"/>
          <w:sz w:val="24"/>
          <w:szCs w:val="24"/>
          <w:highlight w:val="none"/>
          <w:lang w:eastAsia="zh-CN" w:bidi="ar"/>
        </w:rPr>
        <w:t>元，同比</w:t>
      </w:r>
      <w:r>
        <w:rPr>
          <w:rFonts w:hint="eastAsia" w:ascii="宋体" w:hAnsi="宋体" w:cs="宋体"/>
          <w:color w:val="auto"/>
          <w:kern w:val="0"/>
          <w:sz w:val="24"/>
          <w:szCs w:val="24"/>
          <w:highlight w:val="none"/>
          <w:lang w:val="en-US" w:eastAsia="zh-CN" w:bidi="ar"/>
        </w:rPr>
        <w:t>增加</w:t>
      </w:r>
      <w:r>
        <w:rPr>
          <w:rFonts w:hint="eastAsia" w:ascii="宋体" w:hAnsi="宋体" w:eastAsia="宋体" w:cs="宋体"/>
          <w:color w:val="auto"/>
          <w:kern w:val="0"/>
          <w:sz w:val="24"/>
          <w:szCs w:val="24"/>
          <w:highlight w:val="none"/>
          <w:lang w:val="en-US" w:eastAsia="zh-CN" w:bidi="ar"/>
        </w:rPr>
        <w:t>270</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357</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048.89元，</w:t>
      </w:r>
      <w:r>
        <w:rPr>
          <w:rFonts w:hint="eastAsia" w:ascii="宋体" w:hAnsi="宋体" w:cs="宋体"/>
          <w:color w:val="auto"/>
          <w:kern w:val="0"/>
          <w:sz w:val="24"/>
          <w:szCs w:val="24"/>
          <w:highlight w:val="none"/>
          <w:lang w:val="en-US" w:eastAsia="zh-CN" w:bidi="ar"/>
        </w:rPr>
        <w:t>增</w:t>
      </w:r>
      <w:r>
        <w:rPr>
          <w:rFonts w:hint="eastAsia" w:ascii="宋体" w:hAnsi="宋体" w:eastAsia="宋体" w:cs="宋体"/>
          <w:color w:val="auto"/>
          <w:kern w:val="0"/>
          <w:sz w:val="24"/>
          <w:szCs w:val="24"/>
          <w:highlight w:val="none"/>
          <w:lang w:val="en-US" w:eastAsia="zh-CN" w:bidi="ar"/>
        </w:rPr>
        <w:t>幅</w:t>
      </w:r>
      <w:r>
        <w:rPr>
          <w:rFonts w:hint="eastAsia" w:ascii="宋体" w:hAnsi="宋体" w:cs="宋体"/>
          <w:color w:val="auto"/>
          <w:kern w:val="0"/>
          <w:sz w:val="24"/>
          <w:szCs w:val="24"/>
          <w:highlight w:val="none"/>
          <w:lang w:val="en-US" w:eastAsia="zh-CN" w:bidi="ar"/>
        </w:rPr>
        <w:t>1.86</w:t>
      </w:r>
      <w:r>
        <w:rPr>
          <w:rFonts w:hint="eastAsia" w:ascii="宋体" w:hAnsi="宋体" w:eastAsia="宋体" w:cs="宋体"/>
          <w:color w:val="auto"/>
          <w:kern w:val="0"/>
          <w:sz w:val="24"/>
          <w:szCs w:val="24"/>
          <w:highlight w:val="none"/>
          <w:lang w:val="en-US" w:eastAsia="zh-CN" w:bidi="ar"/>
        </w:rPr>
        <w:t>%。变动的主要原因：</w:t>
      </w:r>
      <w:r>
        <w:rPr>
          <w:rFonts w:hint="eastAsia" w:ascii="宋体" w:hAnsi="宋体" w:eastAsia="宋体" w:cs="宋体"/>
          <w:b w:val="0"/>
          <w:bCs w:val="0"/>
          <w:color w:val="auto"/>
          <w:kern w:val="0"/>
          <w:sz w:val="24"/>
          <w:szCs w:val="24"/>
          <w:highlight w:val="none"/>
          <w:u w:val="none"/>
          <w:lang w:val="en-US" w:eastAsia="zh-CN" w:bidi="ar"/>
        </w:rPr>
        <w:t>贵州能源对能发燃料公司定向增发，在控股权转让过程中，合作双方对涉及会计估计差异及前期煤炭销售热值差异进行调整，</w:t>
      </w:r>
      <w:r>
        <w:rPr>
          <w:rFonts w:hint="eastAsia" w:ascii="宋体" w:hAnsi="宋体" w:eastAsia="宋体" w:cs="宋体"/>
          <w:color w:val="auto"/>
          <w:kern w:val="0"/>
          <w:sz w:val="24"/>
          <w:szCs w:val="24"/>
          <w:highlight w:val="none"/>
          <w:u w:val="none"/>
          <w:lang w:val="en-US" w:eastAsia="zh-CN" w:bidi="ar"/>
        </w:rPr>
        <w:t>营业成本同比增加。</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fldChar w:fldCharType="begin"/>
      </w:r>
      <w:r>
        <w:rPr>
          <w:rFonts w:hint="eastAsia" w:ascii="宋体" w:hAnsi="宋体" w:eastAsia="宋体" w:cs="宋体"/>
          <w:color w:val="auto"/>
          <w:kern w:val="0"/>
          <w:sz w:val="24"/>
          <w:szCs w:val="24"/>
          <w:highlight w:val="none"/>
          <w:lang w:bidi="ar"/>
        </w:rPr>
        <w:instrText xml:space="preserve"> = 2 \* GB3 \* MERGEFORMAT </w:instrText>
      </w:r>
      <w:r>
        <w:rPr>
          <w:rFonts w:hint="eastAsia" w:ascii="宋体" w:hAnsi="宋体" w:eastAsia="宋体" w:cs="宋体"/>
          <w:color w:val="auto"/>
          <w:kern w:val="0"/>
          <w:sz w:val="24"/>
          <w:szCs w:val="24"/>
          <w:highlight w:val="none"/>
          <w:lang w:bidi="ar"/>
        </w:rPr>
        <w:fldChar w:fldCharType="separate"/>
      </w:r>
      <w:r>
        <w:rPr>
          <w:rFonts w:hint="eastAsia" w:ascii="宋体" w:hAnsi="宋体" w:eastAsia="宋体" w:cs="宋体"/>
          <w:color w:val="auto"/>
          <w:kern w:val="0"/>
          <w:sz w:val="24"/>
          <w:szCs w:val="24"/>
          <w:highlight w:val="none"/>
          <w:lang w:bidi="ar"/>
        </w:rPr>
        <w:t>②</w:t>
      </w:r>
      <w:r>
        <w:rPr>
          <w:rFonts w:hint="eastAsia" w:ascii="宋体" w:hAnsi="宋体" w:eastAsia="宋体" w:cs="宋体"/>
          <w:color w:val="auto"/>
          <w:kern w:val="0"/>
          <w:sz w:val="24"/>
          <w:szCs w:val="24"/>
          <w:highlight w:val="none"/>
          <w:lang w:bidi="ar"/>
        </w:rPr>
        <w:fldChar w:fldCharType="end"/>
      </w:r>
      <w:r>
        <w:rPr>
          <w:rFonts w:hint="eastAsia" w:ascii="宋体" w:hAnsi="宋体" w:eastAsia="宋体" w:cs="宋体"/>
          <w:color w:val="auto"/>
          <w:kern w:val="0"/>
          <w:sz w:val="24"/>
          <w:szCs w:val="24"/>
          <w:highlight w:val="none"/>
          <w:lang w:val="en-US" w:eastAsia="zh-CN" w:bidi="ar"/>
        </w:rPr>
        <w:t>销售费用</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color w:val="auto"/>
          <w:highlight w:val="none"/>
          <w:lang w:val="en-US"/>
        </w:rPr>
      </w:pPr>
      <w:r>
        <w:rPr>
          <w:rFonts w:hint="eastAsia" w:ascii="宋体" w:hAnsi="宋体" w:eastAsia="宋体" w:cs="宋体"/>
          <w:color w:val="auto"/>
          <w:kern w:val="0"/>
          <w:sz w:val="24"/>
          <w:szCs w:val="24"/>
          <w:highlight w:val="none"/>
          <w:lang w:val="en-US" w:eastAsia="zh-CN" w:bidi="ar"/>
        </w:rPr>
        <w:t>公司202</w:t>
      </w:r>
      <w:r>
        <w:rPr>
          <w:rFonts w:hint="eastAsia" w:ascii="宋体" w:hAnsi="宋体" w:cs="宋体"/>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val="en-US" w:eastAsia="zh-CN" w:bidi="ar"/>
        </w:rPr>
        <w:t>年销售费用</w:t>
      </w:r>
      <w:r>
        <w:rPr>
          <w:rFonts w:hint="eastAsia" w:ascii="宋体" w:hAnsi="宋体" w:eastAsia="宋体" w:cs="宋体"/>
          <w:i w:val="0"/>
          <w:iCs w:val="0"/>
          <w:color w:val="auto"/>
          <w:kern w:val="0"/>
          <w:sz w:val="24"/>
          <w:szCs w:val="24"/>
          <w:highlight w:val="none"/>
          <w:u w:val="none"/>
          <w:lang w:val="en-US" w:eastAsia="zh-CN" w:bidi="ar"/>
        </w:rPr>
        <w:t>94,656,503.60</w:t>
      </w:r>
      <w:r>
        <w:rPr>
          <w:rFonts w:hint="eastAsia" w:ascii="宋体" w:hAnsi="宋体" w:eastAsia="宋体" w:cs="宋体"/>
          <w:color w:val="auto"/>
          <w:kern w:val="0"/>
          <w:sz w:val="24"/>
          <w:szCs w:val="24"/>
          <w:highlight w:val="none"/>
          <w:lang w:eastAsia="zh-CN" w:bidi="ar"/>
        </w:rPr>
        <w:t>元，同比</w:t>
      </w:r>
      <w:r>
        <w:rPr>
          <w:rFonts w:hint="eastAsia" w:ascii="宋体" w:hAnsi="宋体" w:cs="宋体"/>
          <w:color w:val="auto"/>
          <w:kern w:val="0"/>
          <w:sz w:val="24"/>
          <w:szCs w:val="24"/>
          <w:highlight w:val="none"/>
          <w:lang w:val="en-US" w:eastAsia="zh-CN" w:bidi="ar"/>
        </w:rPr>
        <w:t>减少33,798,010.19</w:t>
      </w:r>
      <w:r>
        <w:rPr>
          <w:rFonts w:hint="eastAsia" w:ascii="宋体" w:hAnsi="宋体" w:eastAsia="宋体" w:cs="宋体"/>
          <w:color w:val="auto"/>
          <w:kern w:val="0"/>
          <w:sz w:val="24"/>
          <w:szCs w:val="24"/>
          <w:highlight w:val="none"/>
          <w:lang w:eastAsia="zh-CN" w:bidi="ar"/>
        </w:rPr>
        <w:t>元，</w:t>
      </w:r>
      <w:r>
        <w:rPr>
          <w:rFonts w:hint="eastAsia" w:ascii="宋体" w:hAnsi="宋体" w:cs="宋体"/>
          <w:color w:val="auto"/>
          <w:kern w:val="0"/>
          <w:sz w:val="24"/>
          <w:szCs w:val="24"/>
          <w:highlight w:val="none"/>
          <w:lang w:val="en-US" w:eastAsia="zh-CN" w:bidi="ar"/>
        </w:rPr>
        <w:t>降</w:t>
      </w:r>
      <w:r>
        <w:rPr>
          <w:rFonts w:hint="eastAsia" w:ascii="宋体" w:hAnsi="宋体" w:eastAsia="宋体" w:cs="宋体"/>
          <w:color w:val="auto"/>
          <w:kern w:val="0"/>
          <w:sz w:val="24"/>
          <w:szCs w:val="24"/>
          <w:highlight w:val="none"/>
          <w:lang w:eastAsia="zh-CN" w:bidi="ar"/>
        </w:rPr>
        <w:t>幅</w:t>
      </w:r>
      <w:r>
        <w:rPr>
          <w:rFonts w:hint="eastAsia" w:ascii="宋体" w:hAnsi="宋体" w:cs="宋体"/>
          <w:color w:val="auto"/>
          <w:kern w:val="0"/>
          <w:sz w:val="24"/>
          <w:szCs w:val="24"/>
          <w:highlight w:val="none"/>
          <w:lang w:val="en-US" w:eastAsia="zh-CN" w:bidi="ar"/>
        </w:rPr>
        <w:t>26.31%</w:t>
      </w:r>
      <w:r>
        <w:rPr>
          <w:rFonts w:hint="eastAsia" w:ascii="宋体" w:hAnsi="宋体" w:eastAsia="宋体" w:cs="宋体"/>
          <w:color w:val="auto"/>
          <w:kern w:val="0"/>
          <w:sz w:val="24"/>
          <w:szCs w:val="24"/>
          <w:highlight w:val="none"/>
          <w:lang w:val="en-US" w:eastAsia="zh-CN" w:bidi="ar"/>
        </w:rPr>
        <w:t>。变动的主要原因：202</w:t>
      </w:r>
      <w:r>
        <w:rPr>
          <w:rFonts w:hint="eastAsia" w:ascii="宋体" w:hAnsi="宋体" w:cs="宋体"/>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val="en-US" w:eastAsia="zh-CN" w:bidi="ar"/>
        </w:rPr>
        <w:t>年</w:t>
      </w:r>
      <w:r>
        <w:rPr>
          <w:rFonts w:hint="eastAsia" w:ascii="宋体" w:hAnsi="宋体" w:cs="宋体"/>
          <w:color w:val="auto"/>
          <w:kern w:val="0"/>
          <w:sz w:val="24"/>
          <w:szCs w:val="24"/>
          <w:highlight w:val="none"/>
          <w:lang w:val="en-US" w:eastAsia="zh-CN" w:bidi="ar"/>
        </w:rPr>
        <w:t>煤炭板块产量下降导致销售费用减少</w:t>
      </w:r>
      <w:r>
        <w:rPr>
          <w:rFonts w:hint="eastAsia" w:ascii="宋体" w:hAnsi="宋体" w:eastAsia="宋体" w:cs="宋体"/>
          <w:color w:val="auto"/>
          <w:kern w:val="0"/>
          <w:sz w:val="24"/>
          <w:szCs w:val="24"/>
          <w:highlight w:val="none"/>
          <w:lang w:val="en-US" w:eastAsia="zh-CN" w:bidi="ar"/>
        </w:rPr>
        <w:t>。</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③</w:t>
      </w:r>
      <w:r>
        <w:rPr>
          <w:rFonts w:hint="eastAsia" w:ascii="宋体" w:hAnsi="宋体" w:eastAsia="宋体" w:cs="宋体"/>
          <w:color w:val="auto"/>
          <w:kern w:val="0"/>
          <w:sz w:val="24"/>
          <w:szCs w:val="24"/>
          <w:highlight w:val="none"/>
          <w:lang w:val="en-US" w:eastAsia="zh-CN" w:bidi="ar"/>
        </w:rPr>
        <w:t>研发费用</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val="en-US" w:eastAsia="zh-CN" w:bidi="ar"/>
        </w:rPr>
        <w:t>公司202</w:t>
      </w:r>
      <w:r>
        <w:rPr>
          <w:rFonts w:hint="eastAsia" w:ascii="宋体" w:hAnsi="宋体" w:cs="宋体"/>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val="en-US" w:eastAsia="zh-CN" w:bidi="ar"/>
        </w:rPr>
        <w:t>年研发费用</w:t>
      </w:r>
      <w:r>
        <w:rPr>
          <w:rFonts w:hint="eastAsia" w:ascii="宋体" w:hAnsi="宋体" w:eastAsia="宋体" w:cs="宋体"/>
          <w:i w:val="0"/>
          <w:iCs w:val="0"/>
          <w:color w:val="auto"/>
          <w:kern w:val="0"/>
          <w:sz w:val="24"/>
          <w:szCs w:val="24"/>
          <w:highlight w:val="none"/>
          <w:u w:val="none"/>
          <w:lang w:val="en-US" w:eastAsia="zh-CN" w:bidi="ar"/>
        </w:rPr>
        <w:t>129,579,443.34</w:t>
      </w:r>
      <w:r>
        <w:rPr>
          <w:rFonts w:hint="eastAsia" w:ascii="宋体" w:hAnsi="宋体" w:eastAsia="宋体" w:cs="宋体"/>
          <w:color w:val="auto"/>
          <w:kern w:val="0"/>
          <w:sz w:val="24"/>
          <w:szCs w:val="24"/>
          <w:highlight w:val="none"/>
          <w:lang w:eastAsia="zh-CN" w:bidi="ar"/>
        </w:rPr>
        <w:t>元，同比</w:t>
      </w:r>
      <w:r>
        <w:rPr>
          <w:rFonts w:hint="eastAsia" w:ascii="宋体" w:hAnsi="宋体" w:cs="宋体"/>
          <w:color w:val="auto"/>
          <w:kern w:val="0"/>
          <w:sz w:val="24"/>
          <w:szCs w:val="24"/>
          <w:highlight w:val="none"/>
          <w:lang w:val="en-US" w:eastAsia="zh-CN" w:bidi="ar"/>
        </w:rPr>
        <w:t>减少</w:t>
      </w:r>
      <w:r>
        <w:rPr>
          <w:rFonts w:hint="eastAsia" w:ascii="宋体" w:hAnsi="宋体" w:eastAsia="宋体" w:cs="宋体"/>
          <w:color w:val="auto"/>
          <w:kern w:val="0"/>
          <w:sz w:val="24"/>
          <w:szCs w:val="24"/>
          <w:highlight w:val="none"/>
          <w:lang w:bidi="ar"/>
        </w:rPr>
        <w:t>156</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bidi="ar"/>
        </w:rPr>
        <w:t>066</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bidi="ar"/>
        </w:rPr>
        <w:t>650.11</w:t>
      </w:r>
      <w:r>
        <w:rPr>
          <w:rFonts w:hint="eastAsia" w:ascii="宋体" w:hAnsi="宋体" w:eastAsia="宋体" w:cs="宋体"/>
          <w:color w:val="auto"/>
          <w:kern w:val="0"/>
          <w:sz w:val="24"/>
          <w:szCs w:val="24"/>
          <w:highlight w:val="none"/>
          <w:lang w:eastAsia="zh-CN" w:bidi="ar"/>
        </w:rPr>
        <w:t>元，</w:t>
      </w:r>
      <w:r>
        <w:rPr>
          <w:rFonts w:hint="eastAsia" w:ascii="宋体" w:hAnsi="宋体" w:cs="宋体"/>
          <w:color w:val="auto"/>
          <w:kern w:val="0"/>
          <w:sz w:val="24"/>
          <w:szCs w:val="24"/>
          <w:highlight w:val="none"/>
          <w:lang w:val="en-US" w:eastAsia="zh-CN" w:bidi="ar"/>
        </w:rPr>
        <w:t>降</w:t>
      </w:r>
      <w:r>
        <w:rPr>
          <w:rFonts w:hint="eastAsia" w:ascii="宋体" w:hAnsi="宋体" w:eastAsia="宋体" w:cs="宋体"/>
          <w:color w:val="auto"/>
          <w:kern w:val="0"/>
          <w:sz w:val="24"/>
          <w:szCs w:val="24"/>
          <w:highlight w:val="none"/>
          <w:lang w:eastAsia="zh-CN" w:bidi="ar"/>
        </w:rPr>
        <w:t>幅</w:t>
      </w:r>
      <w:r>
        <w:rPr>
          <w:rFonts w:hint="eastAsia" w:ascii="宋体" w:hAnsi="宋体" w:cs="宋体"/>
          <w:color w:val="auto"/>
          <w:kern w:val="0"/>
          <w:sz w:val="24"/>
          <w:szCs w:val="24"/>
          <w:highlight w:val="none"/>
          <w:lang w:val="en-US" w:eastAsia="zh-CN" w:bidi="ar"/>
        </w:rPr>
        <w:t>54.64</w:t>
      </w:r>
      <w:r>
        <w:rPr>
          <w:rFonts w:hint="eastAsia" w:ascii="宋体" w:hAnsi="宋体" w:eastAsia="宋体" w:cs="宋体"/>
          <w:color w:val="auto"/>
          <w:kern w:val="0"/>
          <w:sz w:val="24"/>
          <w:szCs w:val="24"/>
          <w:highlight w:val="none"/>
          <w:lang w:val="en-US" w:eastAsia="zh-CN" w:bidi="ar"/>
        </w:rPr>
        <w:t>%。变动的主要原因：202</w:t>
      </w:r>
      <w:r>
        <w:rPr>
          <w:rFonts w:hint="eastAsia" w:ascii="宋体" w:hAnsi="宋体" w:cs="宋体"/>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val="en-US" w:eastAsia="zh-CN" w:bidi="ar"/>
        </w:rPr>
        <w:t>年费用</w:t>
      </w:r>
      <w:r>
        <w:rPr>
          <w:rFonts w:hint="eastAsia" w:ascii="宋体" w:hAnsi="宋体" w:cs="宋体"/>
          <w:color w:val="auto"/>
          <w:kern w:val="0"/>
          <w:sz w:val="24"/>
          <w:szCs w:val="24"/>
          <w:highlight w:val="none"/>
          <w:lang w:val="en-US" w:eastAsia="zh-CN" w:bidi="ar"/>
        </w:rPr>
        <w:t>化研发投入减少</w:t>
      </w:r>
      <w:r>
        <w:rPr>
          <w:rFonts w:hint="eastAsia" w:ascii="宋体" w:hAnsi="宋体" w:eastAsia="宋体" w:cs="宋体"/>
          <w:color w:val="auto"/>
          <w:kern w:val="0"/>
          <w:sz w:val="24"/>
          <w:szCs w:val="24"/>
          <w:highlight w:val="none"/>
          <w:lang w:val="en-US" w:eastAsia="zh-CN" w:bidi="ar"/>
        </w:rPr>
        <w:t>。</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fldChar w:fldCharType="begin"/>
      </w:r>
      <w:r>
        <w:rPr>
          <w:rFonts w:hint="eastAsia" w:ascii="宋体" w:hAnsi="宋体" w:eastAsia="宋体" w:cs="宋体"/>
          <w:color w:val="auto"/>
          <w:kern w:val="0"/>
          <w:sz w:val="24"/>
          <w:szCs w:val="24"/>
          <w:highlight w:val="none"/>
          <w:lang w:val="en-US" w:eastAsia="zh-CN" w:bidi="ar"/>
        </w:rPr>
        <w:instrText xml:space="preserve"> = 4 \* GB3 \* MERGEFORMAT </w:instrText>
      </w:r>
      <w:r>
        <w:rPr>
          <w:rFonts w:hint="eastAsia" w:ascii="宋体" w:hAnsi="宋体" w:eastAsia="宋体" w:cs="宋体"/>
          <w:color w:val="auto"/>
          <w:kern w:val="0"/>
          <w:sz w:val="24"/>
          <w:szCs w:val="24"/>
          <w:highlight w:val="none"/>
          <w:lang w:val="en-US" w:eastAsia="zh-CN" w:bidi="ar"/>
        </w:rPr>
        <w:fldChar w:fldCharType="separate"/>
      </w:r>
      <w:r>
        <w:rPr>
          <w:rFonts w:hint="eastAsia" w:ascii="宋体" w:hAnsi="宋体" w:eastAsia="宋体" w:cs="宋体"/>
          <w:color w:val="auto"/>
          <w:kern w:val="0"/>
          <w:sz w:val="24"/>
          <w:szCs w:val="24"/>
          <w:highlight w:val="none"/>
          <w:lang w:bidi="ar"/>
        </w:rPr>
        <w:t>④</w:t>
      </w:r>
      <w:r>
        <w:rPr>
          <w:rFonts w:hint="eastAsia" w:ascii="宋体" w:hAnsi="宋体" w:eastAsia="宋体" w:cs="宋体"/>
          <w:color w:val="auto"/>
          <w:kern w:val="0"/>
          <w:sz w:val="24"/>
          <w:szCs w:val="24"/>
          <w:highlight w:val="none"/>
          <w:lang w:val="en-US" w:eastAsia="zh-CN" w:bidi="ar"/>
        </w:rPr>
        <w:fldChar w:fldCharType="end"/>
      </w:r>
      <w:r>
        <w:rPr>
          <w:rFonts w:hint="eastAsia" w:ascii="宋体" w:hAnsi="宋体" w:cs="宋体"/>
          <w:color w:val="auto"/>
          <w:kern w:val="0"/>
          <w:sz w:val="24"/>
          <w:szCs w:val="24"/>
          <w:highlight w:val="none"/>
        </w:rPr>
        <w:t>资产减值损失</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公司202</w:t>
      </w:r>
      <w:r>
        <w:rPr>
          <w:rFonts w:hint="eastAsia" w:ascii="宋体" w:hAnsi="宋体" w:cs="宋体"/>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val="en-US" w:eastAsia="zh-CN" w:bidi="ar"/>
        </w:rPr>
        <w:t>年资产减值损失</w:t>
      </w:r>
      <w:r>
        <w:rPr>
          <w:rFonts w:hint="eastAsia" w:ascii="宋体" w:hAnsi="宋体" w:eastAsia="宋体" w:cs="宋体"/>
          <w:i w:val="0"/>
          <w:iCs w:val="0"/>
          <w:color w:val="auto"/>
          <w:kern w:val="0"/>
          <w:sz w:val="24"/>
          <w:szCs w:val="24"/>
          <w:highlight w:val="none"/>
          <w:u w:val="none"/>
          <w:lang w:val="en-US" w:eastAsia="zh-CN" w:bidi="ar"/>
        </w:rPr>
        <w:t>-502,902,323.36</w:t>
      </w:r>
      <w:r>
        <w:rPr>
          <w:rFonts w:hint="eastAsia" w:ascii="宋体" w:hAnsi="宋体" w:eastAsia="宋体" w:cs="宋体"/>
          <w:color w:val="auto"/>
          <w:kern w:val="0"/>
          <w:sz w:val="24"/>
          <w:szCs w:val="24"/>
          <w:highlight w:val="none"/>
          <w:lang w:val="en-US" w:eastAsia="zh-CN" w:bidi="ar"/>
        </w:rPr>
        <w:t>元，同比</w:t>
      </w:r>
      <w:r>
        <w:rPr>
          <w:rFonts w:hint="eastAsia" w:ascii="宋体" w:hAnsi="宋体" w:cs="宋体"/>
          <w:color w:val="auto"/>
          <w:kern w:val="0"/>
          <w:sz w:val="24"/>
          <w:szCs w:val="24"/>
          <w:highlight w:val="none"/>
          <w:lang w:val="en-US" w:eastAsia="zh-CN" w:bidi="ar"/>
        </w:rPr>
        <w:t>减少</w:t>
      </w:r>
      <w:r>
        <w:rPr>
          <w:rFonts w:hint="eastAsia" w:ascii="宋体" w:hAnsi="宋体" w:eastAsia="宋体" w:cs="宋体"/>
          <w:color w:val="auto"/>
          <w:kern w:val="0"/>
          <w:sz w:val="24"/>
          <w:szCs w:val="24"/>
          <w:highlight w:val="none"/>
          <w:lang w:val="en-US" w:eastAsia="zh-CN" w:bidi="ar"/>
        </w:rPr>
        <w:t>2</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995</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119</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638.43 元，</w:t>
      </w:r>
      <w:r>
        <w:rPr>
          <w:rFonts w:hint="eastAsia" w:ascii="宋体" w:hAnsi="宋体" w:cs="宋体"/>
          <w:color w:val="auto"/>
          <w:kern w:val="0"/>
          <w:sz w:val="24"/>
          <w:szCs w:val="24"/>
          <w:highlight w:val="none"/>
          <w:lang w:val="en-US" w:eastAsia="zh-CN" w:bidi="ar"/>
        </w:rPr>
        <w:t>降</w:t>
      </w:r>
      <w:r>
        <w:rPr>
          <w:rFonts w:hint="eastAsia" w:ascii="宋体" w:hAnsi="宋体" w:eastAsia="宋体" w:cs="宋体"/>
          <w:color w:val="auto"/>
          <w:kern w:val="0"/>
          <w:sz w:val="24"/>
          <w:szCs w:val="24"/>
          <w:highlight w:val="none"/>
          <w:lang w:val="en-US" w:eastAsia="zh-CN" w:bidi="ar"/>
        </w:rPr>
        <w:t>幅</w:t>
      </w:r>
      <w:r>
        <w:rPr>
          <w:rFonts w:hint="eastAsia" w:ascii="宋体" w:hAnsi="宋体" w:cs="宋体"/>
          <w:color w:val="auto"/>
          <w:kern w:val="0"/>
          <w:sz w:val="24"/>
          <w:szCs w:val="24"/>
          <w:highlight w:val="none"/>
          <w:lang w:val="en-US" w:eastAsia="zh-CN" w:bidi="ar"/>
        </w:rPr>
        <w:t>85.62</w:t>
      </w:r>
      <w:r>
        <w:rPr>
          <w:rFonts w:hint="eastAsia" w:ascii="宋体" w:hAnsi="宋体" w:eastAsia="宋体" w:cs="宋体"/>
          <w:color w:val="auto"/>
          <w:kern w:val="0"/>
          <w:sz w:val="24"/>
          <w:szCs w:val="24"/>
          <w:highlight w:val="none"/>
          <w:lang w:val="en-US" w:eastAsia="zh-CN" w:bidi="ar"/>
        </w:rPr>
        <w:t>%。变动的主要原因：2023年</w:t>
      </w:r>
      <w:r>
        <w:rPr>
          <w:rFonts w:hint="eastAsia" w:ascii="宋体" w:hAnsi="宋体" w:cs="宋体"/>
          <w:color w:val="auto"/>
          <w:kern w:val="0"/>
          <w:sz w:val="24"/>
          <w:szCs w:val="24"/>
          <w:highlight w:val="none"/>
          <w:lang w:val="en-US" w:eastAsia="zh-CN" w:bidi="ar"/>
        </w:rPr>
        <w:t>贵州金元收购绥阳产业，</w:t>
      </w:r>
      <w:r>
        <w:rPr>
          <w:rFonts w:hint="eastAsia" w:ascii="宋体" w:hAnsi="宋体" w:eastAsia="宋体" w:cs="宋体"/>
          <w:color w:val="auto"/>
          <w:kern w:val="0"/>
          <w:sz w:val="24"/>
          <w:szCs w:val="24"/>
          <w:highlight w:val="none"/>
          <w:lang w:val="en-US" w:eastAsia="zh-CN" w:bidi="ar"/>
        </w:rPr>
        <w:t>计提</w:t>
      </w:r>
      <w:r>
        <w:rPr>
          <w:rFonts w:hint="eastAsia" w:ascii="宋体" w:hAnsi="宋体" w:cs="宋体"/>
          <w:color w:val="auto"/>
          <w:kern w:val="0"/>
          <w:sz w:val="24"/>
          <w:szCs w:val="24"/>
          <w:highlight w:val="none"/>
          <w:lang w:val="en-US" w:eastAsia="zh-CN" w:bidi="ar"/>
        </w:rPr>
        <w:t>大额商誉</w:t>
      </w:r>
      <w:r>
        <w:rPr>
          <w:rFonts w:hint="eastAsia" w:ascii="宋体" w:hAnsi="宋体" w:eastAsia="宋体" w:cs="宋体"/>
          <w:color w:val="auto"/>
          <w:kern w:val="0"/>
          <w:sz w:val="24"/>
          <w:szCs w:val="24"/>
          <w:highlight w:val="none"/>
          <w:lang w:val="en-US" w:eastAsia="zh-CN" w:bidi="ar"/>
        </w:rPr>
        <w:t>减值</w:t>
      </w:r>
      <w:r>
        <w:rPr>
          <w:rFonts w:hint="eastAsia" w:ascii="宋体" w:hAnsi="宋体" w:cs="宋体"/>
          <w:color w:val="auto"/>
          <w:kern w:val="0"/>
          <w:sz w:val="24"/>
          <w:szCs w:val="24"/>
          <w:highlight w:val="none"/>
          <w:lang w:val="en-US" w:eastAsia="zh-CN" w:bidi="ar"/>
        </w:rPr>
        <w:t>，2024年贵州能源对能发公司定向增发，在控股权转让过程中对存在减值迹象的</w:t>
      </w:r>
      <w:r>
        <w:rPr>
          <w:rFonts w:hint="eastAsia" w:ascii="宋体" w:hAnsi="宋体" w:eastAsia="宋体" w:cs="宋体"/>
          <w:b w:val="0"/>
          <w:bCs w:val="0"/>
          <w:color w:val="auto"/>
          <w:kern w:val="0"/>
          <w:sz w:val="24"/>
          <w:szCs w:val="24"/>
          <w:highlight w:val="none"/>
          <w:lang w:val="en-US" w:eastAsia="zh-CN" w:bidi="ar"/>
        </w:rPr>
        <w:t>资产进行</w:t>
      </w:r>
      <w:r>
        <w:rPr>
          <w:rFonts w:hint="eastAsia" w:ascii="宋体" w:hAnsi="宋体" w:cs="宋体"/>
          <w:color w:val="auto"/>
          <w:kern w:val="0"/>
          <w:sz w:val="24"/>
          <w:szCs w:val="24"/>
          <w:highlight w:val="none"/>
          <w:lang w:val="en-US" w:eastAsia="zh-CN" w:bidi="ar"/>
        </w:rPr>
        <w:t>减值测试</w:t>
      </w:r>
      <w:r>
        <w:rPr>
          <w:rFonts w:hint="eastAsia" w:ascii="宋体" w:hAnsi="宋体" w:eastAsia="宋体" w:cs="宋体"/>
          <w:color w:val="auto"/>
          <w:kern w:val="0"/>
          <w:sz w:val="24"/>
          <w:szCs w:val="24"/>
          <w:highlight w:val="none"/>
          <w:lang w:val="en-US" w:eastAsia="zh-CN" w:bidi="ar"/>
        </w:rPr>
        <w:t>，</w:t>
      </w:r>
      <w:r>
        <w:rPr>
          <w:rFonts w:hint="eastAsia" w:ascii="宋体" w:hAnsi="宋体" w:cs="宋体"/>
          <w:color w:val="auto"/>
          <w:kern w:val="0"/>
          <w:sz w:val="24"/>
          <w:szCs w:val="24"/>
          <w:highlight w:val="none"/>
          <w:lang w:val="en-US" w:eastAsia="zh-CN" w:bidi="ar"/>
        </w:rPr>
        <w:t>根据减值测试报告，</w:t>
      </w:r>
      <w:r>
        <w:rPr>
          <w:rFonts w:hint="eastAsia" w:ascii="宋体" w:hAnsi="宋体" w:eastAsia="宋体" w:cs="宋体"/>
          <w:color w:val="auto"/>
          <w:kern w:val="0"/>
          <w:sz w:val="24"/>
          <w:szCs w:val="24"/>
          <w:highlight w:val="none"/>
          <w:lang w:val="en-US" w:eastAsia="zh-CN" w:bidi="ar"/>
        </w:rPr>
        <w:t>确认减值损失</w:t>
      </w:r>
      <w:r>
        <w:rPr>
          <w:rFonts w:hint="eastAsia" w:ascii="宋体" w:hAnsi="宋体" w:cs="宋体"/>
          <w:color w:val="auto"/>
          <w:kern w:val="0"/>
          <w:sz w:val="24"/>
          <w:szCs w:val="24"/>
          <w:highlight w:val="none"/>
          <w:lang w:val="en-US" w:eastAsia="zh-CN" w:bidi="ar"/>
        </w:rPr>
        <w:t>5.09亿元。</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fldChar w:fldCharType="begin"/>
      </w:r>
      <w:r>
        <w:rPr>
          <w:rFonts w:hint="eastAsia" w:ascii="宋体" w:hAnsi="宋体" w:eastAsia="宋体" w:cs="宋体"/>
          <w:color w:val="auto"/>
          <w:kern w:val="0"/>
          <w:sz w:val="24"/>
          <w:szCs w:val="24"/>
          <w:highlight w:val="none"/>
          <w:lang w:val="en-US" w:eastAsia="zh-CN" w:bidi="ar"/>
        </w:rPr>
        <w:instrText xml:space="preserve"> = 5 \* GB3 \* MERGEFORMAT </w:instrText>
      </w:r>
      <w:r>
        <w:rPr>
          <w:rFonts w:hint="eastAsia" w:ascii="宋体" w:hAnsi="宋体" w:eastAsia="宋体" w:cs="宋体"/>
          <w:color w:val="auto"/>
          <w:kern w:val="0"/>
          <w:sz w:val="24"/>
          <w:szCs w:val="24"/>
          <w:highlight w:val="none"/>
          <w:lang w:val="en-US" w:eastAsia="zh-CN" w:bidi="ar"/>
        </w:rPr>
        <w:fldChar w:fldCharType="separate"/>
      </w:r>
      <w:r>
        <w:rPr>
          <w:rFonts w:hint="eastAsia" w:ascii="宋体" w:hAnsi="宋体" w:eastAsia="宋体" w:cs="宋体"/>
          <w:color w:val="auto"/>
          <w:kern w:val="0"/>
          <w:sz w:val="24"/>
          <w:szCs w:val="24"/>
          <w:highlight w:val="none"/>
          <w:lang w:val="en-US" w:eastAsia="zh-CN" w:bidi="ar"/>
        </w:rPr>
        <w:t>⑤</w:t>
      </w:r>
      <w:r>
        <w:rPr>
          <w:rFonts w:hint="eastAsia" w:ascii="宋体" w:hAnsi="宋体" w:eastAsia="宋体" w:cs="宋体"/>
          <w:color w:val="auto"/>
          <w:kern w:val="0"/>
          <w:sz w:val="24"/>
          <w:szCs w:val="24"/>
          <w:highlight w:val="none"/>
          <w:lang w:val="en-US" w:eastAsia="zh-CN" w:bidi="ar"/>
        </w:rPr>
        <w:fldChar w:fldCharType="end"/>
      </w:r>
      <w:r>
        <w:rPr>
          <w:rFonts w:hint="eastAsia" w:ascii="宋体" w:hAnsi="宋体" w:eastAsia="宋体" w:cs="宋体"/>
          <w:color w:val="auto"/>
          <w:kern w:val="0"/>
          <w:sz w:val="24"/>
          <w:szCs w:val="24"/>
          <w:highlight w:val="none"/>
          <w:lang w:val="en-US" w:eastAsia="zh-CN" w:bidi="ar"/>
        </w:rPr>
        <w:t>资产处置收益</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eastAsia="zh-CN" w:bidi="ar"/>
        </w:rPr>
        <w:t>公司</w:t>
      </w:r>
      <w:r>
        <w:rPr>
          <w:rFonts w:hint="eastAsia" w:ascii="宋体" w:hAnsi="宋体" w:eastAsia="宋体" w:cs="宋体"/>
          <w:b w:val="0"/>
          <w:bCs w:val="0"/>
          <w:color w:val="auto"/>
          <w:kern w:val="0"/>
          <w:sz w:val="24"/>
          <w:szCs w:val="24"/>
          <w:highlight w:val="none"/>
          <w:lang w:val="en-US" w:eastAsia="zh-CN" w:bidi="ar"/>
        </w:rPr>
        <w:t>202</w:t>
      </w:r>
      <w:r>
        <w:rPr>
          <w:rFonts w:hint="eastAsia" w:ascii="宋体" w:hAnsi="宋体" w:cs="宋体"/>
          <w:b w:val="0"/>
          <w:bCs w:val="0"/>
          <w:color w:val="auto"/>
          <w:kern w:val="0"/>
          <w:sz w:val="24"/>
          <w:szCs w:val="24"/>
          <w:highlight w:val="none"/>
          <w:lang w:val="en-US" w:eastAsia="zh-CN" w:bidi="ar"/>
        </w:rPr>
        <w:t>4</w:t>
      </w:r>
      <w:r>
        <w:rPr>
          <w:rFonts w:hint="eastAsia" w:ascii="宋体" w:hAnsi="宋体" w:eastAsia="宋体" w:cs="宋体"/>
          <w:b w:val="0"/>
          <w:bCs w:val="0"/>
          <w:color w:val="auto"/>
          <w:kern w:val="0"/>
          <w:sz w:val="24"/>
          <w:szCs w:val="24"/>
          <w:highlight w:val="none"/>
          <w:lang w:val="en-US" w:eastAsia="zh-CN" w:bidi="ar"/>
        </w:rPr>
        <w:t>年资产处置收益</w:t>
      </w:r>
      <w:r>
        <w:rPr>
          <w:rFonts w:hint="eastAsia" w:ascii="宋体" w:hAnsi="宋体" w:eastAsia="宋体" w:cs="宋体"/>
          <w:i w:val="0"/>
          <w:iCs w:val="0"/>
          <w:color w:val="auto"/>
          <w:kern w:val="0"/>
          <w:sz w:val="24"/>
          <w:szCs w:val="24"/>
          <w:highlight w:val="none"/>
          <w:u w:val="none"/>
          <w:lang w:val="en-US" w:eastAsia="zh-CN" w:bidi="ar"/>
        </w:rPr>
        <w:t>130,879,954.49</w:t>
      </w:r>
      <w:r>
        <w:rPr>
          <w:rFonts w:hint="eastAsia" w:ascii="宋体" w:hAnsi="宋体" w:eastAsia="宋体" w:cs="宋体"/>
          <w:color w:val="auto"/>
          <w:kern w:val="0"/>
          <w:sz w:val="24"/>
          <w:szCs w:val="24"/>
          <w:highlight w:val="none"/>
          <w:lang w:eastAsia="zh-CN" w:bidi="ar"/>
        </w:rPr>
        <w:t>元，同比</w:t>
      </w:r>
      <w:r>
        <w:rPr>
          <w:rFonts w:hint="eastAsia" w:ascii="宋体" w:hAnsi="宋体" w:cs="宋体"/>
          <w:color w:val="auto"/>
          <w:kern w:val="0"/>
          <w:sz w:val="24"/>
          <w:szCs w:val="24"/>
          <w:highlight w:val="none"/>
          <w:lang w:eastAsia="zh-CN" w:bidi="ar"/>
        </w:rPr>
        <w:t>减少</w:t>
      </w:r>
      <w:r>
        <w:rPr>
          <w:rFonts w:hint="eastAsia" w:ascii="宋体" w:hAnsi="宋体" w:eastAsia="宋体" w:cs="宋体"/>
          <w:color w:val="auto"/>
          <w:kern w:val="0"/>
          <w:sz w:val="24"/>
          <w:szCs w:val="24"/>
          <w:highlight w:val="none"/>
          <w:lang w:bidi="ar"/>
        </w:rPr>
        <w:t>30</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bidi="ar"/>
        </w:rPr>
        <w:t>253</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bidi="ar"/>
        </w:rPr>
        <w:t>652.77</w:t>
      </w:r>
      <w:r>
        <w:rPr>
          <w:rFonts w:hint="eastAsia" w:ascii="宋体" w:hAnsi="宋体" w:eastAsia="宋体" w:cs="宋体"/>
          <w:color w:val="auto"/>
          <w:kern w:val="0"/>
          <w:sz w:val="24"/>
          <w:szCs w:val="24"/>
          <w:highlight w:val="none"/>
          <w:lang w:eastAsia="zh-CN" w:bidi="ar"/>
        </w:rPr>
        <w:t>元，</w:t>
      </w:r>
      <w:r>
        <w:rPr>
          <w:rFonts w:hint="eastAsia" w:ascii="宋体" w:hAnsi="宋体" w:cs="宋体"/>
          <w:color w:val="auto"/>
          <w:kern w:val="0"/>
          <w:sz w:val="24"/>
          <w:szCs w:val="24"/>
          <w:highlight w:val="none"/>
          <w:lang w:val="en-US" w:eastAsia="zh-CN" w:bidi="ar"/>
        </w:rPr>
        <w:t>降</w:t>
      </w:r>
      <w:r>
        <w:rPr>
          <w:rFonts w:hint="eastAsia" w:ascii="宋体" w:hAnsi="宋体" w:eastAsia="宋体" w:cs="宋体"/>
          <w:color w:val="auto"/>
          <w:kern w:val="0"/>
          <w:sz w:val="24"/>
          <w:szCs w:val="24"/>
          <w:highlight w:val="none"/>
          <w:lang w:eastAsia="zh-CN" w:bidi="ar"/>
        </w:rPr>
        <w:t>幅</w:t>
      </w:r>
      <w:r>
        <w:rPr>
          <w:rFonts w:hint="eastAsia" w:ascii="宋体" w:hAnsi="宋体" w:cs="宋体"/>
          <w:color w:val="auto"/>
          <w:kern w:val="0"/>
          <w:sz w:val="24"/>
          <w:szCs w:val="24"/>
          <w:highlight w:val="none"/>
          <w:lang w:val="en-US" w:eastAsia="zh-CN" w:bidi="ar"/>
        </w:rPr>
        <w:t>18.78</w:t>
      </w:r>
      <w:r>
        <w:rPr>
          <w:rFonts w:hint="eastAsia" w:ascii="宋体" w:hAnsi="宋体" w:eastAsia="宋体" w:cs="宋体"/>
          <w:color w:val="auto"/>
          <w:kern w:val="0"/>
          <w:sz w:val="24"/>
          <w:szCs w:val="24"/>
          <w:highlight w:val="none"/>
          <w:lang w:val="en-US" w:eastAsia="zh-CN" w:bidi="ar"/>
        </w:rPr>
        <w:t>%。变动的主要原因：202</w:t>
      </w:r>
      <w:r>
        <w:rPr>
          <w:rFonts w:hint="eastAsia" w:ascii="宋体" w:hAnsi="宋体" w:cs="宋体"/>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val="en-US" w:eastAsia="zh-CN" w:bidi="ar"/>
        </w:rPr>
        <w:t>年</w:t>
      </w:r>
      <w:r>
        <w:rPr>
          <w:rFonts w:hint="eastAsia" w:ascii="宋体" w:hAnsi="宋体" w:cs="宋体"/>
          <w:color w:val="auto"/>
          <w:kern w:val="0"/>
          <w:sz w:val="24"/>
          <w:szCs w:val="24"/>
          <w:highlight w:val="none"/>
          <w:lang w:val="en-US" w:eastAsia="zh-CN" w:bidi="ar"/>
        </w:rPr>
        <w:t>处置小水电资产，确认资产处置收益1.31亿元</w:t>
      </w:r>
      <w:r>
        <w:rPr>
          <w:rFonts w:hint="eastAsia" w:ascii="宋体" w:hAnsi="宋体" w:eastAsia="宋体" w:cs="宋体"/>
          <w:color w:val="auto"/>
          <w:kern w:val="0"/>
          <w:sz w:val="24"/>
          <w:szCs w:val="24"/>
          <w:highlight w:val="none"/>
          <w:lang w:val="en-US" w:eastAsia="zh-CN" w:bidi="ar"/>
        </w:rPr>
        <w:t>。</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⑥公允价值变动收益</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eastAsia="zh-CN" w:bidi="ar"/>
        </w:rPr>
        <w:t>公司</w:t>
      </w:r>
      <w:r>
        <w:rPr>
          <w:rFonts w:hint="eastAsia" w:ascii="宋体" w:hAnsi="宋体" w:eastAsia="宋体" w:cs="宋体"/>
          <w:b w:val="0"/>
          <w:bCs w:val="0"/>
          <w:color w:val="auto"/>
          <w:kern w:val="0"/>
          <w:sz w:val="24"/>
          <w:szCs w:val="24"/>
          <w:highlight w:val="none"/>
          <w:lang w:val="en-US" w:eastAsia="zh-CN" w:bidi="ar"/>
        </w:rPr>
        <w:t>202</w:t>
      </w:r>
      <w:r>
        <w:rPr>
          <w:rFonts w:hint="eastAsia" w:ascii="宋体" w:hAnsi="宋体" w:cs="宋体"/>
          <w:b w:val="0"/>
          <w:bCs w:val="0"/>
          <w:color w:val="auto"/>
          <w:kern w:val="0"/>
          <w:sz w:val="24"/>
          <w:szCs w:val="24"/>
          <w:highlight w:val="none"/>
          <w:lang w:val="en-US" w:eastAsia="zh-CN" w:bidi="ar"/>
        </w:rPr>
        <w:t>4</w:t>
      </w:r>
      <w:r>
        <w:rPr>
          <w:rFonts w:hint="eastAsia" w:ascii="宋体" w:hAnsi="宋体" w:eastAsia="宋体" w:cs="宋体"/>
          <w:b w:val="0"/>
          <w:bCs w:val="0"/>
          <w:color w:val="auto"/>
          <w:kern w:val="0"/>
          <w:sz w:val="24"/>
          <w:szCs w:val="24"/>
          <w:highlight w:val="none"/>
          <w:lang w:val="en-US" w:eastAsia="zh-CN" w:bidi="ar"/>
        </w:rPr>
        <w:t>年公允价值变动收益</w:t>
      </w:r>
      <w:r>
        <w:rPr>
          <w:rFonts w:hint="eastAsia" w:ascii="宋体" w:hAnsi="宋体" w:eastAsia="宋体" w:cs="宋体"/>
          <w:i w:val="0"/>
          <w:iCs w:val="0"/>
          <w:color w:val="auto"/>
          <w:kern w:val="0"/>
          <w:sz w:val="24"/>
          <w:szCs w:val="24"/>
          <w:highlight w:val="none"/>
          <w:u w:val="none"/>
          <w:lang w:val="en-US" w:eastAsia="zh-CN" w:bidi="ar"/>
        </w:rPr>
        <w:t>-24,724,161.36</w:t>
      </w:r>
      <w:r>
        <w:rPr>
          <w:rFonts w:hint="eastAsia" w:ascii="宋体" w:hAnsi="宋体" w:eastAsia="宋体" w:cs="宋体"/>
          <w:color w:val="auto"/>
          <w:kern w:val="0"/>
          <w:sz w:val="24"/>
          <w:szCs w:val="24"/>
          <w:highlight w:val="none"/>
          <w:lang w:eastAsia="zh-CN" w:bidi="ar"/>
        </w:rPr>
        <w:t>元，同比</w:t>
      </w:r>
      <w:r>
        <w:rPr>
          <w:rFonts w:hint="eastAsia" w:ascii="宋体" w:hAnsi="宋体" w:cs="宋体"/>
          <w:color w:val="auto"/>
          <w:kern w:val="0"/>
          <w:sz w:val="24"/>
          <w:szCs w:val="24"/>
          <w:highlight w:val="none"/>
          <w:lang w:val="en-US" w:eastAsia="zh-CN" w:bidi="ar"/>
        </w:rPr>
        <w:t>减少</w:t>
      </w:r>
      <w:r>
        <w:rPr>
          <w:rFonts w:hint="eastAsia" w:ascii="宋体" w:hAnsi="宋体" w:eastAsia="宋体" w:cs="宋体"/>
          <w:color w:val="auto"/>
          <w:kern w:val="0"/>
          <w:sz w:val="24"/>
          <w:szCs w:val="24"/>
          <w:highlight w:val="none"/>
          <w:lang w:bidi="ar"/>
        </w:rPr>
        <w:t>8</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bidi="ar"/>
        </w:rPr>
        <w:t>252</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bidi="ar"/>
        </w:rPr>
        <w:t xml:space="preserve">924.45 </w:t>
      </w:r>
      <w:r>
        <w:rPr>
          <w:rFonts w:hint="eastAsia" w:ascii="宋体" w:hAnsi="宋体" w:eastAsia="宋体" w:cs="宋体"/>
          <w:color w:val="auto"/>
          <w:kern w:val="0"/>
          <w:sz w:val="24"/>
          <w:szCs w:val="24"/>
          <w:highlight w:val="none"/>
          <w:lang w:eastAsia="zh-CN" w:bidi="ar"/>
        </w:rPr>
        <w:t>元，</w:t>
      </w:r>
      <w:r>
        <w:rPr>
          <w:rFonts w:hint="eastAsia" w:ascii="宋体" w:hAnsi="宋体" w:cs="宋体"/>
          <w:color w:val="auto"/>
          <w:kern w:val="0"/>
          <w:sz w:val="24"/>
          <w:szCs w:val="24"/>
          <w:highlight w:val="none"/>
          <w:lang w:val="en-US" w:eastAsia="zh-CN" w:bidi="ar"/>
        </w:rPr>
        <w:t>降</w:t>
      </w:r>
      <w:r>
        <w:rPr>
          <w:rFonts w:hint="eastAsia" w:ascii="宋体" w:hAnsi="宋体" w:eastAsia="宋体" w:cs="宋体"/>
          <w:color w:val="auto"/>
          <w:kern w:val="0"/>
          <w:sz w:val="24"/>
          <w:szCs w:val="24"/>
          <w:highlight w:val="none"/>
          <w:lang w:eastAsia="zh-CN" w:bidi="ar"/>
        </w:rPr>
        <w:t>幅</w:t>
      </w:r>
      <w:r>
        <w:rPr>
          <w:rFonts w:hint="eastAsia" w:ascii="宋体" w:hAnsi="宋体" w:cs="宋体"/>
          <w:color w:val="auto"/>
          <w:kern w:val="0"/>
          <w:sz w:val="24"/>
          <w:szCs w:val="24"/>
          <w:highlight w:val="none"/>
          <w:lang w:val="en-US" w:eastAsia="zh-CN" w:bidi="ar"/>
        </w:rPr>
        <w:t>50.11</w:t>
      </w:r>
      <w:r>
        <w:rPr>
          <w:rFonts w:hint="eastAsia" w:ascii="宋体" w:hAnsi="宋体" w:eastAsia="宋体" w:cs="宋体"/>
          <w:color w:val="auto"/>
          <w:kern w:val="0"/>
          <w:sz w:val="24"/>
          <w:szCs w:val="24"/>
          <w:highlight w:val="none"/>
          <w:lang w:val="en-US" w:eastAsia="zh-CN" w:bidi="ar"/>
        </w:rPr>
        <w:t>%。变动的主要原因：202</w:t>
      </w:r>
      <w:r>
        <w:rPr>
          <w:rFonts w:hint="eastAsia" w:ascii="宋体" w:hAnsi="宋体" w:cs="宋体"/>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val="en-US" w:eastAsia="zh-CN" w:bidi="ar"/>
        </w:rPr>
        <w:t>年</w:t>
      </w:r>
      <w:r>
        <w:rPr>
          <w:rFonts w:hint="eastAsia" w:ascii="宋体" w:hAnsi="宋体" w:cs="宋体"/>
          <w:color w:val="auto"/>
          <w:kern w:val="0"/>
          <w:sz w:val="24"/>
          <w:szCs w:val="24"/>
          <w:highlight w:val="none"/>
          <w:lang w:val="en-US" w:eastAsia="zh-CN" w:bidi="ar"/>
        </w:rPr>
        <w:t>投资性房地产评估价值降低</w:t>
      </w:r>
      <w:r>
        <w:rPr>
          <w:rFonts w:hint="eastAsia" w:ascii="宋体" w:hAnsi="宋体" w:eastAsia="宋体" w:cs="宋体"/>
          <w:color w:val="auto"/>
          <w:kern w:val="0"/>
          <w:sz w:val="24"/>
          <w:szCs w:val="24"/>
          <w:highlight w:val="none"/>
          <w:lang w:val="en-US" w:eastAsia="zh-CN" w:bidi="ar"/>
        </w:rPr>
        <w:t>。</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⑦营业外支出</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color w:val="auto"/>
          <w:highlight w:val="none"/>
          <w:lang w:val="en-US" w:eastAsia="zh-CN"/>
        </w:rPr>
      </w:pPr>
      <w:r>
        <w:rPr>
          <w:rFonts w:hint="eastAsia" w:ascii="宋体" w:hAnsi="宋体" w:eastAsia="宋体" w:cs="宋体"/>
          <w:b w:val="0"/>
          <w:bCs w:val="0"/>
          <w:color w:val="auto"/>
          <w:kern w:val="0"/>
          <w:sz w:val="24"/>
          <w:szCs w:val="24"/>
          <w:highlight w:val="none"/>
          <w:lang w:eastAsia="zh-CN" w:bidi="ar"/>
        </w:rPr>
        <w:t>公司</w:t>
      </w:r>
      <w:r>
        <w:rPr>
          <w:rFonts w:hint="eastAsia" w:ascii="宋体" w:hAnsi="宋体" w:eastAsia="宋体" w:cs="宋体"/>
          <w:b w:val="0"/>
          <w:bCs w:val="0"/>
          <w:color w:val="auto"/>
          <w:kern w:val="0"/>
          <w:sz w:val="24"/>
          <w:szCs w:val="24"/>
          <w:highlight w:val="none"/>
          <w:lang w:val="en-US" w:eastAsia="zh-CN" w:bidi="ar"/>
        </w:rPr>
        <w:t>202</w:t>
      </w:r>
      <w:r>
        <w:rPr>
          <w:rFonts w:hint="eastAsia" w:ascii="宋体" w:hAnsi="宋体" w:cs="宋体"/>
          <w:b w:val="0"/>
          <w:bCs w:val="0"/>
          <w:color w:val="auto"/>
          <w:kern w:val="0"/>
          <w:sz w:val="24"/>
          <w:szCs w:val="24"/>
          <w:highlight w:val="none"/>
          <w:lang w:val="en-US" w:eastAsia="zh-CN" w:bidi="ar"/>
        </w:rPr>
        <w:t>4</w:t>
      </w:r>
      <w:r>
        <w:rPr>
          <w:rFonts w:hint="eastAsia" w:ascii="宋体" w:hAnsi="宋体" w:eastAsia="宋体" w:cs="宋体"/>
          <w:b w:val="0"/>
          <w:bCs w:val="0"/>
          <w:color w:val="auto"/>
          <w:kern w:val="0"/>
          <w:sz w:val="24"/>
          <w:szCs w:val="24"/>
          <w:highlight w:val="none"/>
          <w:lang w:val="en-US" w:eastAsia="zh-CN" w:bidi="ar"/>
        </w:rPr>
        <w:t>年营业外支出</w:t>
      </w:r>
      <w:r>
        <w:rPr>
          <w:rFonts w:hint="eastAsia" w:ascii="宋体" w:hAnsi="宋体" w:eastAsia="宋体" w:cs="宋体"/>
          <w:i w:val="0"/>
          <w:iCs w:val="0"/>
          <w:color w:val="auto"/>
          <w:kern w:val="0"/>
          <w:sz w:val="24"/>
          <w:szCs w:val="24"/>
          <w:highlight w:val="none"/>
          <w:u w:val="none"/>
          <w:lang w:val="en-US" w:eastAsia="zh-CN" w:bidi="ar"/>
        </w:rPr>
        <w:t>251,642,589.40</w:t>
      </w:r>
      <w:r>
        <w:rPr>
          <w:rFonts w:hint="eastAsia" w:ascii="宋体" w:hAnsi="宋体" w:eastAsia="宋体" w:cs="宋体"/>
          <w:color w:val="auto"/>
          <w:kern w:val="0"/>
          <w:sz w:val="24"/>
          <w:szCs w:val="24"/>
          <w:highlight w:val="none"/>
          <w:lang w:eastAsia="zh-CN" w:bidi="ar"/>
        </w:rPr>
        <w:t>元，同比</w:t>
      </w:r>
      <w:r>
        <w:rPr>
          <w:rFonts w:hint="eastAsia" w:ascii="宋体" w:hAnsi="宋体" w:cs="宋体"/>
          <w:color w:val="auto"/>
          <w:kern w:val="0"/>
          <w:sz w:val="24"/>
          <w:szCs w:val="24"/>
          <w:highlight w:val="none"/>
          <w:lang w:val="en-US" w:eastAsia="zh-CN" w:bidi="ar"/>
        </w:rPr>
        <w:t>增加</w:t>
      </w:r>
      <w:r>
        <w:rPr>
          <w:rFonts w:hint="eastAsia" w:ascii="宋体" w:hAnsi="宋体" w:eastAsia="宋体" w:cs="宋体"/>
          <w:color w:val="auto"/>
          <w:kern w:val="0"/>
          <w:sz w:val="24"/>
          <w:szCs w:val="24"/>
          <w:highlight w:val="none"/>
          <w:lang w:bidi="ar"/>
        </w:rPr>
        <w:t>111</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bidi="ar"/>
        </w:rPr>
        <w:t>555</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bidi="ar"/>
        </w:rPr>
        <w:t>817.09</w:t>
      </w:r>
      <w:r>
        <w:rPr>
          <w:rFonts w:hint="eastAsia" w:ascii="宋体" w:hAnsi="宋体" w:eastAsia="宋体" w:cs="宋体"/>
          <w:color w:val="auto"/>
          <w:kern w:val="0"/>
          <w:sz w:val="24"/>
          <w:szCs w:val="24"/>
          <w:highlight w:val="none"/>
          <w:lang w:eastAsia="zh-CN" w:bidi="ar"/>
        </w:rPr>
        <w:t>元，</w:t>
      </w:r>
      <w:r>
        <w:rPr>
          <w:rFonts w:hint="eastAsia" w:ascii="宋体" w:hAnsi="宋体" w:cs="宋体"/>
          <w:color w:val="auto"/>
          <w:kern w:val="0"/>
          <w:sz w:val="24"/>
          <w:szCs w:val="24"/>
          <w:highlight w:val="none"/>
          <w:lang w:val="en-US" w:eastAsia="zh-CN" w:bidi="ar"/>
        </w:rPr>
        <w:t>增</w:t>
      </w:r>
      <w:r>
        <w:rPr>
          <w:rFonts w:hint="eastAsia" w:ascii="宋体" w:hAnsi="宋体" w:eastAsia="宋体" w:cs="宋体"/>
          <w:color w:val="auto"/>
          <w:kern w:val="0"/>
          <w:sz w:val="24"/>
          <w:szCs w:val="24"/>
          <w:highlight w:val="none"/>
          <w:lang w:eastAsia="zh-CN" w:bidi="ar"/>
        </w:rPr>
        <w:t>幅</w:t>
      </w:r>
      <w:r>
        <w:rPr>
          <w:rFonts w:hint="eastAsia" w:ascii="宋体" w:hAnsi="宋体" w:cs="宋体"/>
          <w:color w:val="auto"/>
          <w:kern w:val="0"/>
          <w:sz w:val="24"/>
          <w:szCs w:val="24"/>
          <w:highlight w:val="none"/>
          <w:lang w:val="en-US" w:eastAsia="zh-CN" w:bidi="ar"/>
        </w:rPr>
        <w:t>79.63</w:t>
      </w:r>
      <w:r>
        <w:rPr>
          <w:rFonts w:hint="eastAsia" w:ascii="宋体" w:hAnsi="宋体" w:eastAsia="宋体" w:cs="宋体"/>
          <w:color w:val="auto"/>
          <w:kern w:val="0"/>
          <w:sz w:val="24"/>
          <w:szCs w:val="24"/>
          <w:highlight w:val="none"/>
          <w:lang w:val="en-US" w:eastAsia="zh-CN" w:bidi="ar"/>
        </w:rPr>
        <w:t>%。变动的主要原因：</w:t>
      </w:r>
      <w:r>
        <w:rPr>
          <w:rFonts w:hint="eastAsia" w:ascii="宋体" w:hAnsi="宋体" w:cs="宋体"/>
          <w:color w:val="auto"/>
          <w:kern w:val="0"/>
          <w:sz w:val="24"/>
          <w:szCs w:val="24"/>
          <w:highlight w:val="none"/>
          <w:lang w:val="en-US" w:eastAsia="zh-CN" w:bidi="ar"/>
        </w:rPr>
        <w:t>火电碳排放履约费用增加。</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kern w:val="0"/>
          <w:sz w:val="24"/>
          <w:szCs w:val="24"/>
          <w:highlight w:val="none"/>
          <w:lang w:bidi="ar"/>
        </w:rPr>
      </w:pPr>
      <w:r>
        <w:rPr>
          <w:rFonts w:hint="eastAsia" w:ascii="宋体" w:hAnsi="宋体" w:cs="宋体"/>
          <w:color w:val="auto"/>
          <w:kern w:val="0"/>
          <w:sz w:val="24"/>
          <w:szCs w:val="24"/>
          <w:highlight w:val="none"/>
          <w:lang w:bidi="ar"/>
        </w:rPr>
        <w:t>⑧营业利润</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b w:val="0"/>
          <w:bCs w:val="0"/>
          <w:color w:val="auto"/>
          <w:kern w:val="0"/>
          <w:sz w:val="24"/>
          <w:szCs w:val="24"/>
          <w:highlight w:val="none"/>
          <w:lang w:val="en-US" w:eastAsia="zh-CN"/>
        </w:rPr>
      </w:pPr>
      <w:r>
        <w:rPr>
          <w:rFonts w:hint="eastAsia" w:ascii="宋体" w:hAnsi="宋体" w:eastAsia="宋体" w:cs="宋体"/>
          <w:color w:val="auto"/>
          <w:kern w:val="0"/>
          <w:sz w:val="24"/>
          <w:szCs w:val="24"/>
          <w:highlight w:val="none"/>
          <w:lang w:eastAsia="zh-CN" w:bidi="ar"/>
        </w:rPr>
        <w:t>公司</w:t>
      </w:r>
      <w:r>
        <w:rPr>
          <w:rFonts w:hint="eastAsia" w:ascii="宋体" w:hAnsi="宋体" w:eastAsia="宋体" w:cs="宋体"/>
          <w:color w:val="auto"/>
          <w:kern w:val="0"/>
          <w:sz w:val="24"/>
          <w:szCs w:val="24"/>
          <w:highlight w:val="none"/>
          <w:lang w:bidi="ar"/>
        </w:rPr>
        <w:t>202</w:t>
      </w:r>
      <w:r>
        <w:rPr>
          <w:rFonts w:hint="eastAsia" w:ascii="宋体" w:hAnsi="宋体" w:cs="宋体"/>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bidi="ar"/>
        </w:rPr>
        <w:t>年营业利润405,339,170.12元，同比</w:t>
      </w:r>
      <w:r>
        <w:rPr>
          <w:rFonts w:hint="eastAsia" w:ascii="宋体" w:hAnsi="宋体" w:cs="宋体"/>
          <w:color w:val="auto"/>
          <w:kern w:val="0"/>
          <w:sz w:val="24"/>
          <w:szCs w:val="24"/>
          <w:highlight w:val="none"/>
          <w:lang w:val="en-US" w:eastAsia="zh-CN" w:bidi="ar"/>
        </w:rPr>
        <w:t>增加</w:t>
      </w:r>
      <w:r>
        <w:rPr>
          <w:rFonts w:hint="eastAsia" w:ascii="宋体" w:hAnsi="宋体" w:eastAsia="宋体" w:cs="宋体"/>
          <w:color w:val="auto"/>
          <w:kern w:val="0"/>
          <w:sz w:val="24"/>
          <w:szCs w:val="24"/>
          <w:highlight w:val="none"/>
          <w:lang w:bidi="ar"/>
        </w:rPr>
        <w:t>2</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bidi="ar"/>
        </w:rPr>
        <w:t>007</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bidi="ar"/>
        </w:rPr>
        <w:t>749</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bidi="ar"/>
        </w:rPr>
        <w:t>171.92元，</w:t>
      </w:r>
      <w:r>
        <w:rPr>
          <w:rFonts w:hint="eastAsia" w:ascii="宋体" w:hAnsi="宋体" w:cs="宋体"/>
          <w:color w:val="auto"/>
          <w:kern w:val="0"/>
          <w:sz w:val="24"/>
          <w:szCs w:val="24"/>
          <w:highlight w:val="none"/>
          <w:lang w:val="en-US" w:eastAsia="zh-CN" w:bidi="ar"/>
        </w:rPr>
        <w:t>增</w:t>
      </w:r>
      <w:r>
        <w:rPr>
          <w:rFonts w:hint="eastAsia" w:ascii="宋体" w:hAnsi="宋体" w:eastAsia="宋体" w:cs="宋体"/>
          <w:color w:val="auto"/>
          <w:kern w:val="0"/>
          <w:sz w:val="24"/>
          <w:szCs w:val="24"/>
          <w:highlight w:val="none"/>
          <w:lang w:eastAsia="zh-CN" w:bidi="ar"/>
        </w:rPr>
        <w:t>幅</w:t>
      </w:r>
      <w:r>
        <w:rPr>
          <w:rFonts w:hint="eastAsia" w:ascii="宋体" w:hAnsi="宋体" w:eastAsia="宋体" w:cs="宋体"/>
          <w:color w:val="auto"/>
          <w:kern w:val="0"/>
          <w:sz w:val="24"/>
          <w:szCs w:val="24"/>
          <w:highlight w:val="none"/>
          <w:lang w:val="en-US" w:eastAsia="zh-CN" w:bidi="ar"/>
        </w:rPr>
        <w:t>1</w:t>
      </w:r>
      <w:r>
        <w:rPr>
          <w:rFonts w:hint="eastAsia" w:ascii="宋体" w:hAnsi="宋体" w:cs="宋体"/>
          <w:color w:val="auto"/>
          <w:kern w:val="0"/>
          <w:sz w:val="24"/>
          <w:szCs w:val="24"/>
          <w:highlight w:val="none"/>
          <w:lang w:val="en-US" w:eastAsia="zh-CN" w:bidi="ar"/>
        </w:rPr>
        <w:t>25.3</w:t>
      </w:r>
      <w:r>
        <w:rPr>
          <w:rFonts w:hint="eastAsia" w:ascii="宋体" w:hAnsi="宋体" w:eastAsia="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bidi="ar"/>
        </w:rPr>
        <w:t>。</w:t>
      </w:r>
      <w:r>
        <w:rPr>
          <w:rFonts w:hint="eastAsia" w:ascii="宋体" w:hAnsi="宋体" w:eastAsia="宋体" w:cs="宋体"/>
          <w:b w:val="0"/>
          <w:bCs w:val="0"/>
          <w:color w:val="auto"/>
          <w:kern w:val="0"/>
          <w:sz w:val="24"/>
          <w:szCs w:val="24"/>
          <w:highlight w:val="none"/>
          <w:lang w:val="en-US" w:eastAsia="zh-CN"/>
        </w:rPr>
        <w:t>同期剔除一次性事项（</w:t>
      </w:r>
      <w:r>
        <w:rPr>
          <w:rFonts w:hint="eastAsia" w:ascii="宋体" w:hAnsi="宋体" w:cs="宋体"/>
          <w:b w:val="0"/>
          <w:bCs w:val="0"/>
          <w:color w:val="auto"/>
          <w:kern w:val="0"/>
          <w:sz w:val="24"/>
          <w:szCs w:val="24"/>
          <w:highlight w:val="none"/>
          <w:lang w:val="en-US" w:eastAsia="zh-CN"/>
        </w:rPr>
        <w:t>2023年</w:t>
      </w:r>
      <w:r>
        <w:rPr>
          <w:rFonts w:hint="eastAsia" w:ascii="宋体" w:hAnsi="宋体" w:eastAsia="宋体" w:cs="宋体"/>
          <w:b w:val="0"/>
          <w:bCs w:val="0"/>
          <w:color w:val="auto"/>
          <w:kern w:val="0"/>
          <w:sz w:val="24"/>
          <w:szCs w:val="24"/>
          <w:highlight w:val="none"/>
          <w:lang w:val="en-US" w:eastAsia="zh-CN"/>
        </w:rPr>
        <w:t>收购绥阳公司股权损失8.13亿元及计提泰元公司减值13.5亿元）后</w:t>
      </w:r>
      <w:r>
        <w:rPr>
          <w:rFonts w:hint="eastAsia" w:ascii="宋体" w:hAnsi="宋体" w:eastAsia="宋体" w:cs="宋体"/>
          <w:color w:val="auto"/>
          <w:kern w:val="0"/>
          <w:sz w:val="24"/>
          <w:szCs w:val="24"/>
          <w:highlight w:val="none"/>
          <w:lang w:bidi="ar"/>
        </w:rPr>
        <w:t>营业利润</w:t>
      </w:r>
      <w:r>
        <w:rPr>
          <w:rFonts w:hint="eastAsia" w:ascii="宋体" w:hAnsi="宋体" w:eastAsia="宋体" w:cs="宋体"/>
          <w:b w:val="0"/>
          <w:bCs w:val="0"/>
          <w:color w:val="auto"/>
          <w:kern w:val="0"/>
          <w:sz w:val="24"/>
          <w:szCs w:val="24"/>
          <w:highlight w:val="none"/>
          <w:lang w:val="en-US" w:eastAsia="zh-CN"/>
        </w:rPr>
        <w:t>为</w:t>
      </w:r>
      <w:r>
        <w:rPr>
          <w:rFonts w:hint="eastAsia" w:ascii="宋体" w:hAnsi="宋体" w:cs="宋体"/>
          <w:b w:val="0"/>
          <w:bCs w:val="0"/>
          <w:color w:val="auto"/>
          <w:kern w:val="0"/>
          <w:sz w:val="24"/>
          <w:szCs w:val="24"/>
          <w:highlight w:val="none"/>
          <w:lang w:val="en-US" w:eastAsia="zh-CN"/>
        </w:rPr>
        <w:t>5.61</w:t>
      </w:r>
      <w:r>
        <w:rPr>
          <w:rFonts w:hint="eastAsia" w:ascii="宋体" w:hAnsi="宋体" w:eastAsia="宋体" w:cs="宋体"/>
          <w:b w:val="0"/>
          <w:bCs w:val="0"/>
          <w:color w:val="auto"/>
          <w:kern w:val="0"/>
          <w:sz w:val="24"/>
          <w:szCs w:val="24"/>
          <w:highlight w:val="none"/>
          <w:lang w:val="en-US" w:eastAsia="zh-CN"/>
        </w:rPr>
        <w:t>亿元，同比</w:t>
      </w:r>
      <w:r>
        <w:rPr>
          <w:rFonts w:hint="eastAsia" w:ascii="宋体" w:hAnsi="宋体" w:cs="宋体"/>
          <w:b w:val="0"/>
          <w:bCs w:val="0"/>
          <w:color w:val="auto"/>
          <w:kern w:val="0"/>
          <w:sz w:val="24"/>
          <w:szCs w:val="24"/>
          <w:highlight w:val="none"/>
          <w:lang w:val="en-US" w:eastAsia="zh-CN"/>
        </w:rPr>
        <w:t>减利1.56</w:t>
      </w:r>
      <w:r>
        <w:rPr>
          <w:rFonts w:hint="eastAsia" w:ascii="宋体" w:hAnsi="宋体" w:eastAsia="宋体" w:cs="宋体"/>
          <w:b w:val="0"/>
          <w:bCs w:val="0"/>
          <w:color w:val="auto"/>
          <w:kern w:val="0"/>
          <w:sz w:val="24"/>
          <w:szCs w:val="24"/>
          <w:highlight w:val="none"/>
          <w:lang w:val="en-US" w:eastAsia="zh-CN"/>
        </w:rPr>
        <w:t>亿元</w:t>
      </w:r>
      <w:r>
        <w:rPr>
          <w:rFonts w:hint="eastAsia" w:ascii="宋体" w:hAnsi="宋体" w:cs="宋体"/>
          <w:b w:val="0"/>
          <w:bCs w:val="0"/>
          <w:color w:val="auto"/>
          <w:kern w:val="0"/>
          <w:sz w:val="24"/>
          <w:szCs w:val="24"/>
          <w:highlight w:val="none"/>
          <w:lang w:val="en-US" w:eastAsia="zh-CN"/>
        </w:rPr>
        <w:t>。</w:t>
      </w:r>
    </w:p>
    <w:p>
      <w:pPr>
        <w:keepNext w:val="0"/>
        <w:keepLines w:val="0"/>
        <w:pageBreakBefore w:val="0"/>
        <w:widowControl/>
        <w:numPr>
          <w:ilvl w:val="0"/>
          <w:numId w:val="0"/>
        </w:numPr>
        <w:kinsoku/>
        <w:wordWrap/>
        <w:overflowPunct/>
        <w:topLinePunct w:val="0"/>
        <w:autoSpaceDE/>
        <w:autoSpaceDN/>
        <w:bidi w:val="0"/>
        <w:adjustRightInd/>
        <w:snapToGrid w:val="0"/>
        <w:spacing w:line="400" w:lineRule="exact"/>
        <w:ind w:firstLine="470" w:firstLineChars="196"/>
        <w:textAlignment w:val="auto"/>
        <w:rPr>
          <w:rFonts w:hint="eastAsia" w:ascii="宋体" w:hAnsi="宋体" w:cs="宋体"/>
          <w:b w:val="0"/>
          <w:color w:val="auto"/>
          <w:kern w:val="0"/>
          <w:sz w:val="24"/>
          <w:szCs w:val="24"/>
          <w:highlight w:val="none"/>
          <w:lang w:val="en-US" w:eastAsia="zh-CN" w:bidi="ar-SA"/>
        </w:rPr>
      </w:pPr>
      <w:r>
        <w:rPr>
          <w:rFonts w:hint="eastAsia" w:ascii="宋体" w:hAnsi="宋体" w:cs="宋体"/>
          <w:b w:val="0"/>
          <w:bCs w:val="0"/>
          <w:color w:val="auto"/>
          <w:kern w:val="0"/>
          <w:sz w:val="24"/>
          <w:szCs w:val="24"/>
          <w:highlight w:val="none"/>
          <w:lang w:val="en-US" w:eastAsia="zh-CN"/>
        </w:rPr>
        <w:t>营业利润</w:t>
      </w:r>
      <w:r>
        <w:rPr>
          <w:rFonts w:hint="eastAsia" w:ascii="宋体" w:hAnsi="宋体" w:eastAsia="宋体" w:cs="宋体"/>
          <w:b w:val="0"/>
          <w:bCs w:val="0"/>
          <w:color w:val="auto"/>
          <w:kern w:val="0"/>
          <w:sz w:val="24"/>
          <w:szCs w:val="24"/>
          <w:highlight w:val="none"/>
          <w:lang w:val="en-US" w:eastAsia="zh-CN"/>
        </w:rPr>
        <w:t>同比</w:t>
      </w:r>
      <w:r>
        <w:rPr>
          <w:rFonts w:hint="eastAsia" w:ascii="宋体" w:hAnsi="宋体" w:cs="宋体"/>
          <w:b w:val="0"/>
          <w:bCs w:val="0"/>
          <w:color w:val="auto"/>
          <w:kern w:val="0"/>
          <w:sz w:val="24"/>
          <w:szCs w:val="24"/>
          <w:highlight w:val="none"/>
          <w:lang w:val="en-US" w:eastAsia="zh-CN"/>
        </w:rPr>
        <w:t>减利1.56</w:t>
      </w:r>
      <w:r>
        <w:rPr>
          <w:rFonts w:hint="eastAsia" w:ascii="宋体" w:hAnsi="宋体" w:eastAsia="宋体" w:cs="宋体"/>
          <w:b w:val="0"/>
          <w:bCs w:val="0"/>
          <w:color w:val="auto"/>
          <w:kern w:val="0"/>
          <w:sz w:val="24"/>
          <w:szCs w:val="24"/>
          <w:highlight w:val="none"/>
          <w:lang w:val="en-US" w:eastAsia="zh-CN"/>
        </w:rPr>
        <w:t>亿元</w:t>
      </w:r>
      <w:r>
        <w:rPr>
          <w:rFonts w:hint="eastAsia" w:ascii="宋体" w:hAnsi="宋体" w:eastAsia="宋体" w:cs="宋体"/>
          <w:color w:val="auto"/>
          <w:kern w:val="0"/>
          <w:sz w:val="24"/>
          <w:szCs w:val="24"/>
          <w:highlight w:val="none"/>
        </w:rPr>
        <w:t>的主要原因：</w:t>
      </w:r>
      <w:r>
        <w:rPr>
          <w:rFonts w:hint="eastAsia" w:ascii="宋体" w:hAnsi="宋体" w:cs="宋体"/>
          <w:color w:val="auto"/>
          <w:kern w:val="0"/>
          <w:sz w:val="24"/>
          <w:szCs w:val="24"/>
          <w:highlight w:val="none"/>
          <w:lang w:val="en-US" w:eastAsia="zh-CN"/>
        </w:rPr>
        <w:t>一是</w:t>
      </w:r>
      <w:r>
        <w:rPr>
          <w:rFonts w:hint="eastAsia" w:ascii="宋体" w:hAnsi="宋体" w:eastAsia="宋体" w:cs="宋体"/>
          <w:b w:val="0"/>
          <w:bCs w:val="0"/>
          <w:color w:val="auto"/>
          <w:kern w:val="0"/>
          <w:sz w:val="24"/>
          <w:szCs w:val="24"/>
          <w:highlight w:val="none"/>
          <w:lang w:val="en-US" w:eastAsia="zh-CN"/>
        </w:rPr>
        <w:t>绥阳公司</w:t>
      </w:r>
      <w:r>
        <w:rPr>
          <w:rFonts w:hint="eastAsia" w:ascii="宋体" w:hAnsi="宋体" w:cs="宋体"/>
          <w:b w:val="0"/>
          <w:bCs w:val="0"/>
          <w:color w:val="auto"/>
          <w:kern w:val="0"/>
          <w:sz w:val="24"/>
          <w:szCs w:val="24"/>
          <w:highlight w:val="none"/>
          <w:lang w:val="en-US" w:eastAsia="zh-CN"/>
        </w:rPr>
        <w:t>因铁合金市场低迷，售价降低779.77元/吨，</w:t>
      </w:r>
      <w:r>
        <w:rPr>
          <w:rFonts w:hint="eastAsia" w:ascii="宋体" w:hAnsi="宋体" w:eastAsia="宋体" w:cs="宋体"/>
          <w:b w:val="0"/>
          <w:bCs w:val="0"/>
          <w:color w:val="auto"/>
          <w:kern w:val="0"/>
          <w:sz w:val="24"/>
          <w:szCs w:val="24"/>
          <w:highlight w:val="none"/>
          <w:lang w:val="en-US" w:eastAsia="zh-CN"/>
        </w:rPr>
        <w:t>同比</w:t>
      </w:r>
      <w:r>
        <w:rPr>
          <w:rFonts w:hint="eastAsia" w:ascii="宋体" w:hAnsi="宋体" w:cs="宋体"/>
          <w:b w:val="0"/>
          <w:bCs w:val="0"/>
          <w:color w:val="auto"/>
          <w:kern w:val="0"/>
          <w:sz w:val="24"/>
          <w:szCs w:val="24"/>
          <w:highlight w:val="none"/>
          <w:lang w:val="en-US" w:eastAsia="zh-CN"/>
        </w:rPr>
        <w:t>增亏2.07</w:t>
      </w:r>
      <w:r>
        <w:rPr>
          <w:rFonts w:hint="eastAsia" w:ascii="宋体" w:hAnsi="宋体" w:eastAsia="宋体" w:cs="宋体"/>
          <w:b w:val="0"/>
          <w:bCs w:val="0"/>
          <w:color w:val="auto"/>
          <w:kern w:val="0"/>
          <w:sz w:val="24"/>
          <w:szCs w:val="24"/>
          <w:highlight w:val="none"/>
          <w:lang w:val="en-US" w:eastAsia="zh-CN"/>
        </w:rPr>
        <w:t>亿元</w:t>
      </w:r>
      <w:r>
        <w:rPr>
          <w:rFonts w:hint="eastAsia" w:ascii="宋体" w:hAnsi="宋体" w:cs="宋体"/>
          <w:b w:val="0"/>
          <w:bCs w:val="0"/>
          <w:color w:val="auto"/>
          <w:kern w:val="0"/>
          <w:sz w:val="24"/>
          <w:szCs w:val="24"/>
          <w:highlight w:val="none"/>
          <w:lang w:val="en-US" w:eastAsia="zh-CN"/>
        </w:rPr>
        <w:t>；二是由于</w:t>
      </w:r>
      <w:r>
        <w:rPr>
          <w:rFonts w:hint="eastAsia" w:ascii="宋体" w:hAnsi="宋体" w:eastAsia="宋体" w:cs="宋体"/>
          <w:b w:val="0"/>
          <w:bCs w:val="0"/>
          <w:color w:val="auto"/>
          <w:kern w:val="0"/>
          <w:sz w:val="24"/>
          <w:szCs w:val="24"/>
          <w:highlight w:val="none"/>
          <w:lang w:val="en-US" w:eastAsia="zh-CN"/>
        </w:rPr>
        <w:t>能发公司</w:t>
      </w:r>
      <w:r>
        <w:rPr>
          <w:rFonts w:hint="eastAsia" w:ascii="宋体" w:hAnsi="宋体" w:cs="宋体"/>
          <w:b w:val="0"/>
          <w:bCs w:val="0"/>
          <w:color w:val="auto"/>
          <w:kern w:val="0"/>
          <w:sz w:val="24"/>
          <w:szCs w:val="24"/>
          <w:highlight w:val="none"/>
          <w:lang w:val="en-US" w:eastAsia="zh-CN"/>
        </w:rPr>
        <w:t>股权转让，贵州金元对债权进行重估，造成暂时性损失2.99</w:t>
      </w:r>
      <w:r>
        <w:rPr>
          <w:rFonts w:hint="eastAsia" w:ascii="宋体" w:hAnsi="宋体" w:eastAsia="宋体" w:cs="宋体"/>
          <w:color w:val="auto"/>
          <w:kern w:val="0"/>
          <w:sz w:val="24"/>
          <w:szCs w:val="24"/>
          <w:highlight w:val="none"/>
          <w:lang w:val="en-US" w:eastAsia="zh-CN" w:bidi="ar-SA"/>
        </w:rPr>
        <w:t>亿元</w:t>
      </w:r>
      <w:r>
        <w:rPr>
          <w:rFonts w:hint="eastAsia" w:ascii="宋体" w:hAnsi="宋体" w:cs="宋体"/>
          <w:color w:val="auto"/>
          <w:kern w:val="0"/>
          <w:sz w:val="24"/>
          <w:szCs w:val="24"/>
          <w:highlight w:val="none"/>
          <w:lang w:val="en-US" w:eastAsia="zh-CN" w:bidi="ar-SA"/>
        </w:rPr>
        <w:t>，待债权收回后逐年转回损失。</w:t>
      </w:r>
      <w:r>
        <w:rPr>
          <w:rFonts w:hint="eastAsia" w:ascii="宋体" w:hAnsi="宋体" w:eastAsia="宋体" w:cs="宋体"/>
          <w:color w:val="auto"/>
          <w:kern w:val="0"/>
          <w:sz w:val="24"/>
          <w:szCs w:val="24"/>
          <w:highlight w:val="none"/>
          <w:lang w:val="en-US" w:eastAsia="zh-CN" w:bidi="ar-SA"/>
        </w:rPr>
        <w:t>基于以上</w:t>
      </w:r>
      <w:r>
        <w:rPr>
          <w:rFonts w:hint="eastAsia" w:ascii="宋体" w:hAnsi="宋体" w:cs="宋体"/>
          <w:color w:val="auto"/>
          <w:kern w:val="0"/>
          <w:sz w:val="24"/>
          <w:szCs w:val="24"/>
          <w:highlight w:val="none"/>
          <w:lang w:val="en-US" w:eastAsia="zh-CN" w:bidi="ar-SA"/>
        </w:rPr>
        <w:t>因素合计减利5.06亿元，</w:t>
      </w:r>
      <w:r>
        <w:rPr>
          <w:rFonts w:hint="eastAsia" w:ascii="宋体" w:hAnsi="宋体" w:eastAsia="宋体" w:cs="宋体"/>
          <w:color w:val="auto"/>
          <w:kern w:val="0"/>
          <w:sz w:val="24"/>
          <w:szCs w:val="24"/>
          <w:highlight w:val="none"/>
          <w:lang w:val="en-US" w:eastAsia="zh-CN" w:bidi="ar-SA"/>
        </w:rPr>
        <w:t>贵州金元2024年千方百计抢抓发电量</w:t>
      </w:r>
      <w:r>
        <w:rPr>
          <w:rFonts w:hint="eastAsia" w:ascii="宋体" w:hAnsi="宋体" w:cs="宋体"/>
          <w:color w:val="auto"/>
          <w:kern w:val="0"/>
          <w:sz w:val="24"/>
          <w:szCs w:val="24"/>
          <w:highlight w:val="none"/>
          <w:lang w:val="en-US" w:eastAsia="zh-CN" w:bidi="ar-SA"/>
        </w:rPr>
        <w:t>、通过压降成本、处置低效无效资产等措施，共计增加营业利润4.35亿元，其中：一是</w:t>
      </w:r>
      <w:r>
        <w:rPr>
          <w:rFonts w:hint="eastAsia" w:ascii="宋体" w:hAnsi="宋体" w:eastAsia="宋体" w:cs="宋体"/>
          <w:i w:val="0"/>
          <w:iCs w:val="0"/>
          <w:caps w:val="0"/>
          <w:color w:val="auto"/>
          <w:spacing w:val="0"/>
          <w:kern w:val="0"/>
          <w:sz w:val="24"/>
          <w:szCs w:val="24"/>
          <w:highlight w:val="none"/>
          <w:shd w:val="clear"/>
          <w:lang w:val="en-US" w:eastAsia="zh-CN"/>
        </w:rPr>
        <w:t>水电板块</w:t>
      </w:r>
      <w:r>
        <w:rPr>
          <w:rFonts w:hint="eastAsia" w:ascii="宋体" w:hAnsi="宋体" w:cs="宋体"/>
          <w:i w:val="0"/>
          <w:iCs w:val="0"/>
          <w:caps w:val="0"/>
          <w:color w:val="auto"/>
          <w:spacing w:val="0"/>
          <w:kern w:val="0"/>
          <w:sz w:val="24"/>
          <w:szCs w:val="24"/>
          <w:highlight w:val="none"/>
          <w:shd w:val="clear"/>
          <w:lang w:val="en-US" w:eastAsia="zh-CN"/>
        </w:rPr>
        <w:t>通过</w:t>
      </w:r>
      <w:r>
        <w:rPr>
          <w:rFonts w:hint="eastAsia" w:ascii="宋体" w:hAnsi="宋体" w:eastAsia="宋体" w:cs="宋体"/>
          <w:i w:val="0"/>
          <w:iCs w:val="0"/>
          <w:caps w:val="0"/>
          <w:color w:val="auto"/>
          <w:spacing w:val="0"/>
          <w:kern w:val="0"/>
          <w:sz w:val="24"/>
          <w:szCs w:val="24"/>
          <w:highlight w:val="none"/>
          <w:shd w:val="clear"/>
          <w:lang w:val="en-US" w:eastAsia="zh-CN"/>
        </w:rPr>
        <w:t>增发电量</w:t>
      </w:r>
      <w:r>
        <w:rPr>
          <w:rFonts w:hint="eastAsia" w:ascii="宋体" w:hAnsi="宋体" w:cs="宋体"/>
          <w:i w:val="0"/>
          <w:iCs w:val="0"/>
          <w:caps w:val="0"/>
          <w:color w:val="auto"/>
          <w:spacing w:val="0"/>
          <w:kern w:val="0"/>
          <w:sz w:val="24"/>
          <w:szCs w:val="24"/>
          <w:highlight w:val="none"/>
          <w:shd w:val="clear"/>
          <w:lang w:val="en-US" w:eastAsia="zh-CN"/>
        </w:rPr>
        <w:t>、</w:t>
      </w:r>
      <w:r>
        <w:rPr>
          <w:rFonts w:hint="eastAsia" w:ascii="宋体" w:hAnsi="宋体" w:eastAsia="宋体" w:cs="宋体"/>
          <w:i w:val="0"/>
          <w:iCs w:val="0"/>
          <w:caps w:val="0"/>
          <w:color w:val="auto"/>
          <w:spacing w:val="0"/>
          <w:kern w:val="0"/>
          <w:sz w:val="24"/>
          <w:szCs w:val="24"/>
          <w:highlight w:val="none"/>
          <w:shd w:val="clear"/>
          <w:lang w:val="en-US" w:eastAsia="zh-CN"/>
        </w:rPr>
        <w:t>控降成本费用，</w:t>
      </w:r>
      <w:r>
        <w:rPr>
          <w:rFonts w:hint="eastAsia" w:ascii="宋体" w:hAnsi="宋体" w:eastAsia="宋体" w:cs="宋体"/>
          <w:b w:val="0"/>
          <w:snapToGrid/>
          <w:color w:val="auto"/>
          <w:kern w:val="0"/>
          <w:sz w:val="24"/>
          <w:szCs w:val="24"/>
          <w:highlight w:val="none"/>
          <w:lang w:val="en-US" w:eastAsia="zh-CN"/>
        </w:rPr>
        <w:t>新能源板块克服市场化交易带来的电价下行，通过控降三项费用、财务费用等措施</w:t>
      </w:r>
      <w:r>
        <w:rPr>
          <w:rFonts w:hint="eastAsia" w:ascii="宋体" w:hAnsi="宋体" w:cs="宋体"/>
          <w:b w:val="0"/>
          <w:snapToGrid/>
          <w:color w:val="auto"/>
          <w:kern w:val="0"/>
          <w:sz w:val="24"/>
          <w:szCs w:val="24"/>
          <w:highlight w:val="none"/>
          <w:lang w:val="en-US" w:eastAsia="zh-CN"/>
        </w:rPr>
        <w:t>，共计提升</w:t>
      </w:r>
      <w:r>
        <w:rPr>
          <w:rFonts w:hint="eastAsia" w:ascii="宋体" w:hAnsi="宋体" w:cs="宋体"/>
          <w:i w:val="0"/>
          <w:iCs w:val="0"/>
          <w:caps w:val="0"/>
          <w:color w:val="auto"/>
          <w:spacing w:val="0"/>
          <w:kern w:val="0"/>
          <w:sz w:val="24"/>
          <w:szCs w:val="24"/>
          <w:highlight w:val="none"/>
          <w:shd w:val="clear"/>
          <w:lang w:val="en-US" w:eastAsia="zh-CN"/>
        </w:rPr>
        <w:t>售电单位利润21.12</w:t>
      </w:r>
      <w:r>
        <w:rPr>
          <w:rFonts w:hint="eastAsia" w:ascii="宋体" w:hAnsi="宋体" w:eastAsia="宋体" w:cs="宋体"/>
          <w:i w:val="0"/>
          <w:iCs w:val="0"/>
          <w:caps w:val="0"/>
          <w:color w:val="auto"/>
          <w:spacing w:val="0"/>
          <w:kern w:val="0"/>
          <w:sz w:val="24"/>
          <w:szCs w:val="24"/>
          <w:highlight w:val="none"/>
          <w:shd w:val="clear"/>
          <w:lang w:val="en-US" w:eastAsia="zh-CN"/>
        </w:rPr>
        <w:t>元/千千瓦时，</w:t>
      </w:r>
      <w:r>
        <w:rPr>
          <w:rFonts w:hint="eastAsia" w:ascii="宋体" w:hAnsi="宋体" w:eastAsia="宋体" w:cs="宋体"/>
          <w:b w:val="0"/>
          <w:bCs w:val="0"/>
          <w:color w:val="auto"/>
          <w:kern w:val="0"/>
          <w:sz w:val="24"/>
          <w:szCs w:val="24"/>
          <w:highlight w:val="none"/>
          <w:lang w:val="en-US" w:eastAsia="zh-CN"/>
        </w:rPr>
        <w:t>增加</w:t>
      </w:r>
      <w:r>
        <w:rPr>
          <w:rFonts w:hint="eastAsia" w:ascii="宋体" w:hAnsi="宋体" w:cs="宋体"/>
          <w:color w:val="auto"/>
          <w:kern w:val="0"/>
          <w:sz w:val="24"/>
          <w:szCs w:val="24"/>
          <w:highlight w:val="none"/>
          <w:lang w:val="en-US" w:eastAsia="zh-CN" w:bidi="ar-SA"/>
        </w:rPr>
        <w:t>营业利润3.05</w:t>
      </w:r>
      <w:r>
        <w:rPr>
          <w:rFonts w:hint="eastAsia" w:ascii="宋体" w:hAnsi="宋体" w:eastAsia="宋体" w:cs="宋体"/>
          <w:b w:val="0"/>
          <w:bCs w:val="0"/>
          <w:color w:val="auto"/>
          <w:kern w:val="0"/>
          <w:sz w:val="24"/>
          <w:szCs w:val="24"/>
          <w:highlight w:val="none"/>
          <w:lang w:val="en-US" w:eastAsia="zh-CN"/>
        </w:rPr>
        <w:t>亿元</w:t>
      </w:r>
      <w:r>
        <w:rPr>
          <w:rFonts w:hint="eastAsia" w:ascii="宋体" w:hAnsi="宋体" w:cs="宋体"/>
          <w:b w:val="0"/>
          <w:bCs w:val="0"/>
          <w:color w:val="auto"/>
          <w:kern w:val="0"/>
          <w:sz w:val="24"/>
          <w:szCs w:val="24"/>
          <w:highlight w:val="none"/>
          <w:lang w:val="en-US" w:eastAsia="zh-CN"/>
        </w:rPr>
        <w:t>；</w:t>
      </w:r>
      <w:r>
        <w:rPr>
          <w:rFonts w:hint="eastAsia" w:ascii="宋体" w:hAnsi="宋体" w:eastAsia="宋体" w:cs="宋体"/>
          <w:b w:val="0"/>
          <w:snapToGrid/>
          <w:color w:val="auto"/>
          <w:kern w:val="0"/>
          <w:sz w:val="24"/>
          <w:szCs w:val="24"/>
          <w:highlight w:val="none"/>
          <w:lang w:val="en-US" w:eastAsia="zh-CN"/>
        </w:rPr>
        <w:t>二是通过</w:t>
      </w:r>
      <w:r>
        <w:rPr>
          <w:rFonts w:hint="eastAsia" w:ascii="宋体" w:hAnsi="宋体" w:eastAsia="宋体" w:cs="宋体"/>
          <w:b w:val="0"/>
          <w:snapToGrid/>
          <w:color w:val="auto"/>
          <w:kern w:val="0"/>
          <w:sz w:val="24"/>
          <w:szCs w:val="24"/>
          <w:highlight w:val="none"/>
        </w:rPr>
        <w:t>积极开展</w:t>
      </w:r>
      <w:r>
        <w:rPr>
          <w:rFonts w:hint="eastAsia" w:ascii="宋体" w:hAnsi="宋体" w:eastAsia="宋体" w:cs="宋体"/>
          <w:b w:val="0"/>
          <w:snapToGrid/>
          <w:color w:val="auto"/>
          <w:kern w:val="0"/>
          <w:sz w:val="24"/>
          <w:szCs w:val="24"/>
          <w:highlight w:val="none"/>
          <w:lang w:val="en-US" w:eastAsia="zh-CN"/>
        </w:rPr>
        <w:t>小水电</w:t>
      </w:r>
      <w:r>
        <w:rPr>
          <w:rFonts w:hint="eastAsia" w:ascii="宋体" w:hAnsi="宋体" w:eastAsia="宋体" w:cs="宋体"/>
          <w:b w:val="0"/>
          <w:snapToGrid/>
          <w:color w:val="auto"/>
          <w:kern w:val="0"/>
          <w:sz w:val="24"/>
          <w:szCs w:val="24"/>
          <w:highlight w:val="none"/>
        </w:rPr>
        <w:t>资产处置</w:t>
      </w:r>
      <w:r>
        <w:rPr>
          <w:rFonts w:hint="eastAsia" w:ascii="宋体" w:hAnsi="宋体" w:eastAsia="宋体" w:cs="宋体"/>
          <w:b w:val="0"/>
          <w:snapToGrid/>
          <w:color w:val="auto"/>
          <w:kern w:val="0"/>
          <w:sz w:val="24"/>
          <w:szCs w:val="24"/>
          <w:highlight w:val="none"/>
          <w:lang w:eastAsia="zh-CN"/>
        </w:rPr>
        <w:t>，</w:t>
      </w:r>
      <w:r>
        <w:rPr>
          <w:rFonts w:hint="eastAsia" w:ascii="宋体" w:hAnsi="宋体" w:eastAsia="宋体" w:cs="宋体"/>
          <w:b w:val="0"/>
          <w:snapToGrid/>
          <w:color w:val="auto"/>
          <w:kern w:val="0"/>
          <w:sz w:val="24"/>
          <w:szCs w:val="24"/>
          <w:highlight w:val="none"/>
          <w:lang w:val="en-US" w:eastAsia="zh-CN"/>
        </w:rPr>
        <w:t>并</w:t>
      </w:r>
      <w:r>
        <w:rPr>
          <w:rFonts w:hint="eastAsia" w:ascii="宋体" w:hAnsi="宋体" w:eastAsia="宋体" w:cs="宋体"/>
          <w:b w:val="0"/>
          <w:snapToGrid/>
          <w:color w:val="auto"/>
          <w:kern w:val="0"/>
          <w:sz w:val="24"/>
          <w:szCs w:val="24"/>
          <w:highlight w:val="none"/>
        </w:rPr>
        <w:t>与政府协商</w:t>
      </w:r>
      <w:r>
        <w:rPr>
          <w:rFonts w:hint="eastAsia" w:ascii="宋体" w:hAnsi="宋体" w:eastAsia="宋体" w:cs="宋体"/>
          <w:b w:val="0"/>
          <w:snapToGrid/>
          <w:color w:val="auto"/>
          <w:kern w:val="0"/>
          <w:sz w:val="24"/>
          <w:szCs w:val="24"/>
          <w:highlight w:val="none"/>
          <w:lang w:val="en-US" w:eastAsia="zh-CN"/>
        </w:rPr>
        <w:t>获取</w:t>
      </w:r>
      <w:r>
        <w:rPr>
          <w:rFonts w:hint="eastAsia" w:ascii="宋体" w:hAnsi="宋体" w:eastAsia="宋体" w:cs="宋体"/>
          <w:b w:val="0"/>
          <w:bCs w:val="0"/>
          <w:color w:val="auto"/>
          <w:kern w:val="0"/>
          <w:sz w:val="24"/>
          <w:szCs w:val="24"/>
          <w:highlight w:val="none"/>
          <w:lang w:val="en-US" w:eastAsia="zh-CN"/>
        </w:rPr>
        <w:t>明英电站赔偿款</w:t>
      </w:r>
      <w:r>
        <w:rPr>
          <w:rFonts w:hint="eastAsia" w:ascii="宋体" w:hAnsi="宋体" w:eastAsia="宋体" w:cs="宋体"/>
          <w:b w:val="0"/>
          <w:snapToGrid/>
          <w:color w:val="auto"/>
          <w:kern w:val="0"/>
          <w:sz w:val="24"/>
          <w:szCs w:val="24"/>
          <w:highlight w:val="none"/>
          <w:lang w:eastAsia="zh-CN"/>
        </w:rPr>
        <w:t>，</w:t>
      </w:r>
      <w:r>
        <w:rPr>
          <w:rFonts w:hint="eastAsia" w:ascii="宋体" w:hAnsi="宋体" w:eastAsia="宋体" w:cs="宋体"/>
          <w:b w:val="0"/>
          <w:bCs w:val="0"/>
          <w:color w:val="auto"/>
          <w:kern w:val="0"/>
          <w:sz w:val="24"/>
          <w:szCs w:val="24"/>
          <w:highlight w:val="none"/>
          <w:lang w:val="en-US" w:eastAsia="zh-CN"/>
        </w:rPr>
        <w:t>增加</w:t>
      </w:r>
      <w:r>
        <w:rPr>
          <w:rFonts w:hint="eastAsia" w:ascii="宋体" w:hAnsi="宋体" w:cs="宋体"/>
          <w:color w:val="auto"/>
          <w:kern w:val="0"/>
          <w:sz w:val="24"/>
          <w:szCs w:val="24"/>
          <w:highlight w:val="none"/>
          <w:lang w:val="en-US" w:eastAsia="zh-CN" w:bidi="ar-SA"/>
        </w:rPr>
        <w:t>营业利润</w:t>
      </w:r>
      <w:r>
        <w:rPr>
          <w:rFonts w:hint="eastAsia" w:ascii="宋体" w:hAnsi="宋体" w:eastAsia="宋体" w:cs="宋体"/>
          <w:b w:val="0"/>
          <w:bCs w:val="0"/>
          <w:color w:val="auto"/>
          <w:kern w:val="0"/>
          <w:sz w:val="24"/>
          <w:szCs w:val="24"/>
          <w:highlight w:val="none"/>
          <w:lang w:val="en-US" w:eastAsia="zh-CN"/>
        </w:rPr>
        <w:t>1.</w:t>
      </w:r>
      <w:r>
        <w:rPr>
          <w:rFonts w:hint="eastAsia" w:ascii="宋体" w:hAnsi="宋体" w:cs="宋体"/>
          <w:b w:val="0"/>
          <w:bCs w:val="0"/>
          <w:color w:val="auto"/>
          <w:kern w:val="0"/>
          <w:sz w:val="24"/>
          <w:szCs w:val="24"/>
          <w:highlight w:val="none"/>
          <w:lang w:val="en-US" w:eastAsia="zh-CN"/>
        </w:rPr>
        <w:t>3</w:t>
      </w:r>
      <w:r>
        <w:rPr>
          <w:rFonts w:hint="eastAsia" w:ascii="宋体" w:hAnsi="宋体" w:eastAsia="宋体" w:cs="宋体"/>
          <w:b w:val="0"/>
          <w:bCs w:val="0"/>
          <w:color w:val="auto"/>
          <w:kern w:val="0"/>
          <w:sz w:val="24"/>
          <w:szCs w:val="24"/>
          <w:highlight w:val="none"/>
          <w:lang w:val="en-US" w:eastAsia="zh-CN"/>
        </w:rPr>
        <w:t>亿元</w:t>
      </w:r>
      <w:r>
        <w:rPr>
          <w:rFonts w:hint="eastAsia" w:ascii="宋体" w:hAnsi="宋体" w:cs="宋体"/>
          <w:b w:val="0"/>
          <w:bCs w:val="0"/>
          <w:color w:val="auto"/>
          <w:kern w:val="0"/>
          <w:sz w:val="24"/>
          <w:szCs w:val="24"/>
          <w:highlight w:val="none"/>
          <w:lang w:val="en-US" w:eastAsia="zh-CN"/>
        </w:rPr>
        <w:t>。</w:t>
      </w:r>
    </w:p>
    <w:p>
      <w:pPr>
        <w:pStyle w:val="2"/>
        <w:keepNext w:val="0"/>
        <w:keepLines w:val="0"/>
        <w:pageBreakBefore w:val="0"/>
        <w:kinsoku/>
        <w:wordWrap/>
        <w:overflowPunct/>
        <w:topLinePunct w:val="0"/>
        <w:autoSpaceDE/>
        <w:autoSpaceDN/>
        <w:bidi w:val="0"/>
        <w:adjustRightInd/>
        <w:spacing w:line="40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bidi="ar"/>
        </w:rPr>
        <w:t>⑨</w:t>
      </w:r>
      <w:r>
        <w:rPr>
          <w:rFonts w:hint="eastAsia" w:ascii="宋体" w:hAnsi="宋体" w:cs="宋体"/>
          <w:color w:val="auto"/>
          <w:kern w:val="0"/>
          <w:sz w:val="24"/>
          <w:szCs w:val="24"/>
          <w:highlight w:val="none"/>
          <w:lang w:val="en-US" w:eastAsia="zh-CN" w:bidi="ar"/>
        </w:rPr>
        <w:t>净利润</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b w:val="0"/>
          <w:bCs w:val="0"/>
          <w:color w:val="auto"/>
          <w:kern w:val="0"/>
          <w:sz w:val="24"/>
          <w:szCs w:val="24"/>
          <w:highlight w:val="none"/>
          <w:lang w:val="en-US" w:eastAsia="zh-CN"/>
        </w:rPr>
      </w:pPr>
      <w:r>
        <w:rPr>
          <w:rFonts w:hint="eastAsia" w:ascii="宋体" w:hAnsi="宋体" w:eastAsia="宋体" w:cs="宋体"/>
          <w:color w:val="auto"/>
          <w:kern w:val="0"/>
          <w:sz w:val="24"/>
          <w:szCs w:val="24"/>
          <w:highlight w:val="none"/>
          <w:lang w:eastAsia="zh-CN" w:bidi="ar"/>
        </w:rPr>
        <w:t>公司</w:t>
      </w:r>
      <w:r>
        <w:rPr>
          <w:rFonts w:hint="eastAsia" w:ascii="宋体" w:hAnsi="宋体" w:eastAsia="宋体" w:cs="宋体"/>
          <w:color w:val="auto"/>
          <w:kern w:val="0"/>
          <w:sz w:val="24"/>
          <w:szCs w:val="24"/>
          <w:highlight w:val="none"/>
          <w:lang w:bidi="ar"/>
        </w:rPr>
        <w:t>202</w:t>
      </w:r>
      <w:r>
        <w:rPr>
          <w:rFonts w:hint="eastAsia" w:ascii="宋体" w:hAnsi="宋体" w:cs="宋体"/>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bidi="ar"/>
        </w:rPr>
        <w:t>年净利润</w:t>
      </w:r>
      <w:r>
        <w:rPr>
          <w:rFonts w:hint="eastAsia" w:ascii="宋体" w:hAnsi="宋体" w:eastAsia="宋体" w:cs="宋体"/>
          <w:i w:val="0"/>
          <w:iCs w:val="0"/>
          <w:color w:val="auto"/>
          <w:kern w:val="0"/>
          <w:sz w:val="24"/>
          <w:szCs w:val="24"/>
          <w:highlight w:val="none"/>
          <w:u w:val="none"/>
          <w:lang w:val="en-US" w:eastAsia="zh-CN" w:bidi="ar"/>
        </w:rPr>
        <w:t>70,098,978.14</w:t>
      </w:r>
      <w:r>
        <w:rPr>
          <w:rFonts w:hint="eastAsia" w:ascii="宋体" w:hAnsi="宋体" w:eastAsia="宋体" w:cs="宋体"/>
          <w:color w:val="auto"/>
          <w:kern w:val="0"/>
          <w:sz w:val="24"/>
          <w:szCs w:val="24"/>
          <w:highlight w:val="none"/>
          <w:lang w:bidi="ar"/>
        </w:rPr>
        <w:t>元，同比</w:t>
      </w:r>
      <w:r>
        <w:rPr>
          <w:rFonts w:hint="eastAsia" w:ascii="宋体" w:hAnsi="宋体" w:cs="宋体"/>
          <w:color w:val="auto"/>
          <w:kern w:val="0"/>
          <w:sz w:val="24"/>
          <w:szCs w:val="24"/>
          <w:highlight w:val="none"/>
          <w:lang w:val="en-US" w:eastAsia="zh-CN" w:bidi="ar"/>
        </w:rPr>
        <w:t>增加</w:t>
      </w:r>
      <w:r>
        <w:rPr>
          <w:rFonts w:hint="eastAsia" w:ascii="宋体" w:hAnsi="宋体" w:eastAsia="宋体" w:cs="宋体"/>
          <w:color w:val="auto"/>
          <w:kern w:val="0"/>
          <w:sz w:val="24"/>
          <w:szCs w:val="24"/>
          <w:highlight w:val="none"/>
          <w:lang w:bidi="ar"/>
        </w:rPr>
        <w:t>1</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bidi="ar"/>
        </w:rPr>
        <w:t>964</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bidi="ar"/>
        </w:rPr>
        <w:t>798</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bidi="ar"/>
        </w:rPr>
        <w:t>926.96元，</w:t>
      </w:r>
      <w:r>
        <w:rPr>
          <w:rFonts w:hint="eastAsia" w:ascii="宋体" w:hAnsi="宋体" w:cs="宋体"/>
          <w:color w:val="auto"/>
          <w:kern w:val="0"/>
          <w:sz w:val="24"/>
          <w:szCs w:val="24"/>
          <w:highlight w:val="none"/>
          <w:lang w:val="en-US" w:eastAsia="zh-CN" w:bidi="ar"/>
        </w:rPr>
        <w:t>增</w:t>
      </w:r>
      <w:r>
        <w:rPr>
          <w:rFonts w:hint="eastAsia" w:ascii="宋体" w:hAnsi="宋体" w:eastAsia="宋体" w:cs="宋体"/>
          <w:color w:val="auto"/>
          <w:kern w:val="0"/>
          <w:sz w:val="24"/>
          <w:szCs w:val="24"/>
          <w:highlight w:val="none"/>
          <w:lang w:eastAsia="zh-CN" w:bidi="ar"/>
        </w:rPr>
        <w:t>幅</w:t>
      </w:r>
      <w:r>
        <w:rPr>
          <w:rFonts w:hint="eastAsia" w:ascii="宋体" w:hAnsi="宋体" w:cs="宋体"/>
          <w:color w:val="auto"/>
          <w:kern w:val="0"/>
          <w:sz w:val="24"/>
          <w:szCs w:val="24"/>
          <w:highlight w:val="none"/>
          <w:lang w:val="en-US" w:eastAsia="zh-CN" w:bidi="ar"/>
        </w:rPr>
        <w:t>103.7</w:t>
      </w:r>
      <w:r>
        <w:rPr>
          <w:rFonts w:hint="eastAsia" w:ascii="宋体" w:hAnsi="宋体" w:eastAsia="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bidi="ar"/>
        </w:rPr>
        <w:t>。</w:t>
      </w:r>
      <w:r>
        <w:rPr>
          <w:rFonts w:hint="eastAsia" w:ascii="宋体" w:hAnsi="宋体" w:eastAsia="宋体" w:cs="宋体"/>
          <w:b w:val="0"/>
          <w:bCs w:val="0"/>
          <w:color w:val="auto"/>
          <w:kern w:val="0"/>
          <w:sz w:val="24"/>
          <w:szCs w:val="24"/>
          <w:highlight w:val="none"/>
          <w:lang w:val="en-US" w:eastAsia="zh-CN"/>
        </w:rPr>
        <w:t>同期剔除一次性事项（</w:t>
      </w:r>
      <w:r>
        <w:rPr>
          <w:rFonts w:hint="eastAsia" w:ascii="宋体" w:hAnsi="宋体" w:cs="宋体"/>
          <w:b w:val="0"/>
          <w:bCs w:val="0"/>
          <w:color w:val="auto"/>
          <w:kern w:val="0"/>
          <w:sz w:val="24"/>
          <w:szCs w:val="24"/>
          <w:highlight w:val="none"/>
          <w:lang w:val="en-US" w:eastAsia="zh-CN"/>
        </w:rPr>
        <w:t>2023年</w:t>
      </w:r>
      <w:r>
        <w:rPr>
          <w:rFonts w:hint="eastAsia" w:ascii="宋体" w:hAnsi="宋体" w:eastAsia="宋体" w:cs="宋体"/>
          <w:b w:val="0"/>
          <w:bCs w:val="0"/>
          <w:color w:val="auto"/>
          <w:kern w:val="0"/>
          <w:sz w:val="24"/>
          <w:szCs w:val="24"/>
          <w:highlight w:val="none"/>
          <w:lang w:val="en-US" w:eastAsia="zh-CN"/>
        </w:rPr>
        <w:t>收购绥阳公司股权损失8.13亿元及计提泰元公司减值13.5亿元）后</w:t>
      </w:r>
      <w:r>
        <w:rPr>
          <w:rFonts w:hint="eastAsia" w:ascii="宋体" w:hAnsi="宋体" w:cs="宋体"/>
          <w:b w:val="0"/>
          <w:bCs w:val="0"/>
          <w:color w:val="auto"/>
          <w:kern w:val="0"/>
          <w:sz w:val="24"/>
          <w:szCs w:val="24"/>
          <w:highlight w:val="none"/>
          <w:lang w:val="en-US" w:eastAsia="zh-CN"/>
        </w:rPr>
        <w:t>净利润</w:t>
      </w:r>
      <w:r>
        <w:rPr>
          <w:rFonts w:hint="eastAsia" w:ascii="宋体" w:hAnsi="宋体" w:eastAsia="宋体" w:cs="宋体"/>
          <w:b w:val="0"/>
          <w:bCs w:val="0"/>
          <w:color w:val="auto"/>
          <w:kern w:val="0"/>
          <w:sz w:val="24"/>
          <w:szCs w:val="24"/>
          <w:highlight w:val="none"/>
          <w:lang w:val="en-US" w:eastAsia="zh-CN"/>
        </w:rPr>
        <w:t>为</w:t>
      </w:r>
      <w:r>
        <w:rPr>
          <w:rFonts w:hint="eastAsia" w:ascii="宋体" w:hAnsi="宋体" w:cs="宋体"/>
          <w:b w:val="0"/>
          <w:bCs w:val="0"/>
          <w:color w:val="auto"/>
          <w:kern w:val="0"/>
          <w:sz w:val="24"/>
          <w:szCs w:val="24"/>
          <w:highlight w:val="none"/>
          <w:lang w:val="en-US" w:eastAsia="zh-CN"/>
        </w:rPr>
        <w:t>2.68</w:t>
      </w:r>
      <w:r>
        <w:rPr>
          <w:rFonts w:hint="eastAsia" w:ascii="宋体" w:hAnsi="宋体" w:eastAsia="宋体" w:cs="宋体"/>
          <w:b w:val="0"/>
          <w:bCs w:val="0"/>
          <w:color w:val="auto"/>
          <w:kern w:val="0"/>
          <w:sz w:val="24"/>
          <w:szCs w:val="24"/>
          <w:highlight w:val="none"/>
          <w:lang w:val="en-US" w:eastAsia="zh-CN"/>
        </w:rPr>
        <w:t>亿元，同比</w:t>
      </w:r>
      <w:r>
        <w:rPr>
          <w:rFonts w:hint="eastAsia" w:ascii="宋体" w:hAnsi="宋体" w:cs="宋体"/>
          <w:b w:val="0"/>
          <w:bCs w:val="0"/>
          <w:color w:val="auto"/>
          <w:kern w:val="0"/>
          <w:sz w:val="24"/>
          <w:szCs w:val="24"/>
          <w:highlight w:val="none"/>
          <w:lang w:val="en-US" w:eastAsia="zh-CN"/>
        </w:rPr>
        <w:t>减利1.98</w:t>
      </w:r>
      <w:r>
        <w:rPr>
          <w:rFonts w:hint="eastAsia" w:ascii="宋体" w:hAnsi="宋体" w:eastAsia="宋体" w:cs="宋体"/>
          <w:b w:val="0"/>
          <w:bCs w:val="0"/>
          <w:color w:val="auto"/>
          <w:kern w:val="0"/>
          <w:sz w:val="24"/>
          <w:szCs w:val="24"/>
          <w:highlight w:val="none"/>
          <w:lang w:val="en-US" w:eastAsia="zh-CN"/>
        </w:rPr>
        <w:t>亿元</w:t>
      </w:r>
      <w:r>
        <w:rPr>
          <w:rFonts w:hint="eastAsia" w:ascii="宋体" w:hAnsi="宋体" w:cs="宋体"/>
          <w:b w:val="0"/>
          <w:bCs w:val="0"/>
          <w:color w:val="auto"/>
          <w:kern w:val="0"/>
          <w:sz w:val="24"/>
          <w:szCs w:val="24"/>
          <w:highlight w:val="none"/>
          <w:lang w:val="en-US" w:eastAsia="zh-CN"/>
        </w:rPr>
        <w:t>。</w:t>
      </w:r>
    </w:p>
    <w:p>
      <w:pPr>
        <w:keepNext w:val="0"/>
        <w:keepLines w:val="0"/>
        <w:pageBreakBefore w:val="0"/>
        <w:widowControl/>
        <w:numPr>
          <w:ilvl w:val="0"/>
          <w:numId w:val="0"/>
        </w:numPr>
        <w:kinsoku/>
        <w:wordWrap/>
        <w:overflowPunct/>
        <w:topLinePunct w:val="0"/>
        <w:autoSpaceDE/>
        <w:autoSpaceDN/>
        <w:bidi w:val="0"/>
        <w:adjustRightInd/>
        <w:snapToGrid w:val="0"/>
        <w:spacing w:line="400" w:lineRule="exact"/>
        <w:ind w:firstLine="470" w:firstLineChars="196"/>
        <w:textAlignment w:val="auto"/>
        <w:rPr>
          <w:rFonts w:hint="eastAsia" w:ascii="宋体" w:hAnsi="宋体" w:cs="宋体"/>
          <w:color w:val="auto"/>
          <w:kern w:val="0"/>
          <w:sz w:val="24"/>
          <w:highlight w:val="none"/>
        </w:rPr>
      </w:pPr>
      <w:r>
        <w:rPr>
          <w:rFonts w:hint="eastAsia" w:ascii="宋体" w:hAnsi="宋体" w:cs="宋体"/>
          <w:b w:val="0"/>
          <w:bCs w:val="0"/>
          <w:color w:val="auto"/>
          <w:kern w:val="0"/>
          <w:sz w:val="24"/>
          <w:szCs w:val="24"/>
          <w:highlight w:val="none"/>
          <w:lang w:val="en-US" w:eastAsia="zh-CN"/>
        </w:rPr>
        <w:t>净利润</w:t>
      </w:r>
      <w:r>
        <w:rPr>
          <w:rFonts w:hint="eastAsia" w:ascii="宋体" w:hAnsi="宋体" w:eastAsia="宋体" w:cs="宋体"/>
          <w:b w:val="0"/>
          <w:bCs w:val="0"/>
          <w:color w:val="auto"/>
          <w:kern w:val="0"/>
          <w:sz w:val="24"/>
          <w:szCs w:val="24"/>
          <w:highlight w:val="none"/>
          <w:lang w:val="en-US" w:eastAsia="zh-CN"/>
        </w:rPr>
        <w:t>同比</w:t>
      </w:r>
      <w:r>
        <w:rPr>
          <w:rFonts w:hint="eastAsia" w:ascii="宋体" w:hAnsi="宋体" w:cs="宋体"/>
          <w:b w:val="0"/>
          <w:bCs w:val="0"/>
          <w:color w:val="auto"/>
          <w:kern w:val="0"/>
          <w:sz w:val="24"/>
          <w:szCs w:val="24"/>
          <w:highlight w:val="none"/>
          <w:lang w:val="en-US" w:eastAsia="zh-CN"/>
        </w:rPr>
        <w:t>减利1.56</w:t>
      </w:r>
      <w:r>
        <w:rPr>
          <w:rFonts w:hint="eastAsia" w:ascii="宋体" w:hAnsi="宋体" w:eastAsia="宋体" w:cs="宋体"/>
          <w:b w:val="0"/>
          <w:bCs w:val="0"/>
          <w:color w:val="auto"/>
          <w:kern w:val="0"/>
          <w:sz w:val="24"/>
          <w:szCs w:val="24"/>
          <w:highlight w:val="none"/>
          <w:lang w:val="en-US" w:eastAsia="zh-CN"/>
        </w:rPr>
        <w:t>亿元</w:t>
      </w:r>
      <w:r>
        <w:rPr>
          <w:rFonts w:hint="eastAsia" w:ascii="宋体" w:hAnsi="宋体" w:eastAsia="宋体" w:cs="宋体"/>
          <w:color w:val="auto"/>
          <w:kern w:val="0"/>
          <w:sz w:val="24"/>
          <w:szCs w:val="24"/>
          <w:highlight w:val="none"/>
        </w:rPr>
        <w:t>的主要原因：</w:t>
      </w:r>
      <w:r>
        <w:rPr>
          <w:rFonts w:hint="eastAsia" w:ascii="宋体" w:hAnsi="宋体" w:cs="宋体"/>
          <w:color w:val="auto"/>
          <w:kern w:val="0"/>
          <w:sz w:val="24"/>
          <w:szCs w:val="24"/>
          <w:highlight w:val="none"/>
          <w:lang w:val="en-US" w:eastAsia="zh-CN"/>
        </w:rPr>
        <w:t>一是</w:t>
      </w:r>
      <w:r>
        <w:rPr>
          <w:rFonts w:hint="eastAsia" w:ascii="宋体" w:hAnsi="宋体" w:eastAsia="宋体" w:cs="宋体"/>
          <w:b w:val="0"/>
          <w:bCs w:val="0"/>
          <w:color w:val="auto"/>
          <w:kern w:val="0"/>
          <w:sz w:val="24"/>
          <w:szCs w:val="24"/>
          <w:highlight w:val="none"/>
          <w:lang w:val="en-US" w:eastAsia="zh-CN"/>
        </w:rPr>
        <w:t>绥阳公司</w:t>
      </w:r>
      <w:r>
        <w:rPr>
          <w:rFonts w:hint="eastAsia" w:ascii="宋体" w:hAnsi="宋体" w:cs="宋体"/>
          <w:b w:val="0"/>
          <w:bCs w:val="0"/>
          <w:color w:val="auto"/>
          <w:kern w:val="0"/>
          <w:sz w:val="24"/>
          <w:szCs w:val="24"/>
          <w:highlight w:val="none"/>
          <w:lang w:val="en-US" w:eastAsia="zh-CN"/>
        </w:rPr>
        <w:t>因铁合金市场低迷，售价降低779.77元/吨，</w:t>
      </w:r>
      <w:r>
        <w:rPr>
          <w:rFonts w:hint="eastAsia" w:ascii="宋体" w:hAnsi="宋体" w:eastAsia="宋体" w:cs="宋体"/>
          <w:b w:val="0"/>
          <w:bCs w:val="0"/>
          <w:color w:val="auto"/>
          <w:kern w:val="0"/>
          <w:sz w:val="24"/>
          <w:szCs w:val="24"/>
          <w:highlight w:val="none"/>
          <w:lang w:val="en-US" w:eastAsia="zh-CN"/>
        </w:rPr>
        <w:t>同比</w:t>
      </w:r>
      <w:r>
        <w:rPr>
          <w:rFonts w:hint="eastAsia" w:ascii="宋体" w:hAnsi="宋体" w:cs="宋体"/>
          <w:b w:val="0"/>
          <w:bCs w:val="0"/>
          <w:color w:val="auto"/>
          <w:kern w:val="0"/>
          <w:sz w:val="24"/>
          <w:szCs w:val="24"/>
          <w:highlight w:val="none"/>
          <w:lang w:val="en-US" w:eastAsia="zh-CN"/>
        </w:rPr>
        <w:t>增亏2.39</w:t>
      </w:r>
      <w:r>
        <w:rPr>
          <w:rFonts w:hint="eastAsia" w:ascii="宋体" w:hAnsi="宋体" w:eastAsia="宋体" w:cs="宋体"/>
          <w:b w:val="0"/>
          <w:bCs w:val="0"/>
          <w:color w:val="auto"/>
          <w:kern w:val="0"/>
          <w:sz w:val="24"/>
          <w:szCs w:val="24"/>
          <w:highlight w:val="none"/>
          <w:lang w:val="en-US" w:eastAsia="zh-CN"/>
        </w:rPr>
        <w:t>亿元</w:t>
      </w:r>
      <w:r>
        <w:rPr>
          <w:rFonts w:hint="eastAsia" w:ascii="宋体" w:hAnsi="宋体" w:cs="宋体"/>
          <w:b w:val="0"/>
          <w:bCs w:val="0"/>
          <w:color w:val="auto"/>
          <w:kern w:val="0"/>
          <w:sz w:val="24"/>
          <w:szCs w:val="24"/>
          <w:highlight w:val="none"/>
          <w:lang w:val="en-US" w:eastAsia="zh-CN"/>
        </w:rPr>
        <w:t>；二是由于</w:t>
      </w:r>
      <w:r>
        <w:rPr>
          <w:rFonts w:hint="eastAsia" w:ascii="宋体" w:hAnsi="宋体" w:eastAsia="宋体" w:cs="宋体"/>
          <w:b w:val="0"/>
          <w:bCs w:val="0"/>
          <w:color w:val="auto"/>
          <w:kern w:val="0"/>
          <w:sz w:val="24"/>
          <w:szCs w:val="24"/>
          <w:highlight w:val="none"/>
          <w:lang w:val="en-US" w:eastAsia="zh-CN"/>
        </w:rPr>
        <w:t>能发公司</w:t>
      </w:r>
      <w:r>
        <w:rPr>
          <w:rFonts w:hint="eastAsia" w:ascii="宋体" w:hAnsi="宋体" w:cs="宋体"/>
          <w:b w:val="0"/>
          <w:bCs w:val="0"/>
          <w:color w:val="auto"/>
          <w:kern w:val="0"/>
          <w:sz w:val="24"/>
          <w:szCs w:val="24"/>
          <w:highlight w:val="none"/>
          <w:lang w:val="en-US" w:eastAsia="zh-CN"/>
        </w:rPr>
        <w:t>股权转让，贵州金元对债权进行重估，造成暂时性损失2.99</w:t>
      </w:r>
      <w:r>
        <w:rPr>
          <w:rFonts w:hint="eastAsia" w:ascii="宋体" w:hAnsi="宋体" w:eastAsia="宋体" w:cs="宋体"/>
          <w:color w:val="auto"/>
          <w:kern w:val="0"/>
          <w:sz w:val="24"/>
          <w:szCs w:val="24"/>
          <w:highlight w:val="none"/>
          <w:lang w:val="en-US" w:eastAsia="zh-CN" w:bidi="ar-SA"/>
        </w:rPr>
        <w:t>亿元</w:t>
      </w:r>
      <w:r>
        <w:rPr>
          <w:rFonts w:hint="eastAsia" w:ascii="宋体" w:hAnsi="宋体" w:cs="宋体"/>
          <w:color w:val="auto"/>
          <w:kern w:val="0"/>
          <w:sz w:val="24"/>
          <w:szCs w:val="24"/>
          <w:highlight w:val="none"/>
          <w:lang w:val="en-US" w:eastAsia="zh-CN" w:bidi="ar-SA"/>
        </w:rPr>
        <w:t>，待债权收回后逐年转回损失。</w:t>
      </w:r>
      <w:r>
        <w:rPr>
          <w:rFonts w:hint="eastAsia" w:ascii="宋体" w:hAnsi="宋体" w:eastAsia="宋体" w:cs="宋体"/>
          <w:color w:val="auto"/>
          <w:kern w:val="0"/>
          <w:sz w:val="24"/>
          <w:szCs w:val="24"/>
          <w:highlight w:val="none"/>
          <w:lang w:val="en-US" w:eastAsia="zh-CN" w:bidi="ar-SA"/>
        </w:rPr>
        <w:t>基于以上</w:t>
      </w:r>
      <w:r>
        <w:rPr>
          <w:rFonts w:hint="eastAsia" w:ascii="宋体" w:hAnsi="宋体" w:cs="宋体"/>
          <w:color w:val="auto"/>
          <w:kern w:val="0"/>
          <w:sz w:val="24"/>
          <w:szCs w:val="24"/>
          <w:highlight w:val="none"/>
          <w:lang w:val="en-US" w:eastAsia="zh-CN" w:bidi="ar-SA"/>
        </w:rPr>
        <w:t>因素合计减利5.38亿元，</w:t>
      </w:r>
      <w:r>
        <w:rPr>
          <w:rFonts w:hint="eastAsia" w:ascii="宋体" w:hAnsi="宋体" w:eastAsia="宋体" w:cs="宋体"/>
          <w:color w:val="auto"/>
          <w:kern w:val="0"/>
          <w:sz w:val="24"/>
          <w:szCs w:val="24"/>
          <w:highlight w:val="none"/>
          <w:lang w:val="en-US" w:eastAsia="zh-CN" w:bidi="ar-SA"/>
        </w:rPr>
        <w:t>贵州金元2024年千方百计抢抓发电量</w:t>
      </w:r>
      <w:r>
        <w:rPr>
          <w:rFonts w:hint="eastAsia" w:ascii="宋体" w:hAnsi="宋体" w:cs="宋体"/>
          <w:color w:val="auto"/>
          <w:kern w:val="0"/>
          <w:sz w:val="24"/>
          <w:szCs w:val="24"/>
          <w:highlight w:val="none"/>
          <w:lang w:val="en-US" w:eastAsia="zh-CN" w:bidi="ar-SA"/>
        </w:rPr>
        <w:t>、通过压降成本、处置低效无效资产等措施，共计增加营业利润3.84亿元，其中：一是</w:t>
      </w:r>
      <w:r>
        <w:rPr>
          <w:rFonts w:hint="eastAsia" w:ascii="宋体" w:hAnsi="宋体" w:eastAsia="宋体" w:cs="宋体"/>
          <w:i w:val="0"/>
          <w:iCs w:val="0"/>
          <w:caps w:val="0"/>
          <w:color w:val="auto"/>
          <w:spacing w:val="0"/>
          <w:kern w:val="0"/>
          <w:sz w:val="24"/>
          <w:szCs w:val="24"/>
          <w:highlight w:val="none"/>
          <w:shd w:val="clear"/>
          <w:lang w:val="en-US" w:eastAsia="zh-CN"/>
        </w:rPr>
        <w:t>水电板块</w:t>
      </w:r>
      <w:r>
        <w:rPr>
          <w:rFonts w:hint="eastAsia" w:ascii="宋体" w:hAnsi="宋体" w:cs="宋体"/>
          <w:i w:val="0"/>
          <w:iCs w:val="0"/>
          <w:caps w:val="0"/>
          <w:color w:val="auto"/>
          <w:spacing w:val="0"/>
          <w:kern w:val="0"/>
          <w:sz w:val="24"/>
          <w:szCs w:val="24"/>
          <w:highlight w:val="none"/>
          <w:shd w:val="clear"/>
          <w:lang w:val="en-US" w:eastAsia="zh-CN"/>
        </w:rPr>
        <w:t>通过</w:t>
      </w:r>
      <w:r>
        <w:rPr>
          <w:rFonts w:hint="eastAsia" w:ascii="宋体" w:hAnsi="宋体" w:eastAsia="宋体" w:cs="宋体"/>
          <w:i w:val="0"/>
          <w:iCs w:val="0"/>
          <w:caps w:val="0"/>
          <w:color w:val="auto"/>
          <w:spacing w:val="0"/>
          <w:kern w:val="0"/>
          <w:sz w:val="24"/>
          <w:szCs w:val="24"/>
          <w:highlight w:val="none"/>
          <w:shd w:val="clear"/>
          <w:lang w:val="en-US" w:eastAsia="zh-CN"/>
        </w:rPr>
        <w:t>增发电量</w:t>
      </w:r>
      <w:r>
        <w:rPr>
          <w:rFonts w:hint="eastAsia" w:ascii="宋体" w:hAnsi="宋体" w:cs="宋体"/>
          <w:i w:val="0"/>
          <w:iCs w:val="0"/>
          <w:caps w:val="0"/>
          <w:color w:val="auto"/>
          <w:spacing w:val="0"/>
          <w:kern w:val="0"/>
          <w:sz w:val="24"/>
          <w:szCs w:val="24"/>
          <w:highlight w:val="none"/>
          <w:shd w:val="clear"/>
          <w:lang w:val="en-US" w:eastAsia="zh-CN"/>
        </w:rPr>
        <w:t>、</w:t>
      </w:r>
      <w:r>
        <w:rPr>
          <w:rFonts w:hint="eastAsia" w:ascii="宋体" w:hAnsi="宋体" w:eastAsia="宋体" w:cs="宋体"/>
          <w:i w:val="0"/>
          <w:iCs w:val="0"/>
          <w:caps w:val="0"/>
          <w:color w:val="auto"/>
          <w:spacing w:val="0"/>
          <w:kern w:val="0"/>
          <w:sz w:val="24"/>
          <w:szCs w:val="24"/>
          <w:highlight w:val="none"/>
          <w:shd w:val="clear"/>
          <w:lang w:val="en-US" w:eastAsia="zh-CN"/>
        </w:rPr>
        <w:t>控降成本费用，</w:t>
      </w:r>
      <w:r>
        <w:rPr>
          <w:rFonts w:hint="eastAsia" w:ascii="宋体" w:hAnsi="宋体" w:eastAsia="宋体" w:cs="宋体"/>
          <w:b w:val="0"/>
          <w:snapToGrid/>
          <w:color w:val="auto"/>
          <w:kern w:val="0"/>
          <w:sz w:val="24"/>
          <w:szCs w:val="24"/>
          <w:highlight w:val="none"/>
          <w:lang w:val="en-US" w:eastAsia="zh-CN"/>
        </w:rPr>
        <w:t>新能源板块克服市场化交易带来的电价下行，通过控降三项费用、财务费用等措施</w:t>
      </w:r>
      <w:r>
        <w:rPr>
          <w:rFonts w:hint="eastAsia" w:ascii="宋体" w:hAnsi="宋体" w:cs="宋体"/>
          <w:b w:val="0"/>
          <w:snapToGrid/>
          <w:color w:val="auto"/>
          <w:kern w:val="0"/>
          <w:sz w:val="24"/>
          <w:szCs w:val="24"/>
          <w:highlight w:val="none"/>
          <w:lang w:val="en-US" w:eastAsia="zh-CN"/>
        </w:rPr>
        <w:t>，共计提升</w:t>
      </w:r>
      <w:r>
        <w:rPr>
          <w:rFonts w:hint="eastAsia" w:ascii="宋体" w:hAnsi="宋体" w:cs="宋体"/>
          <w:i w:val="0"/>
          <w:iCs w:val="0"/>
          <w:caps w:val="0"/>
          <w:color w:val="auto"/>
          <w:spacing w:val="0"/>
          <w:kern w:val="0"/>
          <w:sz w:val="24"/>
          <w:szCs w:val="24"/>
          <w:highlight w:val="none"/>
          <w:shd w:val="clear"/>
          <w:lang w:val="en-US" w:eastAsia="zh-CN"/>
        </w:rPr>
        <w:t>售电单位利润21.12</w:t>
      </w:r>
      <w:r>
        <w:rPr>
          <w:rFonts w:hint="eastAsia" w:ascii="宋体" w:hAnsi="宋体" w:eastAsia="宋体" w:cs="宋体"/>
          <w:i w:val="0"/>
          <w:iCs w:val="0"/>
          <w:caps w:val="0"/>
          <w:color w:val="auto"/>
          <w:spacing w:val="0"/>
          <w:kern w:val="0"/>
          <w:sz w:val="24"/>
          <w:szCs w:val="24"/>
          <w:highlight w:val="none"/>
          <w:shd w:val="clear"/>
          <w:lang w:val="en-US" w:eastAsia="zh-CN"/>
        </w:rPr>
        <w:t>元/千千瓦时，</w:t>
      </w:r>
      <w:r>
        <w:rPr>
          <w:rFonts w:hint="eastAsia" w:ascii="宋体" w:hAnsi="宋体" w:eastAsia="宋体" w:cs="宋体"/>
          <w:b w:val="0"/>
          <w:bCs w:val="0"/>
          <w:color w:val="auto"/>
          <w:kern w:val="0"/>
          <w:sz w:val="24"/>
          <w:szCs w:val="24"/>
          <w:highlight w:val="none"/>
          <w:lang w:val="en-US" w:eastAsia="zh-CN"/>
        </w:rPr>
        <w:t>增加</w:t>
      </w:r>
      <w:r>
        <w:rPr>
          <w:rFonts w:hint="eastAsia" w:ascii="宋体" w:hAnsi="宋体" w:cs="宋体"/>
          <w:b w:val="0"/>
          <w:bCs w:val="0"/>
          <w:color w:val="auto"/>
          <w:kern w:val="0"/>
          <w:sz w:val="24"/>
          <w:szCs w:val="24"/>
          <w:highlight w:val="none"/>
          <w:lang w:val="en-US" w:eastAsia="zh-CN"/>
        </w:rPr>
        <w:t>净利润</w:t>
      </w:r>
      <w:r>
        <w:rPr>
          <w:rFonts w:hint="eastAsia" w:ascii="宋体" w:hAnsi="宋体" w:cs="宋体"/>
          <w:color w:val="auto"/>
          <w:kern w:val="0"/>
          <w:sz w:val="24"/>
          <w:szCs w:val="24"/>
          <w:highlight w:val="none"/>
          <w:lang w:val="en-US" w:eastAsia="zh-CN" w:bidi="ar-SA"/>
        </w:rPr>
        <w:t>2.54</w:t>
      </w:r>
      <w:r>
        <w:rPr>
          <w:rFonts w:hint="eastAsia" w:ascii="宋体" w:hAnsi="宋体" w:eastAsia="宋体" w:cs="宋体"/>
          <w:b w:val="0"/>
          <w:bCs w:val="0"/>
          <w:color w:val="auto"/>
          <w:kern w:val="0"/>
          <w:sz w:val="24"/>
          <w:szCs w:val="24"/>
          <w:highlight w:val="none"/>
          <w:lang w:val="en-US" w:eastAsia="zh-CN"/>
        </w:rPr>
        <w:t>亿元</w:t>
      </w:r>
      <w:r>
        <w:rPr>
          <w:rFonts w:hint="eastAsia" w:ascii="宋体" w:hAnsi="宋体" w:cs="宋体"/>
          <w:b w:val="0"/>
          <w:bCs w:val="0"/>
          <w:color w:val="auto"/>
          <w:kern w:val="0"/>
          <w:sz w:val="24"/>
          <w:szCs w:val="24"/>
          <w:highlight w:val="none"/>
          <w:lang w:val="en-US" w:eastAsia="zh-CN"/>
        </w:rPr>
        <w:t>；</w:t>
      </w:r>
      <w:r>
        <w:rPr>
          <w:rFonts w:hint="eastAsia" w:ascii="宋体" w:hAnsi="宋体" w:eastAsia="宋体" w:cs="宋体"/>
          <w:b w:val="0"/>
          <w:snapToGrid/>
          <w:color w:val="auto"/>
          <w:kern w:val="0"/>
          <w:sz w:val="24"/>
          <w:szCs w:val="24"/>
          <w:highlight w:val="none"/>
          <w:lang w:val="en-US" w:eastAsia="zh-CN"/>
        </w:rPr>
        <w:t>二是通过</w:t>
      </w:r>
      <w:r>
        <w:rPr>
          <w:rFonts w:hint="eastAsia" w:ascii="宋体" w:hAnsi="宋体" w:eastAsia="宋体" w:cs="宋体"/>
          <w:b w:val="0"/>
          <w:snapToGrid/>
          <w:color w:val="auto"/>
          <w:kern w:val="0"/>
          <w:sz w:val="24"/>
          <w:szCs w:val="24"/>
          <w:highlight w:val="none"/>
        </w:rPr>
        <w:t>积极开展</w:t>
      </w:r>
      <w:r>
        <w:rPr>
          <w:rFonts w:hint="eastAsia" w:ascii="宋体" w:hAnsi="宋体" w:eastAsia="宋体" w:cs="宋体"/>
          <w:b w:val="0"/>
          <w:snapToGrid/>
          <w:color w:val="auto"/>
          <w:kern w:val="0"/>
          <w:sz w:val="24"/>
          <w:szCs w:val="24"/>
          <w:highlight w:val="none"/>
          <w:lang w:val="en-US" w:eastAsia="zh-CN"/>
        </w:rPr>
        <w:t>小水电</w:t>
      </w:r>
      <w:r>
        <w:rPr>
          <w:rFonts w:hint="eastAsia" w:ascii="宋体" w:hAnsi="宋体" w:eastAsia="宋体" w:cs="宋体"/>
          <w:b w:val="0"/>
          <w:snapToGrid/>
          <w:color w:val="auto"/>
          <w:kern w:val="0"/>
          <w:sz w:val="24"/>
          <w:szCs w:val="24"/>
          <w:highlight w:val="none"/>
        </w:rPr>
        <w:t>资产处置</w:t>
      </w:r>
      <w:r>
        <w:rPr>
          <w:rFonts w:hint="eastAsia" w:ascii="宋体" w:hAnsi="宋体" w:eastAsia="宋体" w:cs="宋体"/>
          <w:b w:val="0"/>
          <w:snapToGrid/>
          <w:color w:val="auto"/>
          <w:kern w:val="0"/>
          <w:sz w:val="24"/>
          <w:szCs w:val="24"/>
          <w:highlight w:val="none"/>
          <w:lang w:eastAsia="zh-CN"/>
        </w:rPr>
        <w:t>，</w:t>
      </w:r>
      <w:r>
        <w:rPr>
          <w:rFonts w:hint="eastAsia" w:ascii="宋体" w:hAnsi="宋体" w:eastAsia="宋体" w:cs="宋体"/>
          <w:b w:val="0"/>
          <w:snapToGrid/>
          <w:color w:val="auto"/>
          <w:kern w:val="0"/>
          <w:sz w:val="24"/>
          <w:szCs w:val="24"/>
          <w:highlight w:val="none"/>
          <w:lang w:val="en-US" w:eastAsia="zh-CN"/>
        </w:rPr>
        <w:t>并</w:t>
      </w:r>
      <w:r>
        <w:rPr>
          <w:rFonts w:hint="eastAsia" w:ascii="宋体" w:hAnsi="宋体" w:eastAsia="宋体" w:cs="宋体"/>
          <w:b w:val="0"/>
          <w:snapToGrid/>
          <w:color w:val="auto"/>
          <w:kern w:val="0"/>
          <w:sz w:val="24"/>
          <w:szCs w:val="24"/>
          <w:highlight w:val="none"/>
        </w:rPr>
        <w:t>与政府协商</w:t>
      </w:r>
      <w:r>
        <w:rPr>
          <w:rFonts w:hint="eastAsia" w:ascii="宋体" w:hAnsi="宋体" w:eastAsia="宋体" w:cs="宋体"/>
          <w:b w:val="0"/>
          <w:snapToGrid/>
          <w:color w:val="auto"/>
          <w:kern w:val="0"/>
          <w:sz w:val="24"/>
          <w:szCs w:val="24"/>
          <w:highlight w:val="none"/>
          <w:lang w:val="en-US" w:eastAsia="zh-CN"/>
        </w:rPr>
        <w:t>获取</w:t>
      </w:r>
      <w:r>
        <w:rPr>
          <w:rFonts w:hint="eastAsia" w:ascii="宋体" w:hAnsi="宋体" w:eastAsia="宋体" w:cs="宋体"/>
          <w:b w:val="0"/>
          <w:bCs w:val="0"/>
          <w:color w:val="auto"/>
          <w:kern w:val="0"/>
          <w:sz w:val="24"/>
          <w:szCs w:val="24"/>
          <w:highlight w:val="none"/>
          <w:lang w:val="en-US" w:eastAsia="zh-CN"/>
        </w:rPr>
        <w:t>明英电站赔偿款</w:t>
      </w:r>
      <w:r>
        <w:rPr>
          <w:rFonts w:hint="eastAsia" w:ascii="宋体" w:hAnsi="宋体" w:eastAsia="宋体" w:cs="宋体"/>
          <w:b w:val="0"/>
          <w:snapToGrid/>
          <w:color w:val="auto"/>
          <w:kern w:val="0"/>
          <w:sz w:val="24"/>
          <w:szCs w:val="24"/>
          <w:highlight w:val="none"/>
          <w:lang w:eastAsia="zh-CN"/>
        </w:rPr>
        <w:t>，</w:t>
      </w:r>
      <w:r>
        <w:rPr>
          <w:rFonts w:hint="eastAsia" w:ascii="宋体" w:hAnsi="宋体" w:eastAsia="宋体" w:cs="宋体"/>
          <w:b w:val="0"/>
          <w:bCs w:val="0"/>
          <w:color w:val="auto"/>
          <w:kern w:val="0"/>
          <w:sz w:val="24"/>
          <w:szCs w:val="24"/>
          <w:highlight w:val="none"/>
          <w:lang w:val="en-US" w:eastAsia="zh-CN"/>
        </w:rPr>
        <w:t>增加</w:t>
      </w:r>
      <w:r>
        <w:rPr>
          <w:rFonts w:hint="eastAsia" w:ascii="宋体" w:hAnsi="宋体" w:cs="宋体"/>
          <w:color w:val="auto"/>
          <w:kern w:val="0"/>
          <w:sz w:val="24"/>
          <w:szCs w:val="24"/>
          <w:highlight w:val="none"/>
          <w:lang w:val="en-US" w:eastAsia="zh-CN" w:bidi="ar-SA"/>
        </w:rPr>
        <w:t>营业利润</w:t>
      </w:r>
      <w:r>
        <w:rPr>
          <w:rFonts w:hint="eastAsia" w:ascii="宋体" w:hAnsi="宋体" w:eastAsia="宋体" w:cs="宋体"/>
          <w:b w:val="0"/>
          <w:bCs w:val="0"/>
          <w:color w:val="auto"/>
          <w:kern w:val="0"/>
          <w:sz w:val="24"/>
          <w:szCs w:val="24"/>
          <w:highlight w:val="none"/>
          <w:lang w:val="en-US" w:eastAsia="zh-CN"/>
        </w:rPr>
        <w:t>1.</w:t>
      </w:r>
      <w:r>
        <w:rPr>
          <w:rFonts w:hint="eastAsia" w:ascii="宋体" w:hAnsi="宋体" w:cs="宋体"/>
          <w:b w:val="0"/>
          <w:bCs w:val="0"/>
          <w:color w:val="auto"/>
          <w:kern w:val="0"/>
          <w:sz w:val="24"/>
          <w:szCs w:val="24"/>
          <w:highlight w:val="none"/>
          <w:lang w:val="en-US" w:eastAsia="zh-CN"/>
        </w:rPr>
        <w:t>3</w:t>
      </w:r>
      <w:r>
        <w:rPr>
          <w:rFonts w:hint="eastAsia" w:ascii="宋体" w:hAnsi="宋体" w:eastAsia="宋体" w:cs="宋体"/>
          <w:b w:val="0"/>
          <w:bCs w:val="0"/>
          <w:color w:val="auto"/>
          <w:kern w:val="0"/>
          <w:sz w:val="24"/>
          <w:szCs w:val="24"/>
          <w:highlight w:val="none"/>
          <w:lang w:val="en-US" w:eastAsia="zh-CN"/>
        </w:rPr>
        <w:t>亿元</w:t>
      </w:r>
      <w:r>
        <w:rPr>
          <w:rFonts w:hint="eastAsia" w:ascii="宋体" w:hAnsi="宋体" w:cs="宋体"/>
          <w:b w:val="0"/>
          <w:bCs w:val="0"/>
          <w:color w:val="auto"/>
          <w:kern w:val="0"/>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bCs w:val="0"/>
          <w:color w:val="auto"/>
          <w:highlight w:val="none"/>
        </w:rPr>
      </w:pPr>
      <w:r>
        <w:rPr>
          <w:rFonts w:hint="eastAsia" w:ascii="宋体" w:hAnsi="宋体" w:cs="宋体"/>
          <w:b w:val="0"/>
          <w:bCs w:val="0"/>
          <w:color w:val="auto"/>
          <w:sz w:val="24"/>
          <w:szCs w:val="24"/>
          <w:highlight w:val="none"/>
        </w:rPr>
        <w:t>(2)收入</w:t>
      </w:r>
      <w:r>
        <w:rPr>
          <w:rFonts w:hint="eastAsia" w:ascii="宋体" w:hAnsi="宋体" w:cs="宋体"/>
          <w:b w:val="0"/>
          <w:bCs w:val="0"/>
          <w:color w:val="auto"/>
          <w:sz w:val="24"/>
          <w:szCs w:val="24"/>
          <w:highlight w:val="none"/>
          <w:lang w:eastAsia="zh-CN"/>
        </w:rPr>
        <w:t>、成本</w:t>
      </w:r>
      <w:r>
        <w:rPr>
          <w:rFonts w:hint="eastAsia" w:ascii="宋体" w:hAnsi="宋体" w:cs="宋体"/>
          <w:b w:val="0"/>
          <w:bCs w:val="0"/>
          <w:color w:val="auto"/>
          <w:sz w:val="24"/>
          <w:szCs w:val="24"/>
          <w:highlight w:val="none"/>
        </w:rPr>
        <w:t>构成</w:t>
      </w:r>
    </w:p>
    <w:p>
      <w:pPr>
        <w:spacing w:line="360" w:lineRule="auto"/>
        <w:jc w:val="right"/>
        <w:rPr>
          <w:rFonts w:hint="eastAsia" w:ascii="宋体" w:hAnsi="宋体" w:cs="宋体"/>
          <w:color w:val="auto"/>
          <w:sz w:val="24"/>
          <w:szCs w:val="24"/>
          <w:highlight w:val="none"/>
        </w:rPr>
      </w:pPr>
      <w:r>
        <w:rPr>
          <w:rFonts w:hint="eastAsia" w:ascii="宋体" w:hAnsi="宋体" w:cs="宋体"/>
          <w:color w:val="auto"/>
          <w:highlight w:val="none"/>
        </w:rPr>
        <w:t>单位：元</w:t>
      </w:r>
    </w:p>
    <w:tbl>
      <w:tblPr>
        <w:tblStyle w:val="22"/>
        <w:tblW w:w="0" w:type="auto"/>
        <w:tblInd w:w="0"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2036"/>
        <w:gridCol w:w="2225"/>
        <w:gridCol w:w="2133"/>
        <w:gridCol w:w="2133"/>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c>
          <w:tcPr>
            <w:tcW w:w="2036" w:type="dxa"/>
            <w:tcBorders>
              <w:top w:val="single" w:color="auto" w:sz="4" w:space="0"/>
              <w:left w:val="single" w:color="auto" w:sz="4" w:space="0"/>
              <w:bottom w:val="single" w:color="auto" w:sz="4" w:space="0"/>
              <w:right w:val="single" w:color="auto" w:sz="4" w:space="0"/>
            </w:tcBorders>
            <w:noWrap w:val="0"/>
            <w:vAlign w:val="center"/>
          </w:tcPr>
          <w:p>
            <w:pPr>
              <w:tabs>
                <w:tab w:val="left" w:pos="5140"/>
              </w:tabs>
              <w:spacing w:line="360" w:lineRule="auto"/>
              <w:jc w:val="center"/>
              <w:rPr>
                <w:rFonts w:hint="eastAsia" w:ascii="宋体" w:hAnsi="宋体" w:cs="宋体"/>
                <w:b w:val="0"/>
                <w:bCs w:val="0"/>
                <w:color w:val="auto"/>
                <w:kern w:val="0"/>
                <w:sz w:val="20"/>
                <w:szCs w:val="20"/>
                <w:highlight w:val="none"/>
              </w:rPr>
            </w:pPr>
            <w:r>
              <w:rPr>
                <w:rFonts w:hint="eastAsia" w:ascii="宋体" w:hAnsi="宋体" w:cs="宋体"/>
                <w:b w:val="0"/>
                <w:bCs w:val="0"/>
                <w:color w:val="auto"/>
                <w:kern w:val="0"/>
                <w:sz w:val="20"/>
                <w:szCs w:val="20"/>
                <w:highlight w:val="none"/>
              </w:rPr>
              <w:t>项目</w:t>
            </w:r>
          </w:p>
        </w:tc>
        <w:tc>
          <w:tcPr>
            <w:tcW w:w="2225" w:type="dxa"/>
            <w:tcBorders>
              <w:top w:val="single" w:color="auto" w:sz="4" w:space="0"/>
              <w:left w:val="single" w:color="auto" w:sz="4" w:space="0"/>
              <w:bottom w:val="single" w:color="auto" w:sz="4" w:space="0"/>
              <w:right w:val="single" w:color="auto" w:sz="4" w:space="0"/>
            </w:tcBorders>
            <w:noWrap w:val="0"/>
            <w:vAlign w:val="center"/>
          </w:tcPr>
          <w:p>
            <w:pPr>
              <w:tabs>
                <w:tab w:val="left" w:pos="5140"/>
              </w:tabs>
              <w:spacing w:line="360" w:lineRule="auto"/>
              <w:jc w:val="center"/>
              <w:rPr>
                <w:rFonts w:hint="eastAsia" w:ascii="宋体" w:hAnsi="宋体" w:cs="宋体"/>
                <w:b w:val="0"/>
                <w:bCs w:val="0"/>
                <w:color w:val="auto"/>
                <w:kern w:val="0"/>
                <w:sz w:val="20"/>
                <w:szCs w:val="20"/>
                <w:highlight w:val="none"/>
              </w:rPr>
            </w:pPr>
            <w:r>
              <w:rPr>
                <w:rFonts w:hint="eastAsia" w:ascii="宋体" w:hAnsi="宋体" w:cs="宋体"/>
                <w:b w:val="0"/>
                <w:bCs w:val="0"/>
                <w:color w:val="auto"/>
                <w:kern w:val="0"/>
                <w:sz w:val="20"/>
                <w:szCs w:val="20"/>
                <w:highlight w:val="none"/>
              </w:rPr>
              <w:t>本期金额</w:t>
            </w:r>
          </w:p>
        </w:tc>
        <w:tc>
          <w:tcPr>
            <w:tcW w:w="2133" w:type="dxa"/>
            <w:tcBorders>
              <w:top w:val="single" w:color="auto" w:sz="4" w:space="0"/>
              <w:left w:val="single" w:color="auto" w:sz="4" w:space="0"/>
              <w:bottom w:val="single" w:color="auto" w:sz="4" w:space="0"/>
              <w:right w:val="single" w:color="auto" w:sz="4" w:space="0"/>
            </w:tcBorders>
            <w:noWrap w:val="0"/>
            <w:vAlign w:val="center"/>
          </w:tcPr>
          <w:p>
            <w:pPr>
              <w:tabs>
                <w:tab w:val="left" w:pos="5140"/>
              </w:tabs>
              <w:spacing w:line="360" w:lineRule="auto"/>
              <w:jc w:val="center"/>
              <w:rPr>
                <w:rFonts w:hint="eastAsia" w:ascii="宋体" w:hAnsi="宋体" w:cs="宋体"/>
                <w:b w:val="0"/>
                <w:bCs w:val="0"/>
                <w:color w:val="auto"/>
                <w:kern w:val="0"/>
                <w:sz w:val="20"/>
                <w:szCs w:val="20"/>
                <w:highlight w:val="none"/>
              </w:rPr>
            </w:pPr>
            <w:r>
              <w:rPr>
                <w:rFonts w:hint="eastAsia" w:ascii="宋体" w:hAnsi="宋体" w:cs="宋体"/>
                <w:b w:val="0"/>
                <w:bCs w:val="0"/>
                <w:color w:val="auto"/>
                <w:kern w:val="0"/>
                <w:sz w:val="20"/>
                <w:szCs w:val="20"/>
                <w:highlight w:val="none"/>
              </w:rPr>
              <w:t>上期金额</w:t>
            </w:r>
          </w:p>
        </w:tc>
        <w:tc>
          <w:tcPr>
            <w:tcW w:w="2133" w:type="dxa"/>
            <w:tcBorders>
              <w:top w:val="single" w:color="auto" w:sz="4" w:space="0"/>
              <w:left w:val="single" w:color="auto" w:sz="4" w:space="0"/>
              <w:bottom w:val="single" w:color="auto" w:sz="4" w:space="0"/>
              <w:right w:val="single" w:color="auto" w:sz="4" w:space="0"/>
            </w:tcBorders>
            <w:noWrap w:val="0"/>
            <w:vAlign w:val="top"/>
          </w:tcPr>
          <w:p>
            <w:pPr>
              <w:tabs>
                <w:tab w:val="left" w:pos="5140"/>
              </w:tabs>
              <w:spacing w:line="360" w:lineRule="auto"/>
              <w:jc w:val="center"/>
              <w:rPr>
                <w:rFonts w:hint="eastAsia" w:ascii="宋体" w:hAnsi="宋体" w:cs="宋体"/>
                <w:b w:val="0"/>
                <w:bCs w:val="0"/>
                <w:color w:val="auto"/>
                <w:kern w:val="0"/>
                <w:sz w:val="20"/>
                <w:szCs w:val="20"/>
                <w:highlight w:val="none"/>
              </w:rPr>
            </w:pPr>
            <w:r>
              <w:rPr>
                <w:rFonts w:hint="eastAsia" w:ascii="宋体" w:hAnsi="宋体" w:cs="宋体"/>
                <w:b w:val="0"/>
                <w:bCs w:val="0"/>
                <w:color w:val="auto"/>
                <w:kern w:val="0"/>
                <w:sz w:val="20"/>
                <w:szCs w:val="20"/>
                <w:highlight w:val="none"/>
              </w:rPr>
              <w:t>增减</w:t>
            </w:r>
            <w:r>
              <w:rPr>
                <w:rFonts w:hint="eastAsia" w:ascii="宋体" w:hAnsi="宋体" w:cs="宋体"/>
                <w:b w:val="0"/>
                <w:bCs w:val="0"/>
                <w:color w:val="auto"/>
                <w:kern w:val="0"/>
                <w:sz w:val="20"/>
                <w:szCs w:val="20"/>
                <w:highlight w:val="none"/>
                <w:lang w:eastAsia="zh-CN"/>
              </w:rPr>
              <w:t>变动</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c>
          <w:tcPr>
            <w:tcW w:w="20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主营业务收入</w:t>
            </w:r>
          </w:p>
        </w:tc>
        <w:tc>
          <w:tcPr>
            <w:tcW w:w="222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jc w:val="right"/>
              <w:textAlignment w:val="top"/>
              <w:rPr>
                <w:rFonts w:hint="eastAsia" w:ascii="宋体" w:hAnsi="宋体" w:cs="宋体"/>
                <w:color w:val="auto"/>
                <w:kern w:val="0"/>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15,338,363,901.00</w:t>
            </w:r>
          </w:p>
        </w:tc>
        <w:tc>
          <w:tcPr>
            <w:tcW w:w="2133"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jc w:val="right"/>
              <w:textAlignment w:val="top"/>
              <w:rPr>
                <w:rFonts w:hint="eastAsia" w:ascii="宋体" w:hAnsi="宋体" w:cs="宋体"/>
                <w:color w:val="auto"/>
                <w:kern w:val="0"/>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16,216,652,633.18</w:t>
            </w:r>
          </w:p>
        </w:tc>
        <w:tc>
          <w:tcPr>
            <w:tcW w:w="2133"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jc w:val="right"/>
              <w:textAlignment w:val="top"/>
              <w:rPr>
                <w:rFonts w:hint="eastAsia" w:ascii="宋体" w:hAnsi="宋体" w:cs="宋体"/>
                <w:color w:val="auto"/>
                <w:kern w:val="0"/>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-5.42%</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c>
          <w:tcPr>
            <w:tcW w:w="20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其他业务收入</w:t>
            </w:r>
          </w:p>
        </w:tc>
        <w:tc>
          <w:tcPr>
            <w:tcW w:w="222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jc w:val="right"/>
              <w:textAlignment w:val="top"/>
              <w:rPr>
                <w:rFonts w:hint="eastAsia" w:ascii="宋体" w:hAnsi="宋体" w:cs="宋体"/>
                <w:color w:val="auto"/>
                <w:kern w:val="0"/>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982,641,978.66</w:t>
            </w:r>
          </w:p>
        </w:tc>
        <w:tc>
          <w:tcPr>
            <w:tcW w:w="2133"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jc w:val="right"/>
              <w:textAlignment w:val="top"/>
              <w:rPr>
                <w:rFonts w:hint="eastAsia" w:ascii="宋体" w:hAnsi="宋体" w:cs="宋体"/>
                <w:color w:val="auto"/>
                <w:kern w:val="0"/>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1,004,588,293.56</w:t>
            </w:r>
          </w:p>
        </w:tc>
        <w:tc>
          <w:tcPr>
            <w:tcW w:w="2133"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jc w:val="right"/>
              <w:textAlignment w:val="top"/>
              <w:rPr>
                <w:rFonts w:hint="eastAsia" w:ascii="宋体" w:hAnsi="宋体" w:cs="宋体"/>
                <w:color w:val="auto"/>
                <w:kern w:val="0"/>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-2.18%</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0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主营业务成本</w:t>
            </w:r>
          </w:p>
        </w:tc>
        <w:tc>
          <w:tcPr>
            <w:tcW w:w="222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jc w:val="right"/>
              <w:textAlignment w:val="top"/>
              <w:rPr>
                <w:rFonts w:hint="eastAsia" w:ascii="宋体" w:hAnsi="宋体" w:cs="宋体"/>
                <w:color w:val="auto"/>
                <w:kern w:val="0"/>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13,922,336,128.69</w:t>
            </w:r>
          </w:p>
        </w:tc>
        <w:tc>
          <w:tcPr>
            <w:tcW w:w="2133"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jc w:val="right"/>
              <w:textAlignment w:val="top"/>
              <w:rPr>
                <w:rFonts w:hint="eastAsia" w:ascii="宋体" w:hAnsi="宋体" w:cs="宋体"/>
                <w:color w:val="auto"/>
                <w:kern w:val="0"/>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13,598,972,464.36</w:t>
            </w:r>
          </w:p>
        </w:tc>
        <w:tc>
          <w:tcPr>
            <w:tcW w:w="2133"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jc w:val="right"/>
              <w:textAlignment w:val="top"/>
              <w:rPr>
                <w:rFonts w:hint="eastAsia" w:ascii="宋体" w:hAnsi="宋体" w:cs="宋体"/>
                <w:color w:val="auto"/>
                <w:kern w:val="0"/>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2.38%</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c>
          <w:tcPr>
            <w:tcW w:w="20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其他业务成本</w:t>
            </w:r>
          </w:p>
        </w:tc>
        <w:tc>
          <w:tcPr>
            <w:tcW w:w="222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jc w:val="right"/>
              <w:textAlignment w:val="top"/>
              <w:rPr>
                <w:rFonts w:hint="eastAsia" w:ascii="宋体" w:hAnsi="宋体" w:cs="宋体"/>
                <w:color w:val="auto"/>
                <w:kern w:val="0"/>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862,235,433.87</w:t>
            </w:r>
          </w:p>
        </w:tc>
        <w:tc>
          <w:tcPr>
            <w:tcW w:w="2133"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jc w:val="right"/>
              <w:textAlignment w:val="top"/>
              <w:rPr>
                <w:rFonts w:hint="eastAsia" w:ascii="宋体" w:hAnsi="宋体" w:cs="宋体"/>
                <w:color w:val="auto"/>
                <w:kern w:val="0"/>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915,242,049.31</w:t>
            </w:r>
          </w:p>
        </w:tc>
        <w:tc>
          <w:tcPr>
            <w:tcW w:w="21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eastAsia" w:ascii="宋体" w:hAnsi="宋体" w:cs="宋体"/>
                <w:color w:val="auto"/>
                <w:kern w:val="0"/>
                <w:sz w:val="20"/>
                <w:szCs w:val="20"/>
                <w:highlight w:val="none"/>
              </w:rPr>
            </w:pPr>
            <w:r>
              <w:rPr>
                <w:rFonts w:hint="eastAsia" w:ascii="宋体" w:hAnsi="宋体" w:eastAsia="宋体" w:cs="宋体"/>
                <w:i w:val="0"/>
                <w:iCs w:val="0"/>
                <w:color w:val="auto"/>
                <w:kern w:val="0"/>
                <w:sz w:val="22"/>
                <w:szCs w:val="22"/>
                <w:highlight w:val="none"/>
                <w:u w:val="none"/>
                <w:lang w:val="en-US" w:eastAsia="zh-CN" w:bidi="ar"/>
              </w:rPr>
              <w:t>-5.79%</w:t>
            </w:r>
          </w:p>
        </w:tc>
      </w:tr>
    </w:tbl>
    <w:p>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宋体" w:hAnsi="宋体" w:cs="宋体"/>
          <w:bCs/>
          <w:color w:val="auto"/>
          <w:sz w:val="24"/>
          <w:szCs w:val="24"/>
          <w:highlight w:val="none"/>
        </w:rPr>
      </w:pPr>
      <w:r>
        <w:rPr>
          <w:rFonts w:hint="eastAsia" w:ascii="宋体" w:hAnsi="宋体" w:cs="宋体"/>
          <w:bCs/>
          <w:color w:val="auto"/>
          <w:sz w:val="24"/>
          <w:szCs w:val="24"/>
          <w:highlight w:val="none"/>
        </w:rPr>
        <w:t>项目重大变动原因：</w:t>
      </w:r>
    </w:p>
    <w:p>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 1 \* GB3 \* MERGEFORMAT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color w:val="auto"/>
          <w:sz w:val="24"/>
          <w:szCs w:val="24"/>
          <w:highlight w:val="none"/>
        </w:rPr>
        <w:t>①</w:t>
      </w:r>
      <w:r>
        <w:rPr>
          <w:rFonts w:hint="eastAsia" w:ascii="宋体" w:hAnsi="宋体" w:eastAsia="宋体" w:cs="宋体"/>
          <w:bCs/>
          <w:color w:val="auto"/>
          <w:sz w:val="24"/>
          <w:szCs w:val="24"/>
          <w:highlight w:val="none"/>
        </w:rPr>
        <w:fldChar w:fldCharType="end"/>
      </w:r>
      <w:r>
        <w:rPr>
          <w:rFonts w:hint="eastAsia" w:ascii="宋体" w:hAnsi="宋体" w:cs="宋体"/>
          <w:bCs w:val="0"/>
          <w:color w:val="auto"/>
          <w:kern w:val="0"/>
          <w:sz w:val="24"/>
          <w:szCs w:val="24"/>
          <w:highlight w:val="none"/>
          <w:lang w:val="en-US" w:eastAsia="zh-CN" w:bidi="ar"/>
        </w:rPr>
        <w:t>主营</w:t>
      </w:r>
      <w:r>
        <w:rPr>
          <w:rFonts w:hint="eastAsia" w:ascii="宋体" w:hAnsi="宋体" w:eastAsia="宋体" w:cs="宋体"/>
          <w:bCs/>
          <w:color w:val="auto"/>
          <w:sz w:val="24"/>
          <w:szCs w:val="24"/>
          <w:highlight w:val="none"/>
        </w:rPr>
        <w:t>业务收入</w:t>
      </w:r>
    </w:p>
    <w:p>
      <w:pPr>
        <w:pStyle w:val="5"/>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宋体" w:hAnsi="宋体" w:cs="宋体"/>
          <w:color w:val="auto"/>
          <w:sz w:val="24"/>
          <w:szCs w:val="24"/>
          <w:highlight w:val="none"/>
        </w:rPr>
      </w:pPr>
      <w:r>
        <w:rPr>
          <w:rFonts w:hint="eastAsia" w:ascii="宋体" w:hAnsi="宋体" w:eastAsia="宋体" w:cs="宋体"/>
          <w:color w:val="auto"/>
          <w:kern w:val="0"/>
          <w:sz w:val="24"/>
          <w:szCs w:val="24"/>
          <w:highlight w:val="none"/>
          <w:lang w:eastAsia="zh-CN" w:bidi="ar"/>
        </w:rPr>
        <w:t>公司</w:t>
      </w:r>
      <w:r>
        <w:rPr>
          <w:rFonts w:hint="eastAsia" w:ascii="宋体" w:hAnsi="宋体" w:cs="宋体"/>
          <w:bCs/>
          <w:color w:val="auto"/>
          <w:sz w:val="24"/>
          <w:szCs w:val="24"/>
          <w:highlight w:val="none"/>
        </w:rPr>
        <w:t>202</w:t>
      </w:r>
      <w:r>
        <w:rPr>
          <w:rFonts w:hint="eastAsia" w:ascii="宋体" w:hAnsi="宋体" w:cs="宋体"/>
          <w:bCs/>
          <w:color w:val="auto"/>
          <w:sz w:val="24"/>
          <w:szCs w:val="24"/>
          <w:highlight w:val="none"/>
          <w:lang w:val="en-US" w:eastAsia="zh-CN"/>
        </w:rPr>
        <w:t>4</w:t>
      </w:r>
      <w:r>
        <w:rPr>
          <w:rFonts w:hint="eastAsia" w:ascii="宋体" w:hAnsi="宋体" w:cs="宋体"/>
          <w:bCs/>
          <w:color w:val="auto"/>
          <w:sz w:val="24"/>
          <w:szCs w:val="24"/>
          <w:highlight w:val="none"/>
        </w:rPr>
        <w:t>年</w:t>
      </w:r>
      <w:r>
        <w:rPr>
          <w:rFonts w:hint="eastAsia" w:ascii="宋体" w:hAnsi="宋体" w:cs="宋体"/>
          <w:bCs/>
          <w:color w:val="auto"/>
          <w:sz w:val="24"/>
          <w:szCs w:val="24"/>
          <w:highlight w:val="none"/>
          <w:lang w:val="en-US" w:eastAsia="zh-CN"/>
        </w:rPr>
        <w:t>主营</w:t>
      </w:r>
      <w:r>
        <w:rPr>
          <w:rFonts w:hint="eastAsia" w:ascii="宋体" w:hAnsi="宋体" w:cs="宋体"/>
          <w:bCs/>
          <w:color w:val="auto"/>
          <w:sz w:val="24"/>
          <w:szCs w:val="24"/>
          <w:highlight w:val="none"/>
        </w:rPr>
        <w:t>业务收入</w:t>
      </w:r>
      <w:r>
        <w:rPr>
          <w:rFonts w:hint="eastAsia" w:ascii="宋体" w:hAnsi="宋体" w:eastAsia="宋体" w:cs="宋体"/>
          <w:bCs/>
          <w:i w:val="0"/>
          <w:iCs w:val="0"/>
          <w:color w:val="auto"/>
          <w:kern w:val="2"/>
          <w:sz w:val="24"/>
          <w:szCs w:val="24"/>
          <w:highlight w:val="none"/>
          <w:u w:val="none"/>
          <w:lang w:val="en-US" w:eastAsia="zh-CN" w:bidi="ar"/>
        </w:rPr>
        <w:t>15,338,363,901.00</w:t>
      </w:r>
      <w:r>
        <w:rPr>
          <w:rFonts w:hint="eastAsia" w:ascii="宋体" w:hAnsi="宋体" w:cs="宋体"/>
          <w:color w:val="auto"/>
          <w:sz w:val="24"/>
          <w:szCs w:val="24"/>
          <w:highlight w:val="none"/>
        </w:rPr>
        <w:t>元，同比</w:t>
      </w:r>
      <w:r>
        <w:rPr>
          <w:rFonts w:hint="eastAsia" w:ascii="宋体" w:hAnsi="宋体" w:cs="宋体"/>
          <w:color w:val="auto"/>
          <w:sz w:val="24"/>
          <w:szCs w:val="24"/>
          <w:highlight w:val="none"/>
          <w:lang w:val="en-US" w:eastAsia="zh-CN"/>
        </w:rPr>
        <w:t>减少</w:t>
      </w:r>
      <w:r>
        <w:rPr>
          <w:rFonts w:hint="eastAsia" w:ascii="宋体" w:hAnsi="宋体" w:cs="宋体"/>
          <w:color w:val="auto"/>
          <w:sz w:val="24"/>
          <w:szCs w:val="24"/>
          <w:highlight w:val="none"/>
        </w:rPr>
        <w:t>878</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288</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732.18元，</w:t>
      </w:r>
      <w:r>
        <w:rPr>
          <w:rFonts w:hint="eastAsia" w:ascii="宋体" w:hAnsi="宋体" w:cs="宋体"/>
          <w:color w:val="auto"/>
          <w:sz w:val="24"/>
          <w:szCs w:val="24"/>
          <w:highlight w:val="none"/>
          <w:lang w:val="en-US" w:eastAsia="zh-CN"/>
        </w:rPr>
        <w:t>降</w:t>
      </w:r>
      <w:r>
        <w:rPr>
          <w:rFonts w:hint="eastAsia" w:ascii="宋体" w:hAnsi="宋体" w:cs="宋体"/>
          <w:color w:val="auto"/>
          <w:sz w:val="24"/>
          <w:szCs w:val="24"/>
          <w:highlight w:val="none"/>
          <w:lang w:eastAsia="zh-CN"/>
        </w:rPr>
        <w:t>幅</w:t>
      </w:r>
      <w:r>
        <w:rPr>
          <w:rFonts w:hint="eastAsia" w:ascii="宋体" w:hAnsi="宋体" w:cs="宋体"/>
          <w:color w:val="auto"/>
          <w:sz w:val="24"/>
          <w:szCs w:val="24"/>
          <w:highlight w:val="none"/>
          <w:lang w:val="en-US" w:eastAsia="zh-CN"/>
        </w:rPr>
        <w:t>5.42%</w:t>
      </w:r>
      <w:r>
        <w:rPr>
          <w:rFonts w:hint="eastAsia" w:ascii="宋体" w:hAnsi="宋体" w:cs="宋体"/>
          <w:color w:val="auto"/>
          <w:sz w:val="24"/>
          <w:szCs w:val="24"/>
          <w:highlight w:val="none"/>
        </w:rPr>
        <w:t>。变动的主要原因：</w:t>
      </w:r>
      <w:r>
        <w:rPr>
          <w:rFonts w:hint="eastAsia" w:ascii="宋体" w:hAnsi="宋体" w:cs="宋体"/>
          <w:color w:val="auto"/>
          <w:sz w:val="24"/>
          <w:szCs w:val="24"/>
          <w:highlight w:val="none"/>
          <w:lang w:val="en-US" w:eastAsia="zh-CN"/>
        </w:rPr>
        <w:t>火电板块负荷率同比下降</w:t>
      </w:r>
      <w:r>
        <w:rPr>
          <w:rFonts w:hint="eastAsia" w:ascii="宋体" w:hAnsi="宋体" w:cs="宋体"/>
          <w:color w:val="auto"/>
          <w:sz w:val="24"/>
          <w:szCs w:val="24"/>
          <w:highlight w:val="none"/>
        </w:rPr>
        <w:t>。</w:t>
      </w:r>
    </w:p>
    <w:p>
      <w:pPr>
        <w:keepNext w:val="0"/>
        <w:keepLines w:val="0"/>
        <w:pageBreakBefore w:val="0"/>
        <w:numPr>
          <w:ilvl w:val="0"/>
          <w:numId w:val="0"/>
        </w:numPr>
        <w:kinsoku/>
        <w:wordWrap/>
        <w:overflowPunct/>
        <w:topLinePunct w:val="0"/>
        <w:autoSpaceDE/>
        <w:autoSpaceDN/>
        <w:bidi w:val="0"/>
        <w:adjustRightInd/>
        <w:spacing w:line="400" w:lineRule="exact"/>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color w:val="auto"/>
          <w:kern w:val="0"/>
          <w:sz w:val="24"/>
          <w:szCs w:val="24"/>
          <w:highlight w:val="none"/>
          <w:lang w:bidi="ar"/>
        </w:rPr>
        <w:fldChar w:fldCharType="begin"/>
      </w:r>
      <w:r>
        <w:rPr>
          <w:rFonts w:hint="eastAsia" w:ascii="宋体" w:hAnsi="宋体" w:eastAsia="宋体" w:cs="宋体"/>
          <w:color w:val="auto"/>
          <w:kern w:val="0"/>
          <w:sz w:val="24"/>
          <w:szCs w:val="24"/>
          <w:highlight w:val="none"/>
          <w:lang w:bidi="ar"/>
        </w:rPr>
        <w:instrText xml:space="preserve"> = 2 \* GB3 \* MERGEFORMAT </w:instrText>
      </w:r>
      <w:r>
        <w:rPr>
          <w:rFonts w:hint="eastAsia" w:ascii="宋体" w:hAnsi="宋体" w:eastAsia="宋体" w:cs="宋体"/>
          <w:color w:val="auto"/>
          <w:kern w:val="0"/>
          <w:sz w:val="24"/>
          <w:szCs w:val="24"/>
          <w:highlight w:val="none"/>
          <w:lang w:bidi="ar"/>
        </w:rPr>
        <w:fldChar w:fldCharType="separate"/>
      </w:r>
      <w:r>
        <w:rPr>
          <w:rFonts w:hint="eastAsia" w:ascii="宋体" w:hAnsi="宋体" w:eastAsia="宋体" w:cs="宋体"/>
          <w:color w:val="auto"/>
          <w:kern w:val="0"/>
          <w:sz w:val="24"/>
          <w:szCs w:val="24"/>
          <w:highlight w:val="none"/>
          <w:lang w:bidi="ar"/>
        </w:rPr>
        <w:t>②</w:t>
      </w:r>
      <w:r>
        <w:rPr>
          <w:rFonts w:hint="eastAsia" w:ascii="宋体" w:hAnsi="宋体" w:eastAsia="宋体" w:cs="宋体"/>
          <w:color w:val="auto"/>
          <w:kern w:val="0"/>
          <w:sz w:val="24"/>
          <w:szCs w:val="24"/>
          <w:highlight w:val="none"/>
          <w:lang w:bidi="ar"/>
        </w:rPr>
        <w:fldChar w:fldCharType="end"/>
      </w:r>
      <w:r>
        <w:rPr>
          <w:rFonts w:hint="eastAsia" w:ascii="宋体" w:hAnsi="宋体" w:cs="宋体"/>
          <w:bCs w:val="0"/>
          <w:color w:val="auto"/>
          <w:kern w:val="0"/>
          <w:sz w:val="24"/>
          <w:szCs w:val="24"/>
          <w:highlight w:val="none"/>
          <w:lang w:val="en-US" w:eastAsia="zh-CN" w:bidi="ar"/>
        </w:rPr>
        <w:t>主营</w:t>
      </w:r>
      <w:r>
        <w:rPr>
          <w:rFonts w:hint="eastAsia" w:ascii="宋体" w:hAnsi="宋体" w:eastAsia="宋体" w:cs="宋体"/>
          <w:bCs/>
          <w:color w:val="auto"/>
          <w:sz w:val="24"/>
          <w:szCs w:val="24"/>
          <w:highlight w:val="none"/>
        </w:rPr>
        <w:t>业务成本</w:t>
      </w:r>
    </w:p>
    <w:p>
      <w:pPr>
        <w:pStyle w:val="5"/>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宋体" w:hAnsi="宋体" w:eastAsia="宋体" w:cs="宋体"/>
          <w:bCs/>
          <w:color w:val="auto"/>
          <w:sz w:val="24"/>
          <w:szCs w:val="24"/>
          <w:highlight w:val="none"/>
          <w:shd w:val="clear"/>
          <w:lang w:val="en-US" w:eastAsia="zh-CN"/>
        </w:rPr>
      </w:pPr>
      <w:r>
        <w:rPr>
          <w:rFonts w:hint="eastAsia" w:ascii="宋体" w:hAnsi="宋体" w:eastAsia="宋体" w:cs="宋体"/>
          <w:bCs/>
          <w:color w:val="auto"/>
          <w:kern w:val="2"/>
          <w:sz w:val="24"/>
          <w:szCs w:val="24"/>
          <w:highlight w:val="none"/>
          <w:lang w:eastAsia="zh-CN" w:bidi="ar"/>
        </w:rPr>
        <w:t>公司</w:t>
      </w:r>
      <w:r>
        <w:rPr>
          <w:rFonts w:hint="eastAsia" w:ascii="宋体" w:hAnsi="宋体" w:cs="宋体"/>
          <w:bCs/>
          <w:color w:val="auto"/>
          <w:sz w:val="24"/>
          <w:szCs w:val="24"/>
          <w:highlight w:val="none"/>
        </w:rPr>
        <w:t>202</w:t>
      </w:r>
      <w:r>
        <w:rPr>
          <w:rFonts w:hint="eastAsia" w:ascii="宋体" w:hAnsi="宋体" w:cs="宋体"/>
          <w:bCs/>
          <w:color w:val="auto"/>
          <w:sz w:val="24"/>
          <w:szCs w:val="24"/>
          <w:highlight w:val="none"/>
          <w:lang w:val="en-US" w:eastAsia="zh-CN"/>
        </w:rPr>
        <w:t>4</w:t>
      </w:r>
      <w:r>
        <w:rPr>
          <w:rFonts w:hint="eastAsia" w:ascii="宋体" w:hAnsi="宋体" w:cs="宋体"/>
          <w:bCs/>
          <w:color w:val="auto"/>
          <w:sz w:val="24"/>
          <w:szCs w:val="24"/>
          <w:highlight w:val="none"/>
        </w:rPr>
        <w:t>年</w:t>
      </w:r>
      <w:r>
        <w:rPr>
          <w:rFonts w:hint="eastAsia" w:ascii="宋体" w:hAnsi="宋体" w:cs="宋体"/>
          <w:bCs/>
          <w:color w:val="auto"/>
          <w:kern w:val="2"/>
          <w:sz w:val="24"/>
          <w:szCs w:val="24"/>
          <w:highlight w:val="none"/>
          <w:lang w:val="en-US" w:eastAsia="zh-CN" w:bidi="ar"/>
        </w:rPr>
        <w:t>主营</w:t>
      </w:r>
      <w:r>
        <w:rPr>
          <w:rFonts w:hint="eastAsia" w:ascii="宋体" w:hAnsi="宋体" w:eastAsia="宋体" w:cs="宋体"/>
          <w:bCs/>
          <w:color w:val="auto"/>
          <w:sz w:val="24"/>
          <w:szCs w:val="24"/>
          <w:highlight w:val="none"/>
        </w:rPr>
        <w:t>业务成本</w:t>
      </w:r>
      <w:r>
        <w:rPr>
          <w:rFonts w:hint="eastAsia" w:ascii="宋体" w:hAnsi="宋体" w:eastAsia="宋体" w:cs="宋体"/>
          <w:bCs/>
          <w:i w:val="0"/>
          <w:iCs w:val="0"/>
          <w:color w:val="auto"/>
          <w:kern w:val="2"/>
          <w:sz w:val="24"/>
          <w:szCs w:val="24"/>
          <w:highlight w:val="none"/>
          <w:u w:val="none"/>
          <w:lang w:val="en-US" w:eastAsia="zh-CN" w:bidi="ar"/>
        </w:rPr>
        <w:t>13,922,336,128.69</w:t>
      </w:r>
      <w:r>
        <w:rPr>
          <w:rFonts w:hint="eastAsia" w:ascii="宋体" w:hAnsi="宋体" w:cs="宋体"/>
          <w:bCs/>
          <w:color w:val="auto"/>
          <w:sz w:val="24"/>
          <w:szCs w:val="24"/>
          <w:highlight w:val="none"/>
        </w:rPr>
        <w:t>元。同比</w:t>
      </w:r>
      <w:r>
        <w:rPr>
          <w:rFonts w:hint="eastAsia" w:ascii="宋体" w:hAnsi="宋体" w:cs="宋体"/>
          <w:bCs/>
          <w:color w:val="auto"/>
          <w:sz w:val="24"/>
          <w:szCs w:val="24"/>
          <w:highlight w:val="none"/>
          <w:lang w:val="en-US" w:eastAsia="zh-CN"/>
        </w:rPr>
        <w:t>增加</w:t>
      </w:r>
      <w:r>
        <w:rPr>
          <w:rFonts w:hint="eastAsia" w:ascii="宋体" w:hAnsi="宋体" w:cs="宋体"/>
          <w:bCs/>
          <w:color w:val="auto"/>
          <w:sz w:val="24"/>
          <w:szCs w:val="24"/>
          <w:highlight w:val="none"/>
        </w:rPr>
        <w:t>323</w:t>
      </w:r>
      <w:r>
        <w:rPr>
          <w:rFonts w:hint="eastAsia" w:ascii="宋体" w:hAnsi="宋体" w:cs="宋体"/>
          <w:bCs/>
          <w:color w:val="auto"/>
          <w:sz w:val="24"/>
          <w:szCs w:val="24"/>
          <w:highlight w:val="none"/>
          <w:lang w:val="en-US" w:eastAsia="zh-CN"/>
        </w:rPr>
        <w:t>,</w:t>
      </w:r>
      <w:r>
        <w:rPr>
          <w:rFonts w:hint="eastAsia" w:ascii="宋体" w:hAnsi="宋体" w:cs="宋体"/>
          <w:bCs/>
          <w:color w:val="auto"/>
          <w:sz w:val="24"/>
          <w:szCs w:val="24"/>
          <w:highlight w:val="none"/>
        </w:rPr>
        <w:t>363</w:t>
      </w:r>
      <w:r>
        <w:rPr>
          <w:rFonts w:hint="eastAsia" w:ascii="宋体" w:hAnsi="宋体" w:cs="宋体"/>
          <w:bCs/>
          <w:color w:val="auto"/>
          <w:sz w:val="24"/>
          <w:szCs w:val="24"/>
          <w:highlight w:val="none"/>
          <w:lang w:val="en-US" w:eastAsia="zh-CN"/>
        </w:rPr>
        <w:t>,</w:t>
      </w:r>
      <w:r>
        <w:rPr>
          <w:rFonts w:hint="eastAsia" w:ascii="宋体" w:hAnsi="宋体" w:cs="宋体"/>
          <w:bCs/>
          <w:color w:val="auto"/>
          <w:sz w:val="24"/>
          <w:szCs w:val="24"/>
          <w:highlight w:val="none"/>
        </w:rPr>
        <w:t>664.33元，</w:t>
      </w:r>
      <w:r>
        <w:rPr>
          <w:rFonts w:hint="eastAsia" w:ascii="宋体" w:hAnsi="宋体" w:cs="宋体"/>
          <w:bCs/>
          <w:color w:val="auto"/>
          <w:sz w:val="24"/>
          <w:szCs w:val="24"/>
          <w:highlight w:val="none"/>
          <w:lang w:val="en-US" w:eastAsia="zh-CN"/>
        </w:rPr>
        <w:t>增</w:t>
      </w:r>
      <w:r>
        <w:rPr>
          <w:rFonts w:hint="eastAsia" w:ascii="宋体" w:hAnsi="宋体" w:cs="宋体"/>
          <w:bCs/>
          <w:color w:val="auto"/>
          <w:sz w:val="24"/>
          <w:szCs w:val="24"/>
          <w:highlight w:val="none"/>
          <w:lang w:eastAsia="zh-CN"/>
        </w:rPr>
        <w:t>幅</w:t>
      </w:r>
      <w:r>
        <w:rPr>
          <w:rFonts w:hint="eastAsia" w:ascii="宋体" w:hAnsi="宋体" w:cs="宋体"/>
          <w:bCs/>
          <w:color w:val="auto"/>
          <w:kern w:val="2"/>
          <w:sz w:val="24"/>
          <w:szCs w:val="24"/>
          <w:highlight w:val="none"/>
          <w:lang w:val="en-US" w:eastAsia="zh-CN" w:bidi="ar"/>
        </w:rPr>
        <w:t>2.38%</w:t>
      </w:r>
      <w:r>
        <w:rPr>
          <w:rFonts w:hint="eastAsia" w:ascii="宋体" w:hAnsi="宋体" w:cs="宋体"/>
          <w:bCs/>
          <w:color w:val="auto"/>
          <w:sz w:val="24"/>
          <w:szCs w:val="24"/>
          <w:highlight w:val="none"/>
        </w:rPr>
        <w:t>。</w:t>
      </w:r>
      <w:r>
        <w:rPr>
          <w:rFonts w:hint="eastAsia" w:ascii="宋体" w:hAnsi="宋体" w:cs="宋体"/>
          <w:bCs/>
          <w:color w:val="auto"/>
          <w:sz w:val="24"/>
          <w:szCs w:val="24"/>
          <w:highlight w:val="none"/>
          <w:shd w:val="clear"/>
        </w:rPr>
        <w:t>变动的主要原因：</w:t>
      </w:r>
      <w:r>
        <w:rPr>
          <w:rFonts w:hint="eastAsia" w:ascii="宋体" w:hAnsi="宋体" w:eastAsia="宋体" w:cs="宋体"/>
          <w:b w:val="0"/>
          <w:bCs/>
          <w:color w:val="auto"/>
          <w:kern w:val="2"/>
          <w:sz w:val="24"/>
          <w:szCs w:val="24"/>
          <w:highlight w:val="none"/>
          <w:u w:val="none"/>
          <w:lang w:val="en-US" w:eastAsia="zh-CN" w:bidi="ar"/>
        </w:rPr>
        <w:t>贵州能源对能发燃料公司定向增发，在控股权转让过程中，合作双方对涉及会计估计差异及前期煤炭销售热值差异进行调整，</w:t>
      </w:r>
      <w:r>
        <w:rPr>
          <w:rFonts w:hint="eastAsia" w:ascii="宋体" w:hAnsi="宋体" w:eastAsia="宋体" w:cs="宋体"/>
          <w:bCs/>
          <w:color w:val="auto"/>
          <w:kern w:val="2"/>
          <w:sz w:val="24"/>
          <w:szCs w:val="24"/>
          <w:highlight w:val="none"/>
          <w:u w:val="none"/>
          <w:lang w:val="en-US" w:eastAsia="zh-CN" w:bidi="ar"/>
        </w:rPr>
        <w:t>营业成本同比增加。</w:t>
      </w:r>
    </w:p>
    <w:p>
      <w:pPr>
        <w:pStyle w:val="15"/>
        <w:keepNext w:val="0"/>
        <w:keepLines w:val="0"/>
        <w:pageBreakBefore w:val="0"/>
        <w:widowControl/>
        <w:numPr>
          <w:ilvl w:val="0"/>
          <w:numId w:val="0"/>
        </w:numPr>
        <w:shd w:val="clear"/>
        <w:kinsoku/>
        <w:wordWrap/>
        <w:overflowPunct/>
        <w:topLinePunct w:val="0"/>
        <w:autoSpaceDE/>
        <w:autoSpaceDN/>
        <w:bidi w:val="0"/>
        <w:adjustRightInd/>
        <w:snapToGrid w:val="0"/>
        <w:spacing w:line="400" w:lineRule="exact"/>
        <w:ind w:firstLine="480" w:firstLineChars="200"/>
        <w:jc w:val="left"/>
        <w:textAlignment w:val="auto"/>
        <w:rPr>
          <w:rFonts w:hint="default"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3.现金流量分析</w:t>
      </w:r>
    </w:p>
    <w:p>
      <w:pPr>
        <w:spacing w:line="360" w:lineRule="auto"/>
        <w:jc w:val="right"/>
        <w:rPr>
          <w:rFonts w:hint="eastAsia" w:ascii="宋体" w:hAnsi="宋体" w:cs="宋体"/>
          <w:color w:val="auto"/>
          <w:highlight w:val="none"/>
        </w:rPr>
      </w:pPr>
      <w:r>
        <w:rPr>
          <w:rFonts w:hint="eastAsia" w:ascii="宋体" w:hAnsi="宋体" w:cs="宋体"/>
          <w:color w:val="auto"/>
          <w:highlight w:val="none"/>
        </w:rPr>
        <w:t>单位：元</w:t>
      </w:r>
    </w:p>
    <w:tbl>
      <w:tblPr>
        <w:tblStyle w:val="22"/>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021"/>
        <w:gridCol w:w="2183"/>
        <w:gridCol w:w="2033"/>
        <w:gridCol w:w="129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3021" w:type="dxa"/>
            <w:tcBorders>
              <w:top w:val="single" w:color="auto" w:sz="4" w:space="0"/>
              <w:left w:val="single" w:color="auto" w:sz="4" w:space="0"/>
            </w:tcBorders>
            <w:noWrap w:val="0"/>
            <w:vAlign w:val="center"/>
          </w:tcPr>
          <w:p>
            <w:pPr>
              <w:tabs>
                <w:tab w:val="left" w:pos="5140"/>
              </w:tabs>
              <w:spacing w:line="360" w:lineRule="auto"/>
              <w:jc w:val="center"/>
              <w:rPr>
                <w:rFonts w:hint="eastAsia" w:ascii="宋体" w:hAnsi="宋体" w:cs="宋体"/>
                <w:b w:val="0"/>
                <w:bCs w:val="0"/>
                <w:color w:val="auto"/>
                <w:kern w:val="0"/>
                <w:sz w:val="20"/>
                <w:szCs w:val="20"/>
                <w:highlight w:val="none"/>
              </w:rPr>
            </w:pPr>
            <w:r>
              <w:rPr>
                <w:rFonts w:hint="eastAsia" w:ascii="宋体" w:hAnsi="宋体" w:cs="宋体"/>
                <w:b w:val="0"/>
                <w:bCs w:val="0"/>
                <w:color w:val="auto"/>
                <w:kern w:val="0"/>
                <w:sz w:val="20"/>
                <w:szCs w:val="20"/>
                <w:highlight w:val="none"/>
              </w:rPr>
              <w:t>项目</w:t>
            </w:r>
          </w:p>
        </w:tc>
        <w:tc>
          <w:tcPr>
            <w:tcW w:w="2183" w:type="dxa"/>
            <w:tcBorders>
              <w:top w:val="single" w:color="auto" w:sz="4" w:space="0"/>
            </w:tcBorders>
            <w:noWrap w:val="0"/>
            <w:vAlign w:val="center"/>
          </w:tcPr>
          <w:p>
            <w:pPr>
              <w:tabs>
                <w:tab w:val="left" w:pos="5140"/>
              </w:tabs>
              <w:spacing w:line="360" w:lineRule="auto"/>
              <w:jc w:val="center"/>
              <w:rPr>
                <w:rFonts w:hint="eastAsia" w:ascii="宋体" w:hAnsi="宋体" w:cs="宋体"/>
                <w:b w:val="0"/>
                <w:bCs w:val="0"/>
                <w:color w:val="auto"/>
                <w:kern w:val="0"/>
                <w:sz w:val="20"/>
                <w:szCs w:val="20"/>
                <w:highlight w:val="none"/>
              </w:rPr>
            </w:pPr>
            <w:r>
              <w:rPr>
                <w:rFonts w:hint="eastAsia" w:ascii="宋体" w:hAnsi="宋体" w:cs="宋体"/>
                <w:b w:val="0"/>
                <w:bCs w:val="0"/>
                <w:color w:val="auto"/>
                <w:kern w:val="0"/>
                <w:sz w:val="20"/>
                <w:szCs w:val="20"/>
                <w:highlight w:val="none"/>
              </w:rPr>
              <w:t>本期金额</w:t>
            </w:r>
          </w:p>
        </w:tc>
        <w:tc>
          <w:tcPr>
            <w:tcW w:w="2033" w:type="dxa"/>
            <w:tcBorders>
              <w:top w:val="single" w:color="auto" w:sz="4" w:space="0"/>
            </w:tcBorders>
            <w:noWrap w:val="0"/>
            <w:vAlign w:val="center"/>
          </w:tcPr>
          <w:p>
            <w:pPr>
              <w:tabs>
                <w:tab w:val="left" w:pos="5140"/>
              </w:tabs>
              <w:spacing w:line="360" w:lineRule="auto"/>
              <w:jc w:val="center"/>
              <w:rPr>
                <w:rFonts w:hint="eastAsia" w:ascii="宋体" w:hAnsi="宋体" w:cs="宋体"/>
                <w:b w:val="0"/>
                <w:bCs w:val="0"/>
                <w:color w:val="auto"/>
                <w:kern w:val="0"/>
                <w:sz w:val="20"/>
                <w:szCs w:val="20"/>
                <w:highlight w:val="none"/>
              </w:rPr>
            </w:pPr>
            <w:r>
              <w:rPr>
                <w:rFonts w:hint="eastAsia" w:ascii="宋体" w:hAnsi="宋体" w:cs="宋体"/>
                <w:b w:val="0"/>
                <w:bCs w:val="0"/>
                <w:color w:val="auto"/>
                <w:kern w:val="0"/>
                <w:sz w:val="20"/>
                <w:szCs w:val="20"/>
                <w:highlight w:val="none"/>
              </w:rPr>
              <w:t>上期金额</w:t>
            </w:r>
          </w:p>
        </w:tc>
        <w:tc>
          <w:tcPr>
            <w:tcW w:w="1290" w:type="dxa"/>
            <w:tcBorders>
              <w:top w:val="single" w:color="auto" w:sz="4" w:space="0"/>
              <w:right w:val="single" w:color="auto" w:sz="4" w:space="0"/>
            </w:tcBorders>
            <w:noWrap w:val="0"/>
            <w:vAlign w:val="top"/>
          </w:tcPr>
          <w:p>
            <w:pPr>
              <w:tabs>
                <w:tab w:val="left" w:pos="5140"/>
              </w:tabs>
              <w:spacing w:line="360" w:lineRule="auto"/>
              <w:jc w:val="center"/>
              <w:rPr>
                <w:rFonts w:hint="eastAsia" w:ascii="宋体" w:hAnsi="宋体" w:cs="宋体"/>
                <w:b w:val="0"/>
                <w:bCs w:val="0"/>
                <w:color w:val="auto"/>
                <w:kern w:val="0"/>
                <w:sz w:val="20"/>
                <w:szCs w:val="20"/>
                <w:highlight w:val="none"/>
              </w:rPr>
            </w:pPr>
            <w:r>
              <w:rPr>
                <w:rFonts w:hint="eastAsia" w:ascii="宋体" w:hAnsi="宋体" w:cs="宋体"/>
                <w:b w:val="0"/>
                <w:bCs w:val="0"/>
                <w:color w:val="auto"/>
                <w:kern w:val="0"/>
                <w:sz w:val="20"/>
                <w:szCs w:val="20"/>
                <w:highlight w:val="none"/>
              </w:rPr>
              <w:t>增减</w:t>
            </w:r>
            <w:r>
              <w:rPr>
                <w:rFonts w:hint="eastAsia" w:ascii="宋体" w:hAnsi="宋体" w:cs="宋体"/>
                <w:b w:val="0"/>
                <w:bCs w:val="0"/>
                <w:color w:val="auto"/>
                <w:kern w:val="0"/>
                <w:sz w:val="20"/>
                <w:szCs w:val="20"/>
                <w:highlight w:val="none"/>
                <w:lang w:eastAsia="zh-CN"/>
              </w:rPr>
              <w:t>变动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3021" w:type="dxa"/>
            <w:tcBorders>
              <w:left w:val="single" w:color="auto"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经营活动产生的现金流量净额</w:t>
            </w:r>
          </w:p>
        </w:tc>
        <w:tc>
          <w:tcPr>
            <w:tcW w:w="2183" w:type="dxa"/>
            <w:noWrap w:val="0"/>
            <w:vAlign w:val="center"/>
          </w:tcPr>
          <w:p>
            <w:pPr>
              <w:keepNext w:val="0"/>
              <w:keepLines w:val="0"/>
              <w:widowControl/>
              <w:suppressLineNumbers w:val="0"/>
              <w:jc w:val="right"/>
              <w:textAlignment w:val="center"/>
              <w:rPr>
                <w:rFonts w:hint="eastAsia" w:ascii="宋体" w:hAnsi="宋体" w:cs="宋体"/>
                <w:color w:val="auto"/>
                <w:kern w:val="0"/>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5,190,784,702.52</w:t>
            </w:r>
          </w:p>
        </w:tc>
        <w:tc>
          <w:tcPr>
            <w:tcW w:w="2033" w:type="dxa"/>
            <w:noWrap w:val="0"/>
            <w:vAlign w:val="center"/>
          </w:tcPr>
          <w:p>
            <w:pPr>
              <w:keepNext w:val="0"/>
              <w:keepLines w:val="0"/>
              <w:widowControl/>
              <w:suppressLineNumbers w:val="0"/>
              <w:jc w:val="right"/>
              <w:textAlignment w:val="center"/>
              <w:rPr>
                <w:rFonts w:hint="eastAsia" w:ascii="宋体" w:hAnsi="宋体" w:cs="宋体"/>
                <w:color w:val="auto"/>
                <w:kern w:val="0"/>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3,523,385,554.48</w:t>
            </w:r>
          </w:p>
        </w:tc>
        <w:tc>
          <w:tcPr>
            <w:tcW w:w="1290" w:type="dxa"/>
            <w:tcBorders>
              <w:right w:val="single" w:color="auto" w:sz="4" w:space="0"/>
            </w:tcBorders>
            <w:noWrap w:val="0"/>
            <w:vAlign w:val="top"/>
          </w:tcPr>
          <w:p>
            <w:pPr>
              <w:keepNext w:val="0"/>
              <w:keepLines w:val="0"/>
              <w:widowControl/>
              <w:suppressLineNumbers w:val="0"/>
              <w:jc w:val="right"/>
              <w:textAlignment w:val="top"/>
              <w:rPr>
                <w:rFonts w:hint="eastAsia" w:ascii="宋体" w:hAnsi="宋体" w:cs="宋体"/>
                <w:color w:val="auto"/>
                <w:kern w:val="0"/>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47.32%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3021" w:type="dxa"/>
            <w:tcBorders>
              <w:left w:val="single" w:color="auto"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投资活动产生的现金流量净额</w:t>
            </w:r>
          </w:p>
        </w:tc>
        <w:tc>
          <w:tcPr>
            <w:tcW w:w="2183" w:type="dxa"/>
            <w:noWrap w:val="0"/>
            <w:vAlign w:val="center"/>
          </w:tcPr>
          <w:p>
            <w:pPr>
              <w:keepNext w:val="0"/>
              <w:keepLines w:val="0"/>
              <w:widowControl/>
              <w:suppressLineNumbers w:val="0"/>
              <w:jc w:val="right"/>
              <w:textAlignment w:val="center"/>
              <w:rPr>
                <w:rFonts w:hint="eastAsia" w:ascii="宋体" w:hAnsi="宋体" w:cs="宋体"/>
                <w:color w:val="auto"/>
                <w:kern w:val="0"/>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-5,587,553,763.03</w:t>
            </w:r>
          </w:p>
        </w:tc>
        <w:tc>
          <w:tcPr>
            <w:tcW w:w="2033" w:type="dxa"/>
            <w:noWrap w:val="0"/>
            <w:vAlign w:val="center"/>
          </w:tcPr>
          <w:p>
            <w:pPr>
              <w:keepNext w:val="0"/>
              <w:keepLines w:val="0"/>
              <w:widowControl/>
              <w:suppressLineNumbers w:val="0"/>
              <w:jc w:val="right"/>
              <w:textAlignment w:val="center"/>
              <w:rPr>
                <w:rFonts w:hint="eastAsia" w:ascii="宋体" w:hAnsi="宋体" w:cs="宋体"/>
                <w:color w:val="auto"/>
                <w:kern w:val="0"/>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-7,018,623,832.53</w:t>
            </w:r>
          </w:p>
        </w:tc>
        <w:tc>
          <w:tcPr>
            <w:tcW w:w="1290" w:type="dxa"/>
            <w:tcBorders>
              <w:right w:val="single" w:color="auto" w:sz="4" w:space="0"/>
            </w:tcBorders>
            <w:noWrap w:val="0"/>
            <w:vAlign w:val="top"/>
          </w:tcPr>
          <w:p>
            <w:pPr>
              <w:keepNext w:val="0"/>
              <w:keepLines w:val="0"/>
              <w:widowControl/>
              <w:suppressLineNumbers w:val="0"/>
              <w:jc w:val="right"/>
              <w:textAlignment w:val="top"/>
              <w:rPr>
                <w:rFonts w:hint="eastAsia" w:ascii="宋体" w:hAnsi="宋体" w:cs="宋体"/>
                <w:color w:val="auto"/>
                <w:kern w:val="0"/>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-20.39%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3021" w:type="dxa"/>
            <w:tcBorders>
              <w:left w:val="single" w:color="auto" w:sz="4" w:space="0"/>
              <w:bottom w:val="single" w:color="auto"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auto"/>
                <w:kern w:val="0"/>
                <w:sz w:val="20"/>
                <w:szCs w:val="20"/>
                <w:highlight w:val="none"/>
                <w:u w:val="none"/>
                <w:lang w:val="en-US" w:eastAsia="zh-CN" w:bidi="ar"/>
              </w:rPr>
            </w:pPr>
            <w:bookmarkStart w:id="34" w:name="OLE_LINK1" w:colFirst="1" w:colLast="2"/>
            <w:r>
              <w:rPr>
                <w:rFonts w:hint="eastAsia" w:ascii="宋体" w:hAnsi="宋体" w:eastAsia="宋体" w:cs="宋体"/>
                <w:i w:val="0"/>
                <w:color w:val="auto"/>
                <w:kern w:val="0"/>
                <w:sz w:val="20"/>
                <w:szCs w:val="20"/>
                <w:highlight w:val="none"/>
                <w:u w:val="none"/>
                <w:lang w:val="en-US" w:eastAsia="zh-CN" w:bidi="ar"/>
              </w:rPr>
              <w:t>筹资活动产生的现金流量净额</w:t>
            </w:r>
          </w:p>
        </w:tc>
        <w:tc>
          <w:tcPr>
            <w:tcW w:w="2183" w:type="dxa"/>
            <w:tcBorders>
              <w:bottom w:val="single" w:color="auto" w:sz="4" w:space="0"/>
            </w:tcBorders>
            <w:noWrap w:val="0"/>
            <w:vAlign w:val="center"/>
          </w:tcPr>
          <w:p>
            <w:pPr>
              <w:keepNext w:val="0"/>
              <w:keepLines w:val="0"/>
              <w:widowControl/>
              <w:suppressLineNumbers w:val="0"/>
              <w:jc w:val="right"/>
              <w:textAlignment w:val="center"/>
              <w:rPr>
                <w:rFonts w:hint="eastAsia" w:ascii="宋体" w:hAnsi="宋体" w:cs="宋体"/>
                <w:color w:val="auto"/>
                <w:kern w:val="0"/>
                <w:sz w:val="20"/>
                <w:szCs w:val="20"/>
                <w:highlight w:val="none"/>
                <w:u w:val="none"/>
                <w:lang w:bidi="ar"/>
              </w:rPr>
            </w:pPr>
            <w:r>
              <w:rPr>
                <w:rFonts w:hint="eastAsia" w:ascii="宋体" w:hAnsi="宋体" w:cs="宋体"/>
                <w:color w:val="auto"/>
                <w:kern w:val="0"/>
                <w:sz w:val="20"/>
                <w:szCs w:val="20"/>
                <w:highlight w:val="none"/>
                <w:u w:val="none"/>
                <w:lang w:bidi="ar"/>
              </w:rPr>
              <w:t>913,678,994.29</w:t>
            </w:r>
          </w:p>
        </w:tc>
        <w:tc>
          <w:tcPr>
            <w:tcW w:w="2033" w:type="dxa"/>
            <w:tcBorders>
              <w:bottom w:val="single" w:color="auto" w:sz="4" w:space="0"/>
            </w:tcBorders>
            <w:noWrap w:val="0"/>
            <w:vAlign w:val="center"/>
          </w:tcPr>
          <w:p>
            <w:pPr>
              <w:keepNext w:val="0"/>
              <w:keepLines w:val="0"/>
              <w:widowControl/>
              <w:suppressLineNumbers w:val="0"/>
              <w:jc w:val="right"/>
              <w:textAlignment w:val="center"/>
              <w:rPr>
                <w:rFonts w:hint="eastAsia" w:ascii="宋体" w:hAnsi="宋体" w:cs="宋体"/>
                <w:color w:val="auto"/>
                <w:kern w:val="0"/>
                <w:sz w:val="20"/>
                <w:szCs w:val="20"/>
                <w:highlight w:val="none"/>
                <w:u w:val="none"/>
                <w:lang w:bidi="ar"/>
              </w:rPr>
            </w:pPr>
            <w:r>
              <w:rPr>
                <w:rFonts w:hint="eastAsia" w:ascii="宋体" w:hAnsi="宋体" w:cs="宋体"/>
                <w:color w:val="auto"/>
                <w:kern w:val="0"/>
                <w:sz w:val="20"/>
                <w:szCs w:val="20"/>
                <w:highlight w:val="none"/>
                <w:u w:val="none"/>
                <w:lang w:bidi="ar"/>
              </w:rPr>
              <w:t>1,044,180,158.89</w:t>
            </w:r>
          </w:p>
        </w:tc>
        <w:tc>
          <w:tcPr>
            <w:tcW w:w="1290" w:type="dxa"/>
            <w:tcBorders>
              <w:bottom w:val="single" w:color="auto" w:sz="4" w:space="0"/>
              <w:right w:val="single" w:color="auto" w:sz="4" w:space="0"/>
            </w:tcBorders>
            <w:noWrap w:val="0"/>
            <w:vAlign w:val="center"/>
          </w:tcPr>
          <w:p>
            <w:pPr>
              <w:keepNext w:val="0"/>
              <w:keepLines w:val="0"/>
              <w:widowControl/>
              <w:suppressLineNumbers w:val="0"/>
              <w:jc w:val="right"/>
              <w:textAlignment w:val="center"/>
              <w:rPr>
                <w:rFonts w:hint="eastAsia" w:ascii="宋体" w:hAnsi="宋体" w:cs="宋体"/>
                <w:color w:val="auto"/>
                <w:kern w:val="0"/>
                <w:sz w:val="20"/>
                <w:szCs w:val="20"/>
                <w:highlight w:val="none"/>
                <w:u w:val="none"/>
                <w:lang w:bidi="ar"/>
              </w:rPr>
            </w:pPr>
            <w:r>
              <w:rPr>
                <w:rFonts w:hint="eastAsia" w:ascii="宋体" w:hAnsi="宋体" w:eastAsia="宋体" w:cs="宋体"/>
                <w:i w:val="0"/>
                <w:iCs w:val="0"/>
                <w:color w:val="auto"/>
                <w:kern w:val="0"/>
                <w:sz w:val="20"/>
                <w:szCs w:val="20"/>
                <w:highlight w:val="none"/>
                <w:u w:val="none"/>
                <w:lang w:val="en-US" w:eastAsia="zh-CN" w:bidi="ar"/>
              </w:rPr>
              <w:t>-12.50%</w:t>
            </w:r>
          </w:p>
        </w:tc>
      </w:tr>
      <w:bookmarkEnd w:id="34"/>
    </w:tbl>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项目重大变动原因：</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经营活动产生的现金流量净额</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0"/>
        <w:textAlignment w:val="auto"/>
        <w:rPr>
          <w:rFonts w:hint="eastAsia" w:ascii="宋体" w:hAnsi="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rPr>
        <w:t>公司202</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lang w:val="en-US" w:eastAsia="zh-CN"/>
        </w:rPr>
        <w:t>年</w:t>
      </w:r>
      <w:r>
        <w:rPr>
          <w:rFonts w:hint="eastAsia" w:ascii="宋体" w:hAnsi="宋体" w:eastAsia="宋体" w:cs="宋体"/>
          <w:color w:val="auto"/>
          <w:kern w:val="0"/>
          <w:sz w:val="24"/>
          <w:szCs w:val="24"/>
          <w:highlight w:val="none"/>
        </w:rPr>
        <w:t>经营活动产生的现金流量净额</w:t>
      </w:r>
      <w:r>
        <w:rPr>
          <w:rFonts w:hint="eastAsia" w:ascii="宋体" w:hAnsi="宋体" w:eastAsia="宋体" w:cs="宋体"/>
          <w:i w:val="0"/>
          <w:iCs w:val="0"/>
          <w:color w:val="auto"/>
          <w:kern w:val="0"/>
          <w:sz w:val="24"/>
          <w:szCs w:val="24"/>
          <w:highlight w:val="none"/>
          <w:u w:val="none"/>
          <w:lang w:val="en-US" w:eastAsia="zh-CN" w:bidi="ar"/>
        </w:rPr>
        <w:t>5,190,784,702.52</w:t>
      </w:r>
      <w:r>
        <w:rPr>
          <w:rFonts w:hint="eastAsia" w:ascii="宋体" w:hAnsi="宋体" w:eastAsia="宋体" w:cs="宋体"/>
          <w:color w:val="auto"/>
          <w:kern w:val="0"/>
          <w:sz w:val="24"/>
          <w:szCs w:val="24"/>
          <w:highlight w:val="none"/>
          <w:lang w:eastAsia="zh-CN" w:bidi="ar"/>
        </w:rPr>
        <w:t>元，同比</w:t>
      </w:r>
      <w:r>
        <w:rPr>
          <w:rFonts w:hint="eastAsia" w:ascii="宋体" w:hAnsi="宋体" w:cs="宋体"/>
          <w:color w:val="auto"/>
          <w:kern w:val="0"/>
          <w:sz w:val="24"/>
          <w:szCs w:val="24"/>
          <w:highlight w:val="none"/>
          <w:lang w:val="en-US" w:eastAsia="zh-CN" w:bidi="ar"/>
        </w:rPr>
        <w:t>增加</w:t>
      </w:r>
      <w:r>
        <w:rPr>
          <w:rFonts w:hint="eastAsia" w:ascii="宋体" w:hAnsi="宋体" w:eastAsia="宋体" w:cs="宋体"/>
          <w:color w:val="auto"/>
          <w:kern w:val="0"/>
          <w:sz w:val="24"/>
          <w:szCs w:val="24"/>
          <w:highlight w:val="none"/>
          <w:lang w:bidi="ar"/>
        </w:rPr>
        <w:t xml:space="preserve"> 1</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bidi="ar"/>
        </w:rPr>
        <w:t>667</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bidi="ar"/>
        </w:rPr>
        <w:t>399</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bidi="ar"/>
        </w:rPr>
        <w:t>148.04</w:t>
      </w:r>
      <w:r>
        <w:rPr>
          <w:rFonts w:hint="eastAsia" w:ascii="宋体" w:hAnsi="宋体" w:eastAsia="宋体" w:cs="宋体"/>
          <w:color w:val="auto"/>
          <w:kern w:val="0"/>
          <w:sz w:val="24"/>
          <w:szCs w:val="24"/>
          <w:highlight w:val="none"/>
          <w:lang w:eastAsia="zh-CN" w:bidi="ar"/>
        </w:rPr>
        <w:t>元，</w:t>
      </w:r>
      <w:r>
        <w:rPr>
          <w:rFonts w:hint="eastAsia" w:ascii="宋体" w:hAnsi="宋体" w:cs="宋体"/>
          <w:color w:val="auto"/>
          <w:kern w:val="0"/>
          <w:sz w:val="24"/>
          <w:szCs w:val="24"/>
          <w:highlight w:val="none"/>
          <w:lang w:val="en-US" w:eastAsia="zh-CN" w:bidi="ar"/>
        </w:rPr>
        <w:t>增</w:t>
      </w:r>
      <w:r>
        <w:rPr>
          <w:rFonts w:hint="eastAsia" w:ascii="宋体" w:hAnsi="宋体" w:eastAsia="宋体" w:cs="宋体"/>
          <w:color w:val="auto"/>
          <w:kern w:val="0"/>
          <w:sz w:val="24"/>
          <w:szCs w:val="24"/>
          <w:highlight w:val="none"/>
          <w:lang w:eastAsia="zh-CN" w:bidi="ar"/>
        </w:rPr>
        <w:t>幅</w:t>
      </w:r>
      <w:r>
        <w:rPr>
          <w:rFonts w:hint="eastAsia" w:ascii="宋体" w:hAnsi="宋体" w:eastAsia="宋体" w:cs="宋体"/>
          <w:color w:val="auto"/>
          <w:kern w:val="0"/>
          <w:sz w:val="24"/>
          <w:szCs w:val="24"/>
          <w:highlight w:val="none"/>
          <w:lang w:val="en-US" w:eastAsia="zh-CN" w:bidi="ar"/>
        </w:rPr>
        <w:t>4</w:t>
      </w:r>
      <w:r>
        <w:rPr>
          <w:rFonts w:hint="eastAsia" w:ascii="宋体" w:hAnsi="宋体" w:cs="宋体"/>
          <w:color w:val="auto"/>
          <w:kern w:val="0"/>
          <w:sz w:val="24"/>
          <w:szCs w:val="24"/>
          <w:highlight w:val="none"/>
          <w:lang w:val="en-US" w:eastAsia="zh-CN" w:bidi="ar"/>
        </w:rPr>
        <w:t>7.32</w:t>
      </w:r>
      <w:r>
        <w:rPr>
          <w:rFonts w:hint="eastAsia" w:ascii="宋体" w:hAnsi="宋体" w:eastAsia="宋体" w:cs="宋体"/>
          <w:color w:val="auto"/>
          <w:kern w:val="0"/>
          <w:sz w:val="24"/>
          <w:szCs w:val="24"/>
          <w:highlight w:val="none"/>
          <w:lang w:val="en-US" w:eastAsia="zh-CN" w:bidi="ar"/>
        </w:rPr>
        <w:t>%。变动的主要原因：</w:t>
      </w:r>
      <w:r>
        <w:rPr>
          <w:rFonts w:hint="eastAsia" w:ascii="宋体" w:hAnsi="宋体" w:cs="宋体"/>
          <w:color w:val="auto"/>
          <w:sz w:val="24"/>
          <w:szCs w:val="24"/>
          <w:highlight w:val="none"/>
        </w:rPr>
        <w:t>报告期内购买商品、接受劳务支付的现金同比减少。</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rPr>
        <w:t>筹资活动产生的现金流量净额</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0"/>
        <w:textAlignment w:val="auto"/>
        <w:rPr>
          <w:rFonts w:hint="eastAsia" w:ascii="宋体" w:hAnsi="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rPr>
        <w:t>公司202</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lang w:val="en-US" w:eastAsia="zh-CN"/>
        </w:rPr>
        <w:t>年</w:t>
      </w:r>
      <w:r>
        <w:rPr>
          <w:rFonts w:hint="eastAsia" w:ascii="宋体" w:hAnsi="宋体" w:eastAsia="宋体" w:cs="宋体"/>
          <w:color w:val="auto"/>
          <w:kern w:val="0"/>
          <w:sz w:val="24"/>
          <w:szCs w:val="24"/>
          <w:highlight w:val="none"/>
        </w:rPr>
        <w:t>筹资活动产生的现金流量净额</w:t>
      </w:r>
      <w:r>
        <w:rPr>
          <w:rFonts w:hint="eastAsia" w:ascii="宋体" w:hAnsi="宋体" w:cs="宋体"/>
          <w:color w:val="auto"/>
          <w:kern w:val="0"/>
          <w:sz w:val="20"/>
          <w:szCs w:val="20"/>
          <w:highlight w:val="none"/>
          <w:u w:val="none"/>
          <w:lang w:bidi="ar"/>
        </w:rPr>
        <w:t>913,678,994.29</w:t>
      </w:r>
      <w:r>
        <w:rPr>
          <w:rFonts w:hint="eastAsia" w:ascii="宋体" w:hAnsi="宋体" w:eastAsia="宋体" w:cs="宋体"/>
          <w:color w:val="auto"/>
          <w:kern w:val="0"/>
          <w:sz w:val="24"/>
          <w:szCs w:val="24"/>
          <w:highlight w:val="none"/>
          <w:lang w:eastAsia="zh-CN" w:bidi="ar"/>
        </w:rPr>
        <w:t>元，同比</w:t>
      </w:r>
      <w:r>
        <w:rPr>
          <w:rFonts w:hint="eastAsia" w:ascii="宋体" w:hAnsi="宋体" w:cs="宋体"/>
          <w:color w:val="auto"/>
          <w:kern w:val="0"/>
          <w:sz w:val="24"/>
          <w:szCs w:val="24"/>
          <w:highlight w:val="none"/>
          <w:lang w:val="en-US" w:eastAsia="zh-CN" w:bidi="ar"/>
        </w:rPr>
        <w:t>减少130,501,164.6</w:t>
      </w:r>
      <w:r>
        <w:rPr>
          <w:rFonts w:hint="eastAsia" w:ascii="宋体" w:hAnsi="宋体" w:eastAsia="宋体" w:cs="宋体"/>
          <w:color w:val="auto"/>
          <w:kern w:val="0"/>
          <w:sz w:val="24"/>
          <w:szCs w:val="24"/>
          <w:highlight w:val="none"/>
          <w:lang w:eastAsia="zh-CN" w:bidi="ar"/>
        </w:rPr>
        <w:t>元</w:t>
      </w:r>
      <w:r>
        <w:rPr>
          <w:rFonts w:hint="eastAsia" w:ascii="宋体" w:hAnsi="宋体" w:cs="宋体"/>
          <w:color w:val="auto"/>
          <w:kern w:val="0"/>
          <w:sz w:val="24"/>
          <w:szCs w:val="24"/>
          <w:highlight w:val="none"/>
          <w:lang w:val="en-US" w:eastAsia="zh-CN" w:bidi="ar"/>
        </w:rPr>
        <w:t>,降</w:t>
      </w:r>
      <w:r>
        <w:rPr>
          <w:rFonts w:hint="eastAsia" w:ascii="宋体" w:hAnsi="宋体" w:eastAsia="宋体" w:cs="宋体"/>
          <w:color w:val="auto"/>
          <w:kern w:val="0"/>
          <w:sz w:val="24"/>
          <w:szCs w:val="24"/>
          <w:highlight w:val="none"/>
          <w:lang w:eastAsia="zh-CN" w:bidi="ar"/>
        </w:rPr>
        <w:t>幅</w:t>
      </w:r>
      <w:r>
        <w:rPr>
          <w:rFonts w:hint="eastAsia" w:ascii="宋体" w:hAnsi="宋体" w:cs="宋体"/>
          <w:color w:val="auto"/>
          <w:kern w:val="0"/>
          <w:sz w:val="24"/>
          <w:szCs w:val="24"/>
          <w:highlight w:val="none"/>
          <w:lang w:val="en-US" w:eastAsia="zh-CN" w:bidi="ar"/>
        </w:rPr>
        <w:t>12.5</w:t>
      </w:r>
      <w:r>
        <w:rPr>
          <w:rFonts w:hint="eastAsia" w:ascii="宋体" w:hAnsi="宋体" w:eastAsia="宋体" w:cs="宋体"/>
          <w:color w:val="auto"/>
          <w:kern w:val="0"/>
          <w:sz w:val="24"/>
          <w:szCs w:val="24"/>
          <w:highlight w:val="none"/>
          <w:lang w:val="en-US" w:eastAsia="zh-CN" w:bidi="ar"/>
        </w:rPr>
        <w:t>%。变动的主要原因：</w:t>
      </w:r>
      <w:r>
        <w:rPr>
          <w:rFonts w:hint="eastAsia" w:ascii="宋体" w:hAnsi="宋体" w:cs="宋体"/>
          <w:color w:val="auto"/>
          <w:kern w:val="0"/>
          <w:sz w:val="24"/>
          <w:szCs w:val="24"/>
          <w:highlight w:val="none"/>
          <w:lang w:val="en-US" w:eastAsia="zh-CN" w:bidi="ar"/>
        </w:rPr>
        <w:t>2024年债务优化，融资规模下降。</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cs="宋体"/>
          <w:b/>
          <w:color w:val="auto"/>
          <w:sz w:val="24"/>
          <w:szCs w:val="24"/>
          <w:highlight w:val="none"/>
        </w:rPr>
      </w:pPr>
      <w:r>
        <w:rPr>
          <w:rFonts w:hint="eastAsia" w:ascii="宋体" w:hAnsi="宋体" w:cs="宋体"/>
          <w:b/>
          <w:color w:val="auto"/>
          <w:sz w:val="24"/>
          <w:szCs w:val="24"/>
          <w:highlight w:val="none"/>
        </w:rPr>
        <w:t>（三）投资状况分析</w:t>
      </w:r>
    </w:p>
    <w:p>
      <w:pPr>
        <w:keepNext w:val="0"/>
        <w:keepLines w:val="0"/>
        <w:pageBreakBefore w:val="0"/>
        <w:widowControl w:val="0"/>
        <w:numPr>
          <w:ilvl w:val="0"/>
          <w:numId w:val="0"/>
        </w:numPr>
        <w:tabs>
          <w:tab w:val="left" w:pos="714"/>
          <w:tab w:val="left" w:pos="850"/>
        </w:tabs>
        <w:kinsoku/>
        <w:wordWrap/>
        <w:overflowPunct/>
        <w:topLinePunct w:val="0"/>
        <w:autoSpaceDE/>
        <w:autoSpaceDN/>
        <w:bidi w:val="0"/>
        <w:adjustRightInd w:val="0"/>
        <w:snapToGrid w:val="0"/>
        <w:spacing w:line="480" w:lineRule="exact"/>
        <w:ind w:firstLine="480" w:firstLineChars="200"/>
        <w:textAlignment w:val="auto"/>
        <w:outlineLvl w:val="1"/>
        <w:rPr>
          <w:rFonts w:hint="eastAsia" w:ascii="宋体" w:hAnsi="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1.控股资企业情况</w:t>
      </w:r>
    </w:p>
    <w:tbl>
      <w:tblPr>
        <w:tblStyle w:val="22"/>
        <w:tblW w:w="1033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403"/>
        <w:gridCol w:w="1554"/>
        <w:gridCol w:w="1361"/>
        <w:gridCol w:w="1322"/>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3"/>
                <w:szCs w:val="13"/>
                <w:highlight w:val="none"/>
                <w:u w:val="none"/>
              </w:rPr>
            </w:pPr>
            <w:r>
              <w:rPr>
                <w:rFonts w:hint="eastAsia" w:ascii="宋体" w:hAnsi="宋体" w:eastAsia="宋体" w:cs="宋体"/>
                <w:i w:val="0"/>
                <w:iCs w:val="0"/>
                <w:color w:val="auto"/>
                <w:kern w:val="0"/>
                <w:sz w:val="13"/>
                <w:szCs w:val="13"/>
                <w:highlight w:val="none"/>
                <w:u w:val="none"/>
                <w:lang w:val="en-US" w:eastAsia="zh-CN" w:bidi="ar"/>
              </w:rPr>
              <w:t>被投资单位</w:t>
            </w:r>
          </w:p>
        </w:tc>
        <w:tc>
          <w:tcPr>
            <w:tcW w:w="15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3"/>
                <w:szCs w:val="13"/>
                <w:highlight w:val="none"/>
                <w:u w:val="none"/>
              </w:rPr>
            </w:pPr>
            <w:r>
              <w:rPr>
                <w:rFonts w:hint="eastAsia" w:ascii="宋体" w:hAnsi="宋体" w:eastAsia="宋体" w:cs="宋体"/>
                <w:i w:val="0"/>
                <w:iCs w:val="0"/>
                <w:color w:val="auto"/>
                <w:kern w:val="0"/>
                <w:sz w:val="13"/>
                <w:szCs w:val="13"/>
                <w:highlight w:val="none"/>
                <w:u w:val="none"/>
                <w:lang w:val="en-US" w:eastAsia="zh-CN" w:bidi="ar"/>
              </w:rPr>
              <w:t>投资成本</w:t>
            </w:r>
          </w:p>
        </w:tc>
        <w:tc>
          <w:tcPr>
            <w:tcW w:w="13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3"/>
                <w:szCs w:val="13"/>
                <w:highlight w:val="none"/>
                <w:u w:val="none"/>
              </w:rPr>
            </w:pPr>
            <w:r>
              <w:rPr>
                <w:rFonts w:hint="eastAsia" w:ascii="宋体" w:hAnsi="宋体" w:eastAsia="宋体" w:cs="宋体"/>
                <w:i w:val="0"/>
                <w:iCs w:val="0"/>
                <w:color w:val="auto"/>
                <w:kern w:val="0"/>
                <w:sz w:val="13"/>
                <w:szCs w:val="13"/>
                <w:highlight w:val="none"/>
                <w:u w:val="none"/>
                <w:lang w:val="en-US" w:eastAsia="zh-CN" w:bidi="ar"/>
              </w:rPr>
              <w:t>期初余额</w:t>
            </w:r>
          </w:p>
        </w:tc>
        <w:tc>
          <w:tcPr>
            <w:tcW w:w="13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3"/>
                <w:szCs w:val="13"/>
                <w:highlight w:val="none"/>
                <w:u w:val="none"/>
              </w:rPr>
            </w:pPr>
            <w:r>
              <w:rPr>
                <w:rFonts w:hint="eastAsia" w:ascii="宋体" w:hAnsi="宋体" w:eastAsia="宋体" w:cs="宋体"/>
                <w:i w:val="0"/>
                <w:iCs w:val="0"/>
                <w:color w:val="auto"/>
                <w:kern w:val="0"/>
                <w:sz w:val="13"/>
                <w:szCs w:val="13"/>
                <w:highlight w:val="none"/>
                <w:u w:val="none"/>
                <w:lang w:val="en-US" w:eastAsia="zh-CN" w:bidi="ar"/>
              </w:rPr>
              <w:t>期末余额</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3"/>
                <w:szCs w:val="13"/>
                <w:highlight w:val="none"/>
                <w:u w:val="none"/>
              </w:rPr>
            </w:pPr>
            <w:r>
              <w:rPr>
                <w:rFonts w:hint="eastAsia" w:ascii="宋体" w:hAnsi="宋体" w:eastAsia="宋体" w:cs="宋体"/>
                <w:i w:val="0"/>
                <w:iCs w:val="0"/>
                <w:color w:val="auto"/>
                <w:kern w:val="0"/>
                <w:sz w:val="13"/>
                <w:szCs w:val="13"/>
                <w:highlight w:val="none"/>
                <w:u w:val="none"/>
                <w:lang w:val="en-US" w:eastAsia="zh-CN" w:bidi="ar"/>
              </w:rPr>
              <w:t>减值准备期末余额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4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3"/>
                <w:szCs w:val="13"/>
                <w:highlight w:val="none"/>
                <w:u w:val="none"/>
              </w:rPr>
            </w:pPr>
          </w:p>
        </w:tc>
        <w:tc>
          <w:tcPr>
            <w:tcW w:w="15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3"/>
                <w:szCs w:val="13"/>
                <w:highlight w:val="none"/>
                <w:u w:val="none"/>
              </w:rPr>
            </w:pPr>
          </w:p>
        </w:tc>
        <w:tc>
          <w:tcPr>
            <w:tcW w:w="13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3"/>
                <w:szCs w:val="13"/>
                <w:highlight w:val="none"/>
                <w:u w:val="none"/>
              </w:rPr>
            </w:pPr>
          </w:p>
        </w:tc>
        <w:tc>
          <w:tcPr>
            <w:tcW w:w="13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3"/>
                <w:szCs w:val="13"/>
                <w:highlight w:val="none"/>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3"/>
                <w:szCs w:val="13"/>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3"/>
                <w:szCs w:val="13"/>
                <w:highlight w:val="none"/>
                <w:u w:val="none"/>
                <w:lang w:val="en-US" w:eastAsia="zh-CN"/>
              </w:rPr>
            </w:pPr>
            <w:r>
              <w:rPr>
                <w:rFonts w:hint="eastAsia" w:ascii="Times New Roman" w:hAnsi="Times New Roman" w:eastAsia="宋体" w:cs="Times New Roman"/>
                <w:i w:val="0"/>
                <w:iCs w:val="0"/>
                <w:color w:val="auto"/>
                <w:sz w:val="13"/>
                <w:szCs w:val="13"/>
                <w:highlight w:val="none"/>
                <w:u w:val="none"/>
                <w:lang w:val="en-US" w:eastAsia="zh-CN"/>
              </w:rPr>
              <w:t>控股企业合计</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13"/>
                <w:szCs w:val="13"/>
                <w:highlight w:val="none"/>
                <w:u w:val="none"/>
              </w:rPr>
            </w:pPr>
            <w:r>
              <w:rPr>
                <w:rFonts w:hint="default" w:ascii="Times New Roman" w:hAnsi="Times New Roman" w:eastAsia="宋体" w:cs="Times New Roman"/>
                <w:i w:val="0"/>
                <w:iCs w:val="0"/>
                <w:color w:val="auto"/>
                <w:kern w:val="0"/>
                <w:sz w:val="13"/>
                <w:szCs w:val="13"/>
                <w:highlight w:val="none"/>
                <w:u w:val="none"/>
                <w:lang w:val="en-US" w:eastAsia="zh-CN" w:bidi="ar"/>
              </w:rPr>
              <w:t>17,679,327,120.49</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13"/>
                <w:szCs w:val="13"/>
                <w:highlight w:val="none"/>
                <w:u w:val="none"/>
              </w:rPr>
            </w:pPr>
            <w:r>
              <w:rPr>
                <w:rFonts w:hint="default" w:ascii="Times New Roman" w:hAnsi="Times New Roman" w:eastAsia="宋体" w:cs="Times New Roman"/>
                <w:i w:val="0"/>
                <w:iCs w:val="0"/>
                <w:color w:val="auto"/>
                <w:kern w:val="0"/>
                <w:sz w:val="13"/>
                <w:szCs w:val="13"/>
                <w:highlight w:val="none"/>
                <w:u w:val="none"/>
                <w:lang w:val="en-US" w:eastAsia="zh-CN" w:bidi="ar"/>
              </w:rPr>
              <w:t>17,301,063,928.00</w:t>
            </w: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13"/>
                <w:szCs w:val="13"/>
                <w:highlight w:val="none"/>
                <w:u w:val="none"/>
              </w:rPr>
            </w:pPr>
            <w:r>
              <w:rPr>
                <w:rFonts w:hint="default" w:ascii="Times New Roman" w:hAnsi="Times New Roman" w:eastAsia="宋体" w:cs="Times New Roman"/>
                <w:i w:val="0"/>
                <w:iCs w:val="0"/>
                <w:color w:val="auto"/>
                <w:kern w:val="0"/>
                <w:sz w:val="13"/>
                <w:szCs w:val="13"/>
                <w:highlight w:val="none"/>
                <w:u w:val="none"/>
                <w:lang w:val="en-US" w:eastAsia="zh-CN" w:bidi="ar"/>
              </w:rPr>
              <w:t>17,158,670,500.42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13"/>
                <w:szCs w:val="13"/>
                <w:highlight w:val="none"/>
                <w:u w:val="none"/>
              </w:rPr>
            </w:pPr>
            <w:r>
              <w:rPr>
                <w:rFonts w:hint="default" w:ascii="Times New Roman" w:hAnsi="Times New Roman" w:eastAsia="宋体" w:cs="Times New Roman"/>
                <w:i w:val="0"/>
                <w:iCs w:val="0"/>
                <w:color w:val="auto"/>
                <w:kern w:val="0"/>
                <w:sz w:val="13"/>
                <w:szCs w:val="13"/>
                <w:highlight w:val="none"/>
                <w:u w:val="none"/>
                <w:lang w:val="en-US" w:eastAsia="zh-CN" w:bidi="ar"/>
              </w:rPr>
              <w:t>3,337,613,581.40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3"/>
                <w:szCs w:val="13"/>
                <w:highlight w:val="none"/>
                <w:u w:val="none"/>
              </w:rPr>
            </w:pPr>
            <w:r>
              <w:rPr>
                <w:rFonts w:hint="eastAsia" w:ascii="宋体" w:hAnsi="宋体" w:eastAsia="宋体" w:cs="宋体"/>
                <w:i w:val="0"/>
                <w:iCs w:val="0"/>
                <w:color w:val="auto"/>
                <w:kern w:val="0"/>
                <w:sz w:val="13"/>
                <w:szCs w:val="13"/>
                <w:highlight w:val="none"/>
                <w:u w:val="none"/>
                <w:lang w:val="en-US" w:eastAsia="zh-CN" w:bidi="ar"/>
              </w:rPr>
              <w:t>国家电投集团贵州金元绥阳产业有限公司</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13"/>
                <w:szCs w:val="13"/>
                <w:highlight w:val="none"/>
                <w:u w:val="none"/>
              </w:rPr>
            </w:pPr>
            <w:r>
              <w:rPr>
                <w:rFonts w:hint="default" w:ascii="Times New Roman" w:hAnsi="Times New Roman" w:eastAsia="宋体" w:cs="Times New Roman"/>
                <w:i w:val="0"/>
                <w:iCs w:val="0"/>
                <w:color w:val="auto"/>
                <w:kern w:val="0"/>
                <w:sz w:val="13"/>
                <w:szCs w:val="13"/>
                <w:highlight w:val="none"/>
                <w:u w:val="none"/>
                <w:lang w:val="en-US" w:eastAsia="zh-CN" w:bidi="ar"/>
              </w:rPr>
              <w:t>4,049,049,173.89</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13"/>
                <w:szCs w:val="13"/>
                <w:highlight w:val="none"/>
                <w:u w:val="none"/>
              </w:rPr>
            </w:pPr>
            <w:r>
              <w:rPr>
                <w:rFonts w:hint="default" w:ascii="Times New Roman" w:hAnsi="Times New Roman" w:eastAsia="宋体" w:cs="Times New Roman"/>
                <w:i w:val="0"/>
                <w:iCs w:val="0"/>
                <w:color w:val="auto"/>
                <w:kern w:val="0"/>
                <w:sz w:val="13"/>
                <w:szCs w:val="13"/>
                <w:highlight w:val="none"/>
                <w:u w:val="none"/>
                <w:lang w:val="en-US" w:eastAsia="zh-CN" w:bidi="ar"/>
              </w:rPr>
              <w:t>3,700,785,981.40</w:t>
            </w: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13"/>
                <w:szCs w:val="13"/>
                <w:highlight w:val="none"/>
                <w:u w:val="none"/>
              </w:rPr>
            </w:pPr>
            <w:r>
              <w:rPr>
                <w:rFonts w:hint="default" w:ascii="Times New Roman" w:hAnsi="Times New Roman" w:eastAsia="宋体" w:cs="Times New Roman"/>
                <w:i w:val="0"/>
                <w:iCs w:val="0"/>
                <w:color w:val="auto"/>
                <w:kern w:val="0"/>
                <w:sz w:val="13"/>
                <w:szCs w:val="13"/>
                <w:highlight w:val="none"/>
                <w:u w:val="none"/>
                <w:lang w:val="en-US" w:eastAsia="zh-CN" w:bidi="ar"/>
              </w:rPr>
              <w:t>3,700,785,981.40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13"/>
                <w:szCs w:val="13"/>
                <w:highlight w:val="none"/>
                <w:u w:val="none"/>
              </w:rPr>
            </w:pPr>
            <w:r>
              <w:rPr>
                <w:rFonts w:hint="default" w:ascii="Times New Roman" w:hAnsi="Times New Roman" w:eastAsia="宋体" w:cs="Times New Roman"/>
                <w:i w:val="0"/>
                <w:iCs w:val="0"/>
                <w:color w:val="auto"/>
                <w:kern w:val="0"/>
                <w:sz w:val="13"/>
                <w:szCs w:val="13"/>
                <w:highlight w:val="none"/>
                <w:u w:val="none"/>
                <w:lang w:val="en-US" w:eastAsia="zh-CN" w:bidi="ar"/>
              </w:rPr>
              <w:t>3,337,613,581.40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3"/>
                <w:szCs w:val="13"/>
                <w:highlight w:val="none"/>
                <w:u w:val="none"/>
              </w:rPr>
            </w:pPr>
            <w:r>
              <w:rPr>
                <w:rFonts w:hint="eastAsia" w:ascii="宋体" w:hAnsi="宋体" w:eastAsia="宋体" w:cs="宋体"/>
                <w:i w:val="0"/>
                <w:iCs w:val="0"/>
                <w:color w:val="auto"/>
                <w:kern w:val="0"/>
                <w:sz w:val="13"/>
                <w:szCs w:val="13"/>
                <w:highlight w:val="none"/>
                <w:u w:val="none"/>
                <w:lang w:val="en-US" w:eastAsia="zh-CN" w:bidi="ar"/>
              </w:rPr>
              <w:t>贵州中水能源股份有限公司</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13"/>
                <w:szCs w:val="13"/>
                <w:highlight w:val="none"/>
                <w:u w:val="none"/>
              </w:rPr>
            </w:pPr>
            <w:r>
              <w:rPr>
                <w:rFonts w:hint="default" w:ascii="Times New Roman" w:hAnsi="Times New Roman" w:eastAsia="宋体" w:cs="Times New Roman"/>
                <w:i w:val="0"/>
                <w:iCs w:val="0"/>
                <w:color w:val="auto"/>
                <w:kern w:val="0"/>
                <w:sz w:val="13"/>
                <w:szCs w:val="13"/>
                <w:highlight w:val="none"/>
                <w:u w:val="none"/>
                <w:lang w:val="en-US" w:eastAsia="zh-CN" w:bidi="ar"/>
              </w:rPr>
              <w:t>3,328,045,015.63</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13"/>
                <w:szCs w:val="13"/>
                <w:highlight w:val="none"/>
                <w:u w:val="none"/>
              </w:rPr>
            </w:pPr>
            <w:r>
              <w:rPr>
                <w:rFonts w:hint="default" w:ascii="Times New Roman" w:hAnsi="Times New Roman" w:eastAsia="宋体" w:cs="Times New Roman"/>
                <w:i w:val="0"/>
                <w:iCs w:val="0"/>
                <w:color w:val="auto"/>
                <w:kern w:val="0"/>
                <w:sz w:val="13"/>
                <w:szCs w:val="13"/>
                <w:highlight w:val="none"/>
                <w:u w:val="none"/>
                <w:lang w:val="en-US" w:eastAsia="zh-CN" w:bidi="ar"/>
              </w:rPr>
              <w:t>3,328,045,015.63</w:t>
            </w: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13"/>
                <w:szCs w:val="13"/>
                <w:highlight w:val="none"/>
                <w:u w:val="none"/>
              </w:rPr>
            </w:pPr>
            <w:r>
              <w:rPr>
                <w:rFonts w:hint="default" w:ascii="Times New Roman" w:hAnsi="Times New Roman" w:eastAsia="宋体" w:cs="Times New Roman"/>
                <w:i w:val="0"/>
                <w:iCs w:val="0"/>
                <w:color w:val="auto"/>
                <w:kern w:val="0"/>
                <w:sz w:val="13"/>
                <w:szCs w:val="13"/>
                <w:highlight w:val="none"/>
                <w:u w:val="none"/>
                <w:lang w:val="en-US" w:eastAsia="zh-CN" w:bidi="ar"/>
              </w:rPr>
              <w:t>3,328,045,015.63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Times New Roman" w:hAnsi="Times New Roman" w:eastAsia="宋体" w:cs="Times New Roman"/>
                <w:i w:val="0"/>
                <w:iCs w:val="0"/>
                <w:color w:val="auto"/>
                <w:sz w:val="13"/>
                <w:szCs w:val="13"/>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3"/>
                <w:szCs w:val="13"/>
                <w:highlight w:val="none"/>
                <w:u w:val="none"/>
              </w:rPr>
            </w:pPr>
            <w:r>
              <w:rPr>
                <w:rFonts w:hint="eastAsia" w:ascii="宋体" w:hAnsi="宋体" w:eastAsia="宋体" w:cs="宋体"/>
                <w:i w:val="0"/>
                <w:iCs w:val="0"/>
                <w:color w:val="auto"/>
                <w:kern w:val="0"/>
                <w:sz w:val="13"/>
                <w:szCs w:val="13"/>
                <w:highlight w:val="none"/>
                <w:u w:val="none"/>
                <w:lang w:val="en-US" w:eastAsia="zh-CN" w:bidi="ar"/>
              </w:rPr>
              <w:t>贵州西电电力股份有限公司</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13"/>
                <w:szCs w:val="13"/>
                <w:highlight w:val="none"/>
                <w:u w:val="none"/>
              </w:rPr>
            </w:pPr>
            <w:r>
              <w:rPr>
                <w:rFonts w:hint="default" w:ascii="Times New Roman" w:hAnsi="Times New Roman" w:eastAsia="宋体" w:cs="Times New Roman"/>
                <w:i w:val="0"/>
                <w:iCs w:val="0"/>
                <w:color w:val="auto"/>
                <w:kern w:val="0"/>
                <w:sz w:val="13"/>
                <w:szCs w:val="13"/>
                <w:highlight w:val="none"/>
                <w:u w:val="none"/>
                <w:lang w:val="en-US" w:eastAsia="zh-CN" w:bidi="ar"/>
              </w:rPr>
              <w:t>3,107,631,627.26</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13"/>
                <w:szCs w:val="13"/>
                <w:highlight w:val="none"/>
                <w:u w:val="none"/>
              </w:rPr>
            </w:pPr>
            <w:r>
              <w:rPr>
                <w:rFonts w:hint="default" w:ascii="Times New Roman" w:hAnsi="Times New Roman" w:eastAsia="宋体" w:cs="Times New Roman"/>
                <w:i w:val="0"/>
                <w:iCs w:val="0"/>
                <w:color w:val="auto"/>
                <w:kern w:val="0"/>
                <w:sz w:val="13"/>
                <w:szCs w:val="13"/>
                <w:highlight w:val="none"/>
                <w:u w:val="none"/>
                <w:lang w:val="en-US" w:eastAsia="zh-CN" w:bidi="ar"/>
              </w:rPr>
              <w:t>3,107,631,627.26</w:t>
            </w: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13"/>
                <w:szCs w:val="13"/>
                <w:highlight w:val="none"/>
                <w:u w:val="none"/>
              </w:rPr>
            </w:pPr>
            <w:r>
              <w:rPr>
                <w:rFonts w:hint="default" w:ascii="Times New Roman" w:hAnsi="Times New Roman" w:eastAsia="宋体" w:cs="Times New Roman"/>
                <w:i w:val="0"/>
                <w:iCs w:val="0"/>
                <w:color w:val="auto"/>
                <w:kern w:val="0"/>
                <w:sz w:val="13"/>
                <w:szCs w:val="13"/>
                <w:highlight w:val="none"/>
                <w:u w:val="none"/>
                <w:lang w:val="en-US" w:eastAsia="zh-CN" w:bidi="ar"/>
              </w:rPr>
              <w:t>3,107,631,627.26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Times New Roman" w:hAnsi="Times New Roman" w:eastAsia="宋体" w:cs="Times New Roman"/>
                <w:i w:val="0"/>
                <w:iCs w:val="0"/>
                <w:color w:val="auto"/>
                <w:sz w:val="13"/>
                <w:szCs w:val="13"/>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3"/>
                <w:szCs w:val="13"/>
                <w:highlight w:val="none"/>
                <w:u w:val="none"/>
              </w:rPr>
            </w:pPr>
            <w:r>
              <w:rPr>
                <w:rFonts w:hint="eastAsia" w:ascii="宋体" w:hAnsi="宋体" w:eastAsia="宋体" w:cs="宋体"/>
                <w:i w:val="0"/>
                <w:iCs w:val="0"/>
                <w:color w:val="auto"/>
                <w:kern w:val="0"/>
                <w:sz w:val="13"/>
                <w:szCs w:val="13"/>
                <w:highlight w:val="none"/>
                <w:u w:val="none"/>
                <w:lang w:val="en-US" w:eastAsia="zh-CN" w:bidi="ar"/>
              </w:rPr>
              <w:t>国家电投集团贵州金元威宁能源股份有限公司</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13"/>
                <w:szCs w:val="13"/>
                <w:highlight w:val="none"/>
                <w:u w:val="none"/>
              </w:rPr>
            </w:pPr>
            <w:r>
              <w:rPr>
                <w:rFonts w:hint="default" w:ascii="Times New Roman" w:hAnsi="Times New Roman" w:eastAsia="宋体" w:cs="Times New Roman"/>
                <w:i w:val="0"/>
                <w:iCs w:val="0"/>
                <w:color w:val="auto"/>
                <w:kern w:val="0"/>
                <w:sz w:val="13"/>
                <w:szCs w:val="13"/>
                <w:highlight w:val="none"/>
                <w:u w:val="none"/>
                <w:lang w:val="en-US" w:eastAsia="zh-CN" w:bidi="ar"/>
              </w:rPr>
              <w:t>2,395,000,136.00</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13"/>
                <w:szCs w:val="13"/>
                <w:highlight w:val="none"/>
                <w:u w:val="none"/>
              </w:rPr>
            </w:pPr>
            <w:r>
              <w:rPr>
                <w:rFonts w:hint="default" w:ascii="Times New Roman" w:hAnsi="Times New Roman" w:eastAsia="宋体" w:cs="Times New Roman"/>
                <w:i w:val="0"/>
                <w:iCs w:val="0"/>
                <w:color w:val="auto"/>
                <w:kern w:val="0"/>
                <w:sz w:val="13"/>
                <w:szCs w:val="13"/>
                <w:highlight w:val="none"/>
                <w:u w:val="none"/>
                <w:lang w:val="en-US" w:eastAsia="zh-CN" w:bidi="ar"/>
              </w:rPr>
              <w:t>2,395,000,136.00</w:t>
            </w: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13"/>
                <w:szCs w:val="13"/>
                <w:highlight w:val="none"/>
                <w:u w:val="none"/>
              </w:rPr>
            </w:pPr>
            <w:r>
              <w:rPr>
                <w:rFonts w:hint="default" w:ascii="Times New Roman" w:hAnsi="Times New Roman" w:eastAsia="宋体" w:cs="Times New Roman"/>
                <w:i w:val="0"/>
                <w:iCs w:val="0"/>
                <w:color w:val="auto"/>
                <w:kern w:val="0"/>
                <w:sz w:val="13"/>
                <w:szCs w:val="13"/>
                <w:highlight w:val="none"/>
                <w:u w:val="none"/>
                <w:lang w:val="en-US" w:eastAsia="zh-CN" w:bidi="ar"/>
              </w:rPr>
              <w:t>3,072,599,203.07</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Times New Roman" w:hAnsi="Times New Roman" w:eastAsia="宋体" w:cs="Times New Roman"/>
                <w:i w:val="0"/>
                <w:iCs w:val="0"/>
                <w:color w:val="auto"/>
                <w:sz w:val="13"/>
                <w:szCs w:val="13"/>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3"/>
                <w:szCs w:val="13"/>
                <w:highlight w:val="none"/>
                <w:u w:val="none"/>
              </w:rPr>
            </w:pPr>
            <w:r>
              <w:rPr>
                <w:rFonts w:hint="eastAsia" w:ascii="宋体" w:hAnsi="宋体" w:eastAsia="宋体" w:cs="宋体"/>
                <w:i w:val="0"/>
                <w:iCs w:val="0"/>
                <w:color w:val="auto"/>
                <w:kern w:val="0"/>
                <w:sz w:val="13"/>
                <w:szCs w:val="13"/>
                <w:highlight w:val="none"/>
                <w:u w:val="none"/>
                <w:lang w:val="en-US" w:eastAsia="zh-CN" w:bidi="ar"/>
              </w:rPr>
              <w:t>融和东能（嘉兴）新能源投资合伙企业（有限合伙）</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13"/>
                <w:szCs w:val="13"/>
                <w:highlight w:val="none"/>
                <w:u w:val="none"/>
              </w:rPr>
            </w:pPr>
            <w:r>
              <w:rPr>
                <w:rFonts w:hint="default" w:ascii="Times New Roman" w:hAnsi="Times New Roman" w:eastAsia="宋体" w:cs="Times New Roman"/>
                <w:i w:val="0"/>
                <w:iCs w:val="0"/>
                <w:color w:val="auto"/>
                <w:kern w:val="0"/>
                <w:sz w:val="13"/>
                <w:szCs w:val="13"/>
                <w:highlight w:val="none"/>
                <w:u w:val="none"/>
                <w:lang w:val="en-US" w:eastAsia="zh-CN" w:bidi="ar"/>
              </w:rPr>
              <w:t>1,360,655,428.24</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13"/>
                <w:szCs w:val="13"/>
                <w:highlight w:val="none"/>
                <w:u w:val="none"/>
              </w:rPr>
            </w:pPr>
            <w:r>
              <w:rPr>
                <w:rFonts w:hint="default" w:ascii="Times New Roman" w:hAnsi="Times New Roman" w:eastAsia="宋体" w:cs="Times New Roman"/>
                <w:i w:val="0"/>
                <w:iCs w:val="0"/>
                <w:color w:val="auto"/>
                <w:kern w:val="0"/>
                <w:sz w:val="13"/>
                <w:szCs w:val="13"/>
                <w:highlight w:val="none"/>
                <w:u w:val="none"/>
                <w:lang w:val="en-US" w:eastAsia="zh-CN" w:bidi="ar"/>
              </w:rPr>
              <w:t>1,360,655,428.24</w:t>
            </w: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13"/>
                <w:szCs w:val="13"/>
                <w:highlight w:val="none"/>
                <w:u w:val="none"/>
              </w:rPr>
            </w:pPr>
            <w:r>
              <w:rPr>
                <w:rFonts w:hint="default" w:ascii="Times New Roman" w:hAnsi="Times New Roman" w:eastAsia="宋体" w:cs="Times New Roman"/>
                <w:i w:val="0"/>
                <w:iCs w:val="0"/>
                <w:color w:val="auto"/>
                <w:kern w:val="0"/>
                <w:sz w:val="13"/>
                <w:szCs w:val="13"/>
                <w:highlight w:val="none"/>
                <w:u w:val="none"/>
                <w:lang w:val="en-US" w:eastAsia="zh-CN" w:bidi="ar"/>
              </w:rPr>
              <w:t>1,360,655,428.24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Times New Roman" w:hAnsi="Times New Roman" w:eastAsia="宋体" w:cs="Times New Roman"/>
                <w:i w:val="0"/>
                <w:iCs w:val="0"/>
                <w:color w:val="auto"/>
                <w:sz w:val="13"/>
                <w:szCs w:val="13"/>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3"/>
                <w:szCs w:val="13"/>
                <w:highlight w:val="none"/>
                <w:u w:val="none"/>
              </w:rPr>
            </w:pPr>
            <w:r>
              <w:rPr>
                <w:rFonts w:hint="eastAsia" w:ascii="宋体" w:hAnsi="宋体" w:eastAsia="宋体" w:cs="宋体"/>
                <w:i w:val="0"/>
                <w:iCs w:val="0"/>
                <w:color w:val="auto"/>
                <w:kern w:val="0"/>
                <w:sz w:val="13"/>
                <w:szCs w:val="13"/>
                <w:highlight w:val="none"/>
                <w:u w:val="none"/>
                <w:lang w:val="en-US" w:eastAsia="zh-CN" w:bidi="ar"/>
              </w:rPr>
              <w:t>贵州元龙综合能源产业服务有限公司</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13"/>
                <w:szCs w:val="13"/>
                <w:highlight w:val="none"/>
                <w:u w:val="none"/>
              </w:rPr>
            </w:pPr>
            <w:r>
              <w:rPr>
                <w:rFonts w:hint="default" w:ascii="Times New Roman" w:hAnsi="Times New Roman" w:eastAsia="宋体" w:cs="Times New Roman"/>
                <w:i w:val="0"/>
                <w:iCs w:val="0"/>
                <w:color w:val="auto"/>
                <w:kern w:val="0"/>
                <w:sz w:val="13"/>
                <w:szCs w:val="13"/>
                <w:highlight w:val="none"/>
                <w:u w:val="none"/>
                <w:lang w:val="en-US" w:eastAsia="zh-CN" w:bidi="ar"/>
              </w:rPr>
              <w:t>974,372,574.76</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13"/>
                <w:szCs w:val="13"/>
                <w:highlight w:val="none"/>
                <w:u w:val="none"/>
              </w:rPr>
            </w:pPr>
            <w:r>
              <w:rPr>
                <w:rFonts w:hint="default" w:ascii="Times New Roman" w:hAnsi="Times New Roman" w:eastAsia="宋体" w:cs="Times New Roman"/>
                <w:i w:val="0"/>
                <w:iCs w:val="0"/>
                <w:color w:val="auto"/>
                <w:kern w:val="0"/>
                <w:sz w:val="13"/>
                <w:szCs w:val="13"/>
                <w:highlight w:val="none"/>
                <w:u w:val="none"/>
                <w:lang w:val="en-US" w:eastAsia="zh-CN" w:bidi="ar"/>
              </w:rPr>
              <w:t>974,372,574.76</w:t>
            </w: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13"/>
                <w:szCs w:val="13"/>
                <w:highlight w:val="none"/>
                <w:u w:val="none"/>
              </w:rPr>
            </w:pPr>
            <w:r>
              <w:rPr>
                <w:rFonts w:hint="default" w:ascii="Times New Roman" w:hAnsi="Times New Roman" w:eastAsia="宋体" w:cs="Times New Roman"/>
                <w:i w:val="0"/>
                <w:iCs w:val="0"/>
                <w:color w:val="auto"/>
                <w:kern w:val="0"/>
                <w:sz w:val="13"/>
                <w:szCs w:val="13"/>
                <w:highlight w:val="none"/>
                <w:u w:val="none"/>
                <w:lang w:val="en-US" w:eastAsia="zh-CN" w:bidi="ar"/>
              </w:rPr>
              <w:t>974,372,574.76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Times New Roman" w:hAnsi="Times New Roman" w:eastAsia="宋体" w:cs="Times New Roman"/>
                <w:i w:val="0"/>
                <w:iCs w:val="0"/>
                <w:color w:val="auto"/>
                <w:sz w:val="13"/>
                <w:szCs w:val="13"/>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3"/>
                <w:szCs w:val="13"/>
                <w:highlight w:val="none"/>
                <w:u w:val="none"/>
              </w:rPr>
            </w:pPr>
            <w:r>
              <w:rPr>
                <w:rFonts w:hint="eastAsia" w:ascii="宋体" w:hAnsi="宋体" w:eastAsia="宋体" w:cs="宋体"/>
                <w:i w:val="0"/>
                <w:iCs w:val="0"/>
                <w:color w:val="auto"/>
                <w:kern w:val="0"/>
                <w:sz w:val="13"/>
                <w:szCs w:val="13"/>
                <w:highlight w:val="none"/>
                <w:u w:val="none"/>
                <w:lang w:val="en-US" w:eastAsia="zh-CN" w:bidi="ar"/>
              </w:rPr>
              <w:t>贵州金元绿链物流开发有限公司</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13"/>
                <w:szCs w:val="13"/>
                <w:highlight w:val="none"/>
                <w:u w:val="none"/>
              </w:rPr>
            </w:pPr>
            <w:r>
              <w:rPr>
                <w:rFonts w:hint="default" w:ascii="Times New Roman" w:hAnsi="Times New Roman" w:eastAsia="宋体" w:cs="Times New Roman"/>
                <w:i w:val="0"/>
                <w:iCs w:val="0"/>
                <w:color w:val="auto"/>
                <w:kern w:val="0"/>
                <w:sz w:val="13"/>
                <w:szCs w:val="13"/>
                <w:highlight w:val="none"/>
                <w:u w:val="none"/>
                <w:lang w:val="en-US" w:eastAsia="zh-CN" w:bidi="ar"/>
              </w:rPr>
              <w:t>700,000,000.00</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13"/>
                <w:szCs w:val="13"/>
                <w:highlight w:val="none"/>
                <w:u w:val="none"/>
              </w:rPr>
            </w:pPr>
            <w:r>
              <w:rPr>
                <w:rFonts w:hint="default" w:ascii="Times New Roman" w:hAnsi="Times New Roman" w:eastAsia="宋体" w:cs="Times New Roman"/>
                <w:i w:val="0"/>
                <w:iCs w:val="0"/>
                <w:color w:val="auto"/>
                <w:kern w:val="0"/>
                <w:sz w:val="13"/>
                <w:szCs w:val="13"/>
                <w:highlight w:val="none"/>
                <w:u w:val="none"/>
                <w:lang w:val="en-US" w:eastAsia="zh-CN" w:bidi="ar"/>
              </w:rPr>
              <w:t>700,000,000.00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13"/>
                <w:szCs w:val="13"/>
                <w:highlight w:val="none"/>
                <w:u w:val="none"/>
              </w:rPr>
            </w:pPr>
            <w:r>
              <w:rPr>
                <w:rFonts w:hint="default" w:ascii="Times New Roman" w:hAnsi="Times New Roman" w:eastAsia="宋体" w:cs="Times New Roman"/>
                <w:i w:val="0"/>
                <w:iCs w:val="0"/>
                <w:color w:val="auto"/>
                <w:kern w:val="0"/>
                <w:sz w:val="13"/>
                <w:szCs w:val="13"/>
                <w:highlight w:val="none"/>
                <w:u w:val="none"/>
                <w:lang w:val="en-US" w:eastAsia="zh-CN" w:bidi="ar"/>
              </w:rPr>
              <w:t>700,000,000.00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Times New Roman" w:hAnsi="Times New Roman" w:eastAsia="宋体" w:cs="Times New Roman"/>
                <w:i w:val="0"/>
                <w:iCs w:val="0"/>
                <w:color w:val="auto"/>
                <w:sz w:val="13"/>
                <w:szCs w:val="13"/>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3"/>
                <w:szCs w:val="13"/>
                <w:highlight w:val="none"/>
                <w:u w:val="none"/>
              </w:rPr>
            </w:pPr>
            <w:r>
              <w:rPr>
                <w:rFonts w:hint="eastAsia" w:ascii="宋体" w:hAnsi="宋体" w:eastAsia="宋体" w:cs="宋体"/>
                <w:i w:val="0"/>
                <w:iCs w:val="0"/>
                <w:color w:val="auto"/>
                <w:kern w:val="0"/>
                <w:sz w:val="13"/>
                <w:szCs w:val="13"/>
                <w:highlight w:val="none"/>
                <w:u w:val="none"/>
                <w:lang w:val="en-US" w:eastAsia="zh-CN" w:bidi="ar"/>
              </w:rPr>
              <w:t>贵州西能电力建设有限公司</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13"/>
                <w:szCs w:val="13"/>
                <w:highlight w:val="none"/>
                <w:u w:val="none"/>
              </w:rPr>
            </w:pPr>
            <w:r>
              <w:rPr>
                <w:rFonts w:hint="default" w:ascii="Times New Roman" w:hAnsi="Times New Roman" w:eastAsia="宋体" w:cs="Times New Roman"/>
                <w:i w:val="0"/>
                <w:iCs w:val="0"/>
                <w:color w:val="auto"/>
                <w:kern w:val="0"/>
                <w:sz w:val="13"/>
                <w:szCs w:val="13"/>
                <w:highlight w:val="none"/>
                <w:u w:val="none"/>
                <w:lang w:val="en-US" w:eastAsia="zh-CN" w:bidi="ar"/>
              </w:rPr>
              <w:t>674,580,670.06</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13"/>
                <w:szCs w:val="13"/>
                <w:highlight w:val="none"/>
                <w:u w:val="none"/>
              </w:rPr>
            </w:pPr>
            <w:r>
              <w:rPr>
                <w:rFonts w:hint="default" w:ascii="Times New Roman" w:hAnsi="Times New Roman" w:eastAsia="宋体" w:cs="Times New Roman"/>
                <w:i w:val="0"/>
                <w:iCs w:val="0"/>
                <w:color w:val="auto"/>
                <w:kern w:val="0"/>
                <w:sz w:val="13"/>
                <w:szCs w:val="13"/>
                <w:highlight w:val="none"/>
                <w:u w:val="none"/>
                <w:lang w:val="en-US" w:eastAsia="zh-CN" w:bidi="ar"/>
              </w:rPr>
              <w:t>674,580,670.06</w:t>
            </w: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13"/>
                <w:szCs w:val="13"/>
                <w:highlight w:val="none"/>
                <w:u w:val="none"/>
              </w:rPr>
            </w:pPr>
            <w:r>
              <w:rPr>
                <w:rFonts w:hint="default" w:ascii="Times New Roman" w:hAnsi="Times New Roman" w:eastAsia="宋体" w:cs="Times New Roman"/>
                <w:i w:val="0"/>
                <w:iCs w:val="0"/>
                <w:color w:val="auto"/>
                <w:kern w:val="0"/>
                <w:sz w:val="13"/>
                <w:szCs w:val="13"/>
                <w:highlight w:val="none"/>
                <w:u w:val="none"/>
                <w:lang w:val="en-US" w:eastAsia="zh-CN" w:bidi="ar"/>
              </w:rPr>
              <w:t>674,580,670.06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Times New Roman" w:hAnsi="Times New Roman" w:eastAsia="宋体" w:cs="Times New Roman"/>
                <w:i w:val="0"/>
                <w:iCs w:val="0"/>
                <w:color w:val="auto"/>
                <w:sz w:val="13"/>
                <w:szCs w:val="13"/>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3"/>
                <w:szCs w:val="13"/>
                <w:highlight w:val="none"/>
                <w:u w:val="none"/>
              </w:rPr>
            </w:pPr>
            <w:r>
              <w:rPr>
                <w:rFonts w:hint="eastAsia" w:ascii="宋体" w:hAnsi="宋体" w:eastAsia="宋体" w:cs="宋体"/>
                <w:i w:val="0"/>
                <w:iCs w:val="0"/>
                <w:color w:val="auto"/>
                <w:kern w:val="0"/>
                <w:sz w:val="13"/>
                <w:szCs w:val="13"/>
                <w:highlight w:val="none"/>
                <w:u w:val="none"/>
                <w:lang w:val="en-US" w:eastAsia="zh-CN" w:bidi="ar"/>
              </w:rPr>
              <w:t>贵州金元智慧能源有限公司</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13"/>
                <w:szCs w:val="13"/>
                <w:highlight w:val="none"/>
                <w:u w:val="none"/>
              </w:rPr>
            </w:pPr>
            <w:r>
              <w:rPr>
                <w:rFonts w:hint="default" w:ascii="Times New Roman" w:hAnsi="Times New Roman" w:eastAsia="宋体" w:cs="Times New Roman"/>
                <w:i w:val="0"/>
                <w:iCs w:val="0"/>
                <w:color w:val="auto"/>
                <w:kern w:val="0"/>
                <w:sz w:val="13"/>
                <w:szCs w:val="13"/>
                <w:highlight w:val="none"/>
                <w:u w:val="none"/>
                <w:lang w:val="en-US" w:eastAsia="zh-CN" w:bidi="ar"/>
              </w:rPr>
              <w:t>210,000,000.00</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13"/>
                <w:szCs w:val="13"/>
                <w:highlight w:val="none"/>
                <w:u w:val="none"/>
              </w:rPr>
            </w:pPr>
            <w:r>
              <w:rPr>
                <w:rFonts w:hint="default" w:ascii="Times New Roman" w:hAnsi="Times New Roman" w:eastAsia="宋体" w:cs="Times New Roman"/>
                <w:i w:val="0"/>
                <w:iCs w:val="0"/>
                <w:color w:val="auto"/>
                <w:kern w:val="0"/>
                <w:sz w:val="13"/>
                <w:szCs w:val="13"/>
                <w:highlight w:val="none"/>
                <w:u w:val="none"/>
                <w:lang w:val="en-US" w:eastAsia="zh-CN" w:bidi="ar"/>
              </w:rPr>
              <w:t>210,000,000.00</w:t>
            </w: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13"/>
                <w:szCs w:val="13"/>
                <w:highlight w:val="none"/>
                <w:u w:val="none"/>
              </w:rPr>
            </w:pPr>
            <w:r>
              <w:rPr>
                <w:rFonts w:hint="default" w:ascii="Times New Roman" w:hAnsi="Times New Roman" w:eastAsia="宋体" w:cs="Times New Roman"/>
                <w:i w:val="0"/>
                <w:iCs w:val="0"/>
                <w:color w:val="auto"/>
                <w:kern w:val="0"/>
                <w:sz w:val="13"/>
                <w:szCs w:val="13"/>
                <w:highlight w:val="none"/>
                <w:u w:val="none"/>
                <w:lang w:val="en-US" w:eastAsia="zh-CN" w:bidi="ar"/>
              </w:rPr>
              <w:t>210,000,000.00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Times New Roman" w:hAnsi="Times New Roman" w:eastAsia="宋体" w:cs="Times New Roman"/>
                <w:i w:val="0"/>
                <w:iCs w:val="0"/>
                <w:color w:val="auto"/>
                <w:sz w:val="13"/>
                <w:szCs w:val="13"/>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3"/>
                <w:szCs w:val="13"/>
                <w:highlight w:val="none"/>
                <w:u w:val="none"/>
              </w:rPr>
            </w:pPr>
            <w:r>
              <w:rPr>
                <w:rFonts w:hint="eastAsia" w:ascii="宋体" w:hAnsi="宋体" w:eastAsia="宋体" w:cs="宋体"/>
                <w:i w:val="0"/>
                <w:iCs w:val="0"/>
                <w:color w:val="auto"/>
                <w:kern w:val="0"/>
                <w:sz w:val="13"/>
                <w:szCs w:val="13"/>
                <w:highlight w:val="none"/>
                <w:u w:val="none"/>
                <w:lang w:val="en-US" w:eastAsia="zh-CN" w:bidi="ar"/>
              </w:rPr>
              <w:t>贵州能发新能源开发有限公司</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13"/>
                <w:szCs w:val="13"/>
                <w:highlight w:val="none"/>
                <w:u w:val="none"/>
              </w:rPr>
            </w:pPr>
            <w:r>
              <w:rPr>
                <w:rFonts w:hint="default" w:ascii="Times New Roman" w:hAnsi="Times New Roman" w:eastAsia="宋体" w:cs="Times New Roman"/>
                <w:i w:val="0"/>
                <w:iCs w:val="0"/>
                <w:color w:val="auto"/>
                <w:kern w:val="0"/>
                <w:sz w:val="13"/>
                <w:szCs w:val="13"/>
                <w:highlight w:val="none"/>
                <w:u w:val="none"/>
                <w:lang w:val="en-US" w:eastAsia="zh-CN" w:bidi="ar"/>
              </w:rPr>
              <w:t>30,000,000.00</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Times New Roman" w:hAnsi="Times New Roman" w:eastAsia="宋体" w:cs="Times New Roman"/>
                <w:i w:val="0"/>
                <w:iCs w:val="0"/>
                <w:color w:val="auto"/>
                <w:sz w:val="13"/>
                <w:szCs w:val="13"/>
                <w:highlight w:val="none"/>
                <w:u w:val="none"/>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13"/>
                <w:szCs w:val="13"/>
                <w:highlight w:val="none"/>
                <w:u w:val="none"/>
              </w:rPr>
            </w:pPr>
            <w:r>
              <w:rPr>
                <w:rFonts w:hint="default" w:ascii="Times New Roman" w:hAnsi="Times New Roman" w:eastAsia="宋体" w:cs="Times New Roman"/>
                <w:i w:val="0"/>
                <w:iCs w:val="0"/>
                <w:color w:val="auto"/>
                <w:kern w:val="0"/>
                <w:sz w:val="13"/>
                <w:szCs w:val="13"/>
                <w:highlight w:val="none"/>
                <w:u w:val="none"/>
                <w:lang w:val="en-US" w:eastAsia="zh-CN" w:bidi="ar"/>
              </w:rPr>
              <w:t>30,000,000.00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Times New Roman" w:hAnsi="Times New Roman" w:eastAsia="宋体" w:cs="Times New Roman"/>
                <w:i w:val="0"/>
                <w:iCs w:val="0"/>
                <w:color w:val="auto"/>
                <w:sz w:val="13"/>
                <w:szCs w:val="13"/>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3"/>
                <w:szCs w:val="13"/>
                <w:highlight w:val="none"/>
                <w:u w:val="none"/>
              </w:rPr>
            </w:pPr>
            <w:r>
              <w:rPr>
                <w:rFonts w:hint="eastAsia" w:ascii="宋体" w:hAnsi="宋体" w:eastAsia="宋体" w:cs="宋体"/>
                <w:i w:val="0"/>
                <w:iCs w:val="0"/>
                <w:color w:val="auto"/>
                <w:kern w:val="0"/>
                <w:sz w:val="13"/>
                <w:szCs w:val="13"/>
                <w:highlight w:val="none"/>
                <w:u w:val="none"/>
                <w:lang w:val="en-US" w:eastAsia="zh-CN" w:bidi="ar"/>
              </w:rPr>
              <w:t>贵州能发电力燃料开发有限公司</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13"/>
                <w:szCs w:val="13"/>
                <w:highlight w:val="none"/>
                <w:u w:val="none"/>
              </w:rPr>
            </w:pPr>
            <w:r>
              <w:rPr>
                <w:rFonts w:hint="default" w:ascii="Times New Roman" w:hAnsi="Times New Roman" w:eastAsia="宋体" w:cs="Times New Roman"/>
                <w:i w:val="0"/>
                <w:iCs w:val="0"/>
                <w:color w:val="auto"/>
                <w:kern w:val="0"/>
                <w:sz w:val="13"/>
                <w:szCs w:val="13"/>
                <w:highlight w:val="none"/>
                <w:u w:val="none"/>
                <w:lang w:val="en-US" w:eastAsia="zh-CN" w:bidi="ar"/>
              </w:rPr>
              <w:t>849,992,494.65</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13"/>
                <w:szCs w:val="13"/>
                <w:highlight w:val="none"/>
                <w:u w:val="none"/>
              </w:rPr>
            </w:pPr>
            <w:r>
              <w:rPr>
                <w:rFonts w:hint="default" w:ascii="Times New Roman" w:hAnsi="Times New Roman" w:eastAsia="宋体" w:cs="Times New Roman"/>
                <w:i w:val="0"/>
                <w:iCs w:val="0"/>
                <w:color w:val="auto"/>
                <w:kern w:val="0"/>
                <w:sz w:val="13"/>
                <w:szCs w:val="13"/>
                <w:highlight w:val="none"/>
                <w:u w:val="none"/>
                <w:lang w:val="en-US" w:eastAsia="zh-CN" w:bidi="ar"/>
              </w:rPr>
              <w:t>849,992,494.65</w:t>
            </w: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Times New Roman" w:hAnsi="Times New Roman" w:eastAsia="宋体" w:cs="Times New Roman"/>
                <w:i w:val="0"/>
                <w:iCs w:val="0"/>
                <w:color w:val="auto"/>
                <w:sz w:val="13"/>
                <w:szCs w:val="13"/>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Times New Roman" w:hAnsi="Times New Roman" w:eastAsia="宋体" w:cs="Times New Roman"/>
                <w:i w:val="0"/>
                <w:iCs w:val="0"/>
                <w:color w:val="auto"/>
                <w:sz w:val="13"/>
                <w:szCs w:val="13"/>
                <w:highlight w:val="none"/>
                <w:u w:val="none"/>
              </w:rPr>
            </w:pPr>
          </w:p>
        </w:tc>
      </w:tr>
    </w:tbl>
    <w:p>
      <w:pPr>
        <w:pStyle w:val="15"/>
        <w:rPr>
          <w:rFonts w:hint="eastAsia"/>
          <w:color w:val="auto"/>
          <w:highlight w:val="none"/>
          <w:lang w:val="en-US" w:eastAsia="zh-CN"/>
        </w:rPr>
      </w:pPr>
    </w:p>
    <w:p>
      <w:pPr>
        <w:keepNext w:val="0"/>
        <w:keepLines w:val="0"/>
        <w:pageBreakBefore w:val="0"/>
        <w:widowControl w:val="0"/>
        <w:numPr>
          <w:ilvl w:val="0"/>
          <w:numId w:val="0"/>
        </w:numPr>
        <w:tabs>
          <w:tab w:val="left" w:pos="714"/>
          <w:tab w:val="left" w:pos="850"/>
        </w:tabs>
        <w:kinsoku/>
        <w:wordWrap/>
        <w:overflowPunct/>
        <w:topLinePunct w:val="0"/>
        <w:autoSpaceDE/>
        <w:autoSpaceDN/>
        <w:bidi w:val="0"/>
        <w:adjustRightInd w:val="0"/>
        <w:snapToGrid w:val="0"/>
        <w:spacing w:line="400" w:lineRule="exact"/>
        <w:ind w:firstLine="480" w:firstLineChars="200"/>
        <w:jc w:val="left"/>
        <w:textAlignment w:val="auto"/>
        <w:outlineLvl w:val="1"/>
        <w:rPr>
          <w:rFonts w:hint="eastAsia" w:ascii="宋体" w:hAnsi="宋体" w:eastAsia="宋体" w:cs="宋体"/>
          <w:b w:val="0"/>
          <w:bCs/>
          <w:color w:val="auto"/>
          <w:kern w:val="2"/>
          <w:sz w:val="24"/>
          <w:szCs w:val="24"/>
          <w:highlight w:val="none"/>
          <w:lang w:val="en-US" w:eastAsia="zh-CN" w:bidi="ar-SA"/>
        </w:rPr>
      </w:pPr>
      <w:r>
        <w:rPr>
          <w:rFonts w:hint="eastAsia" w:ascii="宋体" w:hAnsi="宋体" w:cs="宋体"/>
          <w:bCs/>
          <w:color w:val="auto"/>
          <w:sz w:val="24"/>
          <w:szCs w:val="24"/>
          <w:highlight w:val="none"/>
          <w:lang w:val="en-US" w:eastAsia="zh-CN"/>
        </w:rPr>
        <w:t>2.重要非全资资企业情况</w:t>
      </w:r>
    </w:p>
    <w:p>
      <w:pPr>
        <w:pStyle w:val="15"/>
        <w:keepNext w:val="0"/>
        <w:keepLines w:val="0"/>
        <w:pageBreakBefore w:val="0"/>
        <w:kinsoku/>
        <w:wordWrap/>
        <w:overflowPunct/>
        <w:topLinePunct w:val="0"/>
        <w:autoSpaceDE/>
        <w:autoSpaceDN/>
        <w:bidi w:val="0"/>
        <w:snapToGrid w:val="0"/>
        <w:spacing w:line="400" w:lineRule="exact"/>
        <w:jc w:val="right"/>
        <w:textAlignment w:val="auto"/>
        <w:rPr>
          <w:rFonts w:hint="default"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单位：</w:t>
      </w:r>
      <w:r>
        <w:rPr>
          <w:rFonts w:hint="eastAsia" w:ascii="宋体" w:hAnsi="宋体" w:cs="宋体"/>
          <w:b w:val="0"/>
          <w:bCs/>
          <w:color w:val="auto"/>
          <w:kern w:val="2"/>
          <w:sz w:val="24"/>
          <w:szCs w:val="24"/>
          <w:highlight w:val="none"/>
          <w:lang w:val="en-US" w:eastAsia="zh-CN" w:bidi="ar-SA"/>
        </w:rPr>
        <w:t>万</w:t>
      </w:r>
      <w:r>
        <w:rPr>
          <w:rFonts w:hint="eastAsia" w:ascii="宋体" w:hAnsi="宋体" w:eastAsia="宋体" w:cs="宋体"/>
          <w:b w:val="0"/>
          <w:bCs/>
          <w:color w:val="auto"/>
          <w:kern w:val="2"/>
          <w:sz w:val="24"/>
          <w:szCs w:val="24"/>
          <w:highlight w:val="none"/>
          <w:lang w:val="en-US" w:eastAsia="zh-CN" w:bidi="ar-SA"/>
        </w:rPr>
        <w:t>元</w:t>
      </w:r>
    </w:p>
    <w:tbl>
      <w:tblPr>
        <w:tblStyle w:val="22"/>
        <w:tblW w:w="87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2374"/>
        <w:gridCol w:w="1109"/>
        <w:gridCol w:w="1843"/>
        <w:gridCol w:w="960"/>
        <w:gridCol w:w="1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tblHeader/>
        </w:trPr>
        <w:tc>
          <w:tcPr>
            <w:tcW w:w="503" w:type="dxa"/>
            <w:noWrap w:val="0"/>
            <w:vAlign w:val="center"/>
          </w:tcPr>
          <w:p>
            <w:pPr>
              <w:widowControl/>
              <w:snapToGrid w:val="0"/>
              <w:spacing w:line="240" w:lineRule="auto"/>
              <w:jc w:val="center"/>
              <w:rPr>
                <w:rFonts w:hint="eastAsia" w:ascii="宋体" w:hAnsi="宋体" w:cs="宋体"/>
                <w:color w:val="auto"/>
                <w:sz w:val="20"/>
                <w:szCs w:val="22"/>
                <w:highlight w:val="none"/>
              </w:rPr>
            </w:pPr>
            <w:r>
              <w:rPr>
                <w:rFonts w:hint="eastAsia" w:ascii="宋体" w:hAnsi="宋体" w:cs="宋体"/>
                <w:color w:val="auto"/>
                <w:sz w:val="20"/>
                <w:szCs w:val="22"/>
                <w:highlight w:val="none"/>
              </w:rPr>
              <w:t>序号</w:t>
            </w:r>
          </w:p>
        </w:tc>
        <w:tc>
          <w:tcPr>
            <w:tcW w:w="2374" w:type="dxa"/>
            <w:noWrap w:val="0"/>
            <w:vAlign w:val="center"/>
          </w:tcPr>
          <w:p>
            <w:pPr>
              <w:widowControl/>
              <w:snapToGrid w:val="0"/>
              <w:spacing w:line="240" w:lineRule="auto"/>
              <w:jc w:val="center"/>
              <w:rPr>
                <w:rFonts w:hint="eastAsia" w:ascii="宋体" w:hAnsi="宋体" w:cs="宋体"/>
                <w:color w:val="auto"/>
                <w:sz w:val="20"/>
                <w:szCs w:val="22"/>
                <w:highlight w:val="none"/>
              </w:rPr>
            </w:pPr>
            <w:r>
              <w:rPr>
                <w:rFonts w:hint="eastAsia" w:ascii="宋体" w:hAnsi="宋体" w:cs="宋体"/>
                <w:color w:val="auto"/>
                <w:sz w:val="20"/>
                <w:szCs w:val="22"/>
                <w:highlight w:val="none"/>
              </w:rPr>
              <w:t>企业名称</w:t>
            </w:r>
          </w:p>
        </w:tc>
        <w:tc>
          <w:tcPr>
            <w:tcW w:w="1109" w:type="dxa"/>
            <w:noWrap w:val="0"/>
            <w:vAlign w:val="center"/>
          </w:tcPr>
          <w:p>
            <w:pPr>
              <w:widowControl/>
              <w:snapToGrid w:val="0"/>
              <w:spacing w:line="240" w:lineRule="auto"/>
              <w:jc w:val="center"/>
              <w:rPr>
                <w:rFonts w:hint="eastAsia" w:ascii="宋体" w:hAnsi="宋体" w:cs="宋体"/>
                <w:color w:val="auto"/>
                <w:sz w:val="20"/>
                <w:szCs w:val="22"/>
                <w:highlight w:val="none"/>
              </w:rPr>
            </w:pPr>
            <w:r>
              <w:rPr>
                <w:rFonts w:hint="eastAsia" w:ascii="宋体" w:hAnsi="宋体" w:cs="宋体"/>
                <w:color w:val="auto"/>
                <w:sz w:val="20"/>
                <w:szCs w:val="22"/>
                <w:highlight w:val="none"/>
              </w:rPr>
              <w:t>少数股东持股比例（%）</w:t>
            </w:r>
          </w:p>
        </w:tc>
        <w:tc>
          <w:tcPr>
            <w:tcW w:w="1843" w:type="dxa"/>
            <w:noWrap w:val="0"/>
            <w:vAlign w:val="center"/>
          </w:tcPr>
          <w:p>
            <w:pPr>
              <w:widowControl/>
              <w:snapToGrid w:val="0"/>
              <w:spacing w:line="240" w:lineRule="auto"/>
              <w:jc w:val="center"/>
              <w:rPr>
                <w:rFonts w:hint="eastAsia" w:ascii="宋体" w:hAnsi="宋体" w:cs="宋体"/>
                <w:color w:val="auto"/>
                <w:sz w:val="20"/>
                <w:szCs w:val="22"/>
                <w:highlight w:val="none"/>
              </w:rPr>
            </w:pPr>
            <w:r>
              <w:rPr>
                <w:rFonts w:hint="eastAsia" w:ascii="宋体" w:hAnsi="宋体" w:cs="宋体"/>
                <w:color w:val="auto"/>
                <w:sz w:val="20"/>
                <w:szCs w:val="22"/>
                <w:highlight w:val="none"/>
              </w:rPr>
              <w:t>当期归属于少数股东的损益</w:t>
            </w:r>
          </w:p>
        </w:tc>
        <w:tc>
          <w:tcPr>
            <w:tcW w:w="960" w:type="dxa"/>
            <w:noWrap w:val="0"/>
            <w:vAlign w:val="center"/>
          </w:tcPr>
          <w:p>
            <w:pPr>
              <w:widowControl/>
              <w:snapToGrid w:val="0"/>
              <w:spacing w:line="240" w:lineRule="auto"/>
              <w:jc w:val="center"/>
              <w:rPr>
                <w:rFonts w:hint="eastAsia" w:ascii="宋体" w:hAnsi="宋体" w:cs="宋体"/>
                <w:color w:val="auto"/>
                <w:sz w:val="20"/>
                <w:szCs w:val="22"/>
                <w:highlight w:val="none"/>
              </w:rPr>
            </w:pPr>
            <w:r>
              <w:rPr>
                <w:rFonts w:hint="eastAsia" w:ascii="宋体" w:hAnsi="宋体" w:cs="宋体"/>
                <w:color w:val="auto"/>
                <w:sz w:val="20"/>
                <w:szCs w:val="22"/>
                <w:highlight w:val="none"/>
              </w:rPr>
              <w:t>当期向少数股东支付的股利</w:t>
            </w:r>
          </w:p>
        </w:tc>
        <w:tc>
          <w:tcPr>
            <w:tcW w:w="1920" w:type="dxa"/>
            <w:noWrap w:val="0"/>
            <w:vAlign w:val="center"/>
          </w:tcPr>
          <w:p>
            <w:pPr>
              <w:widowControl/>
              <w:snapToGrid w:val="0"/>
              <w:spacing w:line="240" w:lineRule="auto"/>
              <w:jc w:val="center"/>
              <w:rPr>
                <w:rFonts w:hint="eastAsia" w:ascii="宋体" w:hAnsi="宋体" w:cs="宋体"/>
                <w:color w:val="auto"/>
                <w:sz w:val="20"/>
                <w:szCs w:val="22"/>
                <w:highlight w:val="none"/>
              </w:rPr>
            </w:pPr>
            <w:r>
              <w:rPr>
                <w:rFonts w:hint="eastAsia" w:ascii="宋体" w:hAnsi="宋体" w:cs="宋体"/>
                <w:color w:val="auto"/>
                <w:sz w:val="20"/>
                <w:szCs w:val="22"/>
                <w:highlight w:val="none"/>
              </w:rPr>
              <w:t>期末累计少数股东权益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trPr>
        <w:tc>
          <w:tcPr>
            <w:tcW w:w="503" w:type="dxa"/>
            <w:noWrap w:val="0"/>
            <w:vAlign w:val="center"/>
          </w:tcPr>
          <w:p>
            <w:pPr>
              <w:widowControl/>
              <w:snapToGrid w:val="0"/>
              <w:spacing w:line="400" w:lineRule="atLeast"/>
              <w:jc w:val="center"/>
              <w:rPr>
                <w:rFonts w:hint="eastAsia" w:ascii="宋体" w:hAnsi="宋体" w:cs="宋体"/>
                <w:color w:val="auto"/>
                <w:highlight w:val="none"/>
              </w:rPr>
            </w:pPr>
            <w:r>
              <w:rPr>
                <w:rFonts w:hint="eastAsia" w:ascii="宋体" w:hAnsi="宋体" w:cs="宋体"/>
                <w:color w:val="auto"/>
                <w:highlight w:val="none"/>
              </w:rPr>
              <w:t>1</w:t>
            </w:r>
          </w:p>
        </w:tc>
        <w:tc>
          <w:tcPr>
            <w:tcW w:w="2374" w:type="dxa"/>
            <w:noWrap w:val="0"/>
            <w:vAlign w:val="center"/>
          </w:tcPr>
          <w:p>
            <w:pPr>
              <w:widowControl/>
              <w:snapToGrid w:val="0"/>
              <w:spacing w:line="400" w:lineRule="atLeast"/>
              <w:jc w:val="left"/>
              <w:rPr>
                <w:rFonts w:hint="eastAsia" w:ascii="宋体" w:hAnsi="宋体" w:cs="宋体"/>
                <w:color w:val="auto"/>
                <w:highlight w:val="none"/>
              </w:rPr>
            </w:pPr>
            <w:r>
              <w:rPr>
                <w:rFonts w:hint="eastAsia" w:ascii="宋体" w:hAnsi="宋体" w:cs="宋体"/>
                <w:color w:val="auto"/>
                <w:highlight w:val="none"/>
              </w:rPr>
              <w:t>国家电投集团贵州金元威宁能源股份有限公司</w:t>
            </w:r>
          </w:p>
        </w:tc>
        <w:tc>
          <w:tcPr>
            <w:tcW w:w="1109" w:type="dxa"/>
            <w:noWrap w:val="0"/>
            <w:vAlign w:val="center"/>
          </w:tcPr>
          <w:p>
            <w:pPr>
              <w:snapToGrid w:val="0"/>
              <w:spacing w:line="200" w:lineRule="atLeast"/>
              <w:jc w:val="right"/>
              <w:rPr>
                <w:rFonts w:hint="default" w:ascii="宋体" w:hAnsi="宋体" w:cs="宋体"/>
                <w:color w:val="auto"/>
                <w:highlight w:val="none"/>
                <w:lang w:val="en-US" w:eastAsia="zh-CN"/>
              </w:rPr>
            </w:pPr>
            <w:r>
              <w:rPr>
                <w:rFonts w:ascii="Times New Roman" w:hAnsi="Times New Roman" w:eastAsia="宋体" w:cs="Times New Roman"/>
                <w:color w:val="auto"/>
                <w:sz w:val="16"/>
                <w:szCs w:val="16"/>
                <w:highlight w:val="none"/>
              </w:rPr>
              <w:t>64.39</w:t>
            </w:r>
          </w:p>
        </w:tc>
        <w:tc>
          <w:tcPr>
            <w:tcW w:w="1843" w:type="dxa"/>
            <w:noWrap w:val="0"/>
            <w:vAlign w:val="center"/>
          </w:tcPr>
          <w:p>
            <w:pPr>
              <w:snapToGrid w:val="0"/>
              <w:spacing w:line="200" w:lineRule="atLeast"/>
              <w:jc w:val="right"/>
              <w:rPr>
                <w:rFonts w:hint="default" w:ascii="宋体" w:hAnsi="宋体" w:cs="宋体"/>
                <w:color w:val="auto"/>
                <w:highlight w:val="none"/>
                <w:lang w:val="en-US" w:eastAsia="zh-CN"/>
              </w:rPr>
            </w:pPr>
            <w:r>
              <w:rPr>
                <w:rFonts w:ascii="Times New Roman" w:hAnsi="Times New Roman" w:eastAsia="宋体" w:cs="Times New Roman"/>
                <w:color w:val="auto"/>
                <w:sz w:val="16"/>
                <w:szCs w:val="16"/>
                <w:highlight w:val="none"/>
              </w:rPr>
              <w:t>16,190.52</w:t>
            </w:r>
          </w:p>
        </w:tc>
        <w:tc>
          <w:tcPr>
            <w:tcW w:w="960" w:type="dxa"/>
            <w:noWrap w:val="0"/>
            <w:vAlign w:val="center"/>
          </w:tcPr>
          <w:p>
            <w:pPr>
              <w:snapToGrid w:val="0"/>
              <w:spacing w:line="200" w:lineRule="atLeast"/>
              <w:jc w:val="right"/>
              <w:rPr>
                <w:rFonts w:hint="eastAsia" w:ascii="宋体" w:hAnsi="宋体" w:cs="宋体"/>
                <w:color w:val="auto"/>
                <w:highlight w:val="none"/>
                <w:lang w:val="en-US" w:eastAsia="zh-CN"/>
              </w:rPr>
            </w:pPr>
            <w:r>
              <w:rPr>
                <w:rFonts w:ascii="Times New Roman" w:hAnsi="Times New Roman" w:eastAsia="宋体" w:cs="Times New Roman"/>
                <w:color w:val="auto"/>
                <w:sz w:val="16"/>
                <w:szCs w:val="16"/>
                <w:highlight w:val="none"/>
              </w:rPr>
              <w:t>8,104.15</w:t>
            </w:r>
          </w:p>
        </w:tc>
        <w:tc>
          <w:tcPr>
            <w:tcW w:w="1920" w:type="dxa"/>
            <w:noWrap w:val="0"/>
            <w:vAlign w:val="center"/>
          </w:tcPr>
          <w:p>
            <w:pPr>
              <w:snapToGrid w:val="0"/>
              <w:spacing w:line="200" w:lineRule="atLeast"/>
              <w:jc w:val="right"/>
              <w:rPr>
                <w:rFonts w:hint="default" w:ascii="宋体" w:hAnsi="宋体" w:cs="宋体"/>
                <w:color w:val="auto"/>
                <w:highlight w:val="none"/>
                <w:lang w:val="en-US" w:eastAsia="zh-CN"/>
              </w:rPr>
            </w:pPr>
            <w:r>
              <w:rPr>
                <w:rFonts w:ascii="Times New Roman" w:hAnsi="Times New Roman" w:eastAsia="宋体" w:cs="Times New Roman"/>
                <w:color w:val="auto"/>
                <w:sz w:val="16"/>
                <w:szCs w:val="16"/>
                <w:highlight w:val="none"/>
              </w:rPr>
              <w:t>384,280.89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503" w:type="dxa"/>
            <w:noWrap w:val="0"/>
            <w:vAlign w:val="center"/>
          </w:tcPr>
          <w:p>
            <w:pPr>
              <w:widowControl/>
              <w:snapToGrid w:val="0"/>
              <w:spacing w:line="400" w:lineRule="atLeast"/>
              <w:jc w:val="center"/>
              <w:rPr>
                <w:rFonts w:hint="eastAsia" w:ascii="宋体" w:hAnsi="宋体" w:cs="宋体"/>
                <w:color w:val="auto"/>
                <w:highlight w:val="none"/>
              </w:rPr>
            </w:pPr>
            <w:r>
              <w:rPr>
                <w:rFonts w:hint="eastAsia" w:ascii="宋体" w:hAnsi="宋体" w:cs="宋体"/>
                <w:color w:val="auto"/>
                <w:highlight w:val="none"/>
              </w:rPr>
              <w:t>2</w:t>
            </w:r>
          </w:p>
        </w:tc>
        <w:tc>
          <w:tcPr>
            <w:tcW w:w="2374" w:type="dxa"/>
            <w:noWrap w:val="0"/>
            <w:vAlign w:val="center"/>
          </w:tcPr>
          <w:p>
            <w:pPr>
              <w:widowControl/>
              <w:snapToGrid w:val="0"/>
              <w:spacing w:line="400" w:lineRule="atLeast"/>
              <w:jc w:val="left"/>
              <w:rPr>
                <w:rFonts w:hint="eastAsia" w:ascii="宋体" w:hAnsi="宋体" w:cs="宋体"/>
                <w:color w:val="auto"/>
                <w:highlight w:val="none"/>
              </w:rPr>
            </w:pPr>
            <w:r>
              <w:rPr>
                <w:rFonts w:hint="eastAsia" w:ascii="宋体" w:hAnsi="宋体" w:cs="宋体"/>
                <w:color w:val="auto"/>
                <w:highlight w:val="none"/>
              </w:rPr>
              <w:t>贵州西电电力股份有限公司</w:t>
            </w:r>
          </w:p>
        </w:tc>
        <w:tc>
          <w:tcPr>
            <w:tcW w:w="1109" w:type="dxa"/>
            <w:noWrap w:val="0"/>
            <w:vAlign w:val="center"/>
          </w:tcPr>
          <w:p>
            <w:pPr>
              <w:snapToGrid w:val="0"/>
              <w:spacing w:line="200" w:lineRule="atLeast"/>
              <w:jc w:val="right"/>
              <w:rPr>
                <w:rFonts w:hint="default" w:ascii="宋体" w:hAnsi="宋体" w:cs="宋体"/>
                <w:color w:val="auto"/>
                <w:highlight w:val="none"/>
                <w:lang w:val="en-US" w:eastAsia="zh-CN"/>
              </w:rPr>
            </w:pPr>
            <w:r>
              <w:rPr>
                <w:rFonts w:ascii="Times New Roman" w:hAnsi="Times New Roman" w:eastAsia="宋体" w:cs="Times New Roman"/>
                <w:color w:val="auto"/>
                <w:sz w:val="16"/>
                <w:szCs w:val="16"/>
                <w:highlight w:val="none"/>
              </w:rPr>
              <w:t>32.44</w:t>
            </w:r>
          </w:p>
        </w:tc>
        <w:tc>
          <w:tcPr>
            <w:tcW w:w="1843" w:type="dxa"/>
            <w:noWrap w:val="0"/>
            <w:vAlign w:val="center"/>
          </w:tcPr>
          <w:p>
            <w:pPr>
              <w:snapToGrid w:val="0"/>
              <w:spacing w:line="200" w:lineRule="atLeast"/>
              <w:jc w:val="right"/>
              <w:rPr>
                <w:rFonts w:hint="default" w:ascii="宋体" w:hAnsi="宋体" w:cs="宋体"/>
                <w:color w:val="auto"/>
                <w:highlight w:val="none"/>
                <w:lang w:val="en-US" w:eastAsia="zh-CN"/>
              </w:rPr>
            </w:pPr>
            <w:r>
              <w:rPr>
                <w:rFonts w:ascii="Times New Roman" w:hAnsi="Times New Roman" w:eastAsia="宋体" w:cs="Times New Roman"/>
                <w:color w:val="auto"/>
                <w:sz w:val="16"/>
                <w:szCs w:val="16"/>
                <w:highlight w:val="none"/>
              </w:rPr>
              <w:t>3,650.89</w:t>
            </w:r>
          </w:p>
        </w:tc>
        <w:tc>
          <w:tcPr>
            <w:tcW w:w="960" w:type="dxa"/>
            <w:noWrap w:val="0"/>
            <w:vAlign w:val="center"/>
          </w:tcPr>
          <w:p>
            <w:pPr>
              <w:snapToGrid w:val="0"/>
              <w:spacing w:line="200" w:lineRule="atLeast"/>
              <w:jc w:val="right"/>
              <w:rPr>
                <w:rFonts w:hint="eastAsia" w:ascii="宋体" w:hAnsi="宋体" w:cs="宋体"/>
                <w:color w:val="auto"/>
                <w:highlight w:val="none"/>
                <w:lang w:val="en-US" w:eastAsia="zh-CN"/>
              </w:rPr>
            </w:pPr>
            <w:r>
              <w:rPr>
                <w:rFonts w:ascii="Times New Roman" w:hAnsi="Times New Roman" w:eastAsia="宋体" w:cs="Times New Roman"/>
                <w:color w:val="auto"/>
                <w:sz w:val="16"/>
                <w:szCs w:val="16"/>
                <w:highlight w:val="none"/>
              </w:rPr>
              <w:t>-</w:t>
            </w:r>
          </w:p>
        </w:tc>
        <w:tc>
          <w:tcPr>
            <w:tcW w:w="1920" w:type="dxa"/>
            <w:noWrap w:val="0"/>
            <w:vAlign w:val="center"/>
          </w:tcPr>
          <w:p>
            <w:pPr>
              <w:snapToGrid w:val="0"/>
              <w:spacing w:line="200" w:lineRule="atLeast"/>
              <w:jc w:val="right"/>
              <w:rPr>
                <w:rFonts w:hint="default" w:ascii="宋体" w:hAnsi="宋体" w:cs="宋体"/>
                <w:color w:val="auto"/>
                <w:highlight w:val="none"/>
                <w:lang w:val="en-US" w:eastAsia="zh-CN"/>
              </w:rPr>
            </w:pPr>
            <w:r>
              <w:rPr>
                <w:rFonts w:ascii="Times New Roman" w:hAnsi="Times New Roman" w:eastAsia="宋体" w:cs="Times New Roman"/>
                <w:color w:val="auto"/>
                <w:sz w:val="16"/>
                <w:szCs w:val="16"/>
                <w:highlight w:val="none"/>
              </w:rPr>
              <w:t>148,422.76</w:t>
            </w:r>
          </w:p>
        </w:tc>
      </w:tr>
    </w:tbl>
    <w:p>
      <w:pPr>
        <w:keepNext w:val="0"/>
        <w:keepLines w:val="0"/>
        <w:pageBreakBefore w:val="0"/>
        <w:widowControl w:val="0"/>
        <w:numPr>
          <w:ilvl w:val="1"/>
          <w:numId w:val="0"/>
        </w:numPr>
        <w:shd w:val="clear"/>
        <w:tabs>
          <w:tab w:val="left" w:pos="714"/>
          <w:tab w:val="left" w:pos="850"/>
        </w:tabs>
        <w:kinsoku/>
        <w:wordWrap/>
        <w:overflowPunct/>
        <w:topLinePunct w:val="0"/>
        <w:autoSpaceDE/>
        <w:autoSpaceDN/>
        <w:bidi w:val="0"/>
        <w:adjustRightInd w:val="0"/>
        <w:snapToGrid w:val="0"/>
        <w:spacing w:line="400" w:lineRule="exact"/>
        <w:ind w:firstLine="480" w:firstLineChars="200"/>
        <w:jc w:val="left"/>
        <w:textAlignment w:val="auto"/>
        <w:outlineLvl w:val="1"/>
        <w:rPr>
          <w:rFonts w:hint="eastAsia"/>
          <w:color w:val="auto"/>
          <w:highlight w:val="none"/>
        </w:rPr>
      </w:pPr>
      <w:r>
        <w:rPr>
          <w:rFonts w:hint="eastAsia" w:ascii="宋体" w:hAnsi="宋体" w:cs="宋体"/>
          <w:bCs/>
          <w:color w:val="auto"/>
          <w:sz w:val="24"/>
          <w:szCs w:val="24"/>
          <w:highlight w:val="none"/>
        </w:rPr>
        <w:t>3.理财产品投资情况</w:t>
      </w:r>
    </w:p>
    <w:p>
      <w:pPr>
        <w:pStyle w:val="19"/>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400" w:lineRule="exact"/>
        <w:ind w:firstLine="420"/>
        <w:jc w:val="left"/>
        <w:textAlignment w:val="auto"/>
        <w:rPr>
          <w:rFonts w:hint="eastAsia"/>
          <w:color w:val="auto"/>
          <w:kern w:val="2"/>
          <w:highlight w:val="none"/>
        </w:rPr>
      </w:pPr>
      <w:r>
        <w:rPr>
          <w:rFonts w:hint="eastAsia"/>
          <w:color w:val="auto"/>
          <w:kern w:val="2"/>
          <w:highlight w:val="none"/>
          <w:lang w:eastAsia="zh-CN"/>
        </w:rPr>
        <w:t>□</w:t>
      </w:r>
      <w:r>
        <w:rPr>
          <w:rFonts w:hint="eastAsia"/>
          <w:color w:val="auto"/>
          <w:kern w:val="2"/>
          <w:highlight w:val="none"/>
        </w:rPr>
        <w:t>适用 √不适用</w:t>
      </w:r>
    </w:p>
    <w:p>
      <w:pPr>
        <w:keepNext w:val="0"/>
        <w:keepLines w:val="0"/>
        <w:pageBreakBefore w:val="0"/>
        <w:numPr>
          <w:ilvl w:val="1"/>
          <w:numId w:val="0"/>
        </w:numPr>
        <w:shd w:val="clear"/>
        <w:tabs>
          <w:tab w:val="left" w:pos="714"/>
          <w:tab w:val="left" w:pos="850"/>
        </w:tabs>
        <w:kinsoku/>
        <w:wordWrap/>
        <w:overflowPunct/>
        <w:topLinePunct w:val="0"/>
        <w:autoSpaceDE/>
        <w:autoSpaceDN/>
        <w:bidi w:val="0"/>
        <w:adjustRightInd w:val="0"/>
        <w:snapToGrid w:val="0"/>
        <w:spacing w:line="400" w:lineRule="exact"/>
        <w:ind w:firstLine="480" w:firstLineChars="200"/>
        <w:jc w:val="left"/>
        <w:textAlignment w:val="auto"/>
        <w:outlineLvl w:val="1"/>
        <w:rPr>
          <w:rFonts w:hint="eastAsia" w:ascii="宋体" w:hAnsi="宋体" w:cs="宋体"/>
          <w:bCs/>
          <w:color w:val="auto"/>
          <w:sz w:val="24"/>
          <w:szCs w:val="24"/>
          <w:highlight w:val="none"/>
        </w:rPr>
      </w:pPr>
      <w:r>
        <w:rPr>
          <w:rFonts w:hint="eastAsia" w:ascii="宋体" w:hAnsi="宋体" w:cs="宋体"/>
          <w:bCs/>
          <w:color w:val="auto"/>
          <w:sz w:val="24"/>
          <w:szCs w:val="24"/>
          <w:highlight w:val="none"/>
        </w:rPr>
        <w:t>4.与私募基金管理人共同投资合作或合并范围内包含私募基金管理人的情况</w:t>
      </w:r>
    </w:p>
    <w:p>
      <w:pPr>
        <w:pStyle w:val="19"/>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400" w:lineRule="exact"/>
        <w:ind w:firstLine="420"/>
        <w:jc w:val="left"/>
        <w:textAlignment w:val="auto"/>
        <w:rPr>
          <w:rFonts w:hint="eastAsia"/>
          <w:color w:val="auto"/>
          <w:kern w:val="2"/>
          <w:highlight w:val="none"/>
        </w:rPr>
      </w:pPr>
      <w:r>
        <w:rPr>
          <w:rFonts w:hint="eastAsia"/>
          <w:color w:val="auto"/>
          <w:kern w:val="2"/>
          <w:highlight w:val="none"/>
        </w:rPr>
        <w:t>□适用 √不适用</w:t>
      </w:r>
    </w:p>
    <w:p>
      <w:pPr>
        <w:keepNext w:val="0"/>
        <w:keepLines w:val="0"/>
        <w:pageBreakBefore w:val="0"/>
        <w:kinsoku/>
        <w:wordWrap/>
        <w:overflowPunct/>
        <w:topLinePunct w:val="0"/>
        <w:autoSpaceDE/>
        <w:autoSpaceDN/>
        <w:bidi w:val="0"/>
        <w:spacing w:line="400" w:lineRule="exact"/>
        <w:ind w:firstLine="482" w:firstLineChars="200"/>
        <w:jc w:val="left"/>
        <w:textAlignment w:val="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三、持续经营评价</w:t>
      </w:r>
    </w:p>
    <w:p>
      <w:pPr>
        <w:keepNext w:val="0"/>
        <w:keepLines w:val="0"/>
        <w:pageBreakBefore w:val="0"/>
        <w:kinsoku/>
        <w:wordWrap/>
        <w:overflowPunct/>
        <w:topLinePunct w:val="0"/>
        <w:autoSpaceDE/>
        <w:autoSpaceDN/>
        <w:bidi w:val="0"/>
        <w:spacing w:line="400" w:lineRule="exact"/>
        <w:ind w:firstLine="480" w:firstLineChars="200"/>
        <w:jc w:val="left"/>
        <w:textAlignment w:val="auto"/>
        <w:rPr>
          <w:rFonts w:hint="eastAsia" w:ascii="宋体" w:hAnsi="宋体" w:cs="宋体"/>
          <w:b/>
          <w:bCs/>
          <w:color w:val="auto"/>
          <w:sz w:val="24"/>
          <w:szCs w:val="24"/>
          <w:highlight w:val="none"/>
        </w:rPr>
      </w:pPr>
      <w:r>
        <w:rPr>
          <w:rFonts w:hint="eastAsia" w:ascii="宋体" w:hAnsi="宋体" w:cs="宋体"/>
          <w:color w:val="auto"/>
          <w:sz w:val="24"/>
          <w:szCs w:val="24"/>
          <w:highlight w:val="none"/>
        </w:rPr>
        <w:t>本年度内公司持续优化管理体系的建设及运行。公司资产、人员、机构等完全独立，员工队伍稳定，商业模式、产品及服务未发生重大变化，各项财务指标健康、良好、经营稳健，为公司的持续经营发展奠定了良好的基础。报告期内未发生对公司持续生产经营产生重大不利影响的事项。</w:t>
      </w:r>
      <w:r>
        <w:rPr>
          <w:rFonts w:hint="eastAsia" w:ascii="宋体" w:hAnsi="宋体" w:cs="宋体"/>
          <w:b/>
          <w:bCs/>
          <w:color w:val="auto"/>
          <w:sz w:val="24"/>
          <w:szCs w:val="24"/>
          <w:highlight w:val="none"/>
        </w:rPr>
        <w:br w:type="page"/>
      </w:r>
    </w:p>
    <w:bookmarkEnd w:id="33"/>
    <w:p>
      <w:pPr>
        <w:spacing w:line="360" w:lineRule="auto"/>
        <w:jc w:val="center"/>
        <w:outlineLvl w:val="0"/>
        <w:rPr>
          <w:rFonts w:hint="eastAsia" w:ascii="黑体" w:hAnsi="黑体" w:eastAsia="黑体" w:cs="黑体"/>
          <w:b/>
          <w:bCs/>
          <w:color w:val="auto"/>
          <w:sz w:val="28"/>
          <w:szCs w:val="28"/>
          <w:highlight w:val="none"/>
          <w:lang w:eastAsia="zh-CN"/>
        </w:rPr>
      </w:pPr>
      <w:bookmarkStart w:id="35" w:name="_Toc22511"/>
      <w:bookmarkStart w:id="36" w:name="_Toc25739"/>
      <w:bookmarkStart w:id="37" w:name="_Toc3912"/>
      <w:bookmarkStart w:id="38" w:name="_Toc3758"/>
      <w:bookmarkStart w:id="39" w:name="_Toc13665"/>
      <w:bookmarkStart w:id="40" w:name="_Toc129711707"/>
      <w:r>
        <w:rPr>
          <w:rFonts w:hint="eastAsia" w:ascii="黑体" w:hAnsi="黑体" w:eastAsia="黑体" w:cs="黑体"/>
          <w:b/>
          <w:bCs/>
          <w:color w:val="auto"/>
          <w:sz w:val="28"/>
          <w:szCs w:val="28"/>
          <w:highlight w:val="none"/>
        </w:rPr>
        <w:t>第四节 董事、监事、高级管理人员情况</w:t>
      </w:r>
      <w:bookmarkEnd w:id="35"/>
      <w:bookmarkEnd w:id="36"/>
      <w:bookmarkEnd w:id="37"/>
      <w:bookmarkEnd w:id="38"/>
      <w:bookmarkEnd w:id="39"/>
    </w:p>
    <w:p>
      <w:pPr>
        <w:spacing w:line="360" w:lineRule="auto"/>
        <w:ind w:firstLine="482" w:firstLineChars="200"/>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一、董事、监事、高级管理人员情况</w:t>
      </w:r>
    </w:p>
    <w:p>
      <w:pPr>
        <w:spacing w:line="360" w:lineRule="auto"/>
        <w:ind w:firstLine="482" w:firstLineChars="200"/>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(一) 基本情况</w:t>
      </w:r>
    </w:p>
    <w:tbl>
      <w:tblPr>
        <w:tblStyle w:val="22"/>
        <w:tblW w:w="8529"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73"/>
        <w:gridCol w:w="1427"/>
        <w:gridCol w:w="575"/>
        <w:gridCol w:w="877"/>
        <w:gridCol w:w="1383"/>
        <w:gridCol w:w="1617"/>
        <w:gridCol w:w="167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8" w:hRule="atLeast"/>
        </w:trPr>
        <w:tc>
          <w:tcPr>
            <w:tcW w:w="973" w:type="dxa"/>
            <w:vMerge w:val="restart"/>
            <w:noWrap w:val="0"/>
            <w:vAlign w:val="center"/>
          </w:tcPr>
          <w:p>
            <w:pPr>
              <w:pStyle w:val="39"/>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1427" w:type="dxa"/>
            <w:vMerge w:val="restart"/>
            <w:noWrap w:val="0"/>
            <w:vAlign w:val="center"/>
          </w:tcPr>
          <w:p>
            <w:pPr>
              <w:pStyle w:val="39"/>
              <w:jc w:val="center"/>
              <w:rPr>
                <w:rFonts w:hint="eastAsia" w:ascii="宋体" w:hAnsi="宋体" w:cs="宋体"/>
                <w:color w:val="auto"/>
                <w:szCs w:val="21"/>
                <w:highlight w:val="none"/>
              </w:rPr>
            </w:pPr>
            <w:r>
              <w:rPr>
                <w:rFonts w:hint="eastAsia" w:ascii="宋体" w:hAnsi="宋体" w:cs="宋体"/>
                <w:color w:val="auto"/>
                <w:szCs w:val="21"/>
                <w:highlight w:val="none"/>
              </w:rPr>
              <w:t>职务</w:t>
            </w:r>
          </w:p>
        </w:tc>
        <w:tc>
          <w:tcPr>
            <w:tcW w:w="575" w:type="dxa"/>
            <w:vMerge w:val="restart"/>
            <w:noWrap w:val="0"/>
            <w:vAlign w:val="center"/>
          </w:tcPr>
          <w:p>
            <w:pPr>
              <w:pStyle w:val="39"/>
              <w:jc w:val="center"/>
              <w:rPr>
                <w:rFonts w:hint="eastAsia" w:ascii="宋体" w:hAnsi="宋体" w:cs="宋体"/>
                <w:color w:val="auto"/>
                <w:szCs w:val="21"/>
                <w:highlight w:val="none"/>
              </w:rPr>
            </w:pPr>
            <w:r>
              <w:rPr>
                <w:rFonts w:hint="eastAsia" w:ascii="宋体" w:hAnsi="宋体" w:cs="宋体"/>
                <w:color w:val="auto"/>
                <w:szCs w:val="21"/>
                <w:highlight w:val="none"/>
              </w:rPr>
              <w:t>性别</w:t>
            </w:r>
          </w:p>
        </w:tc>
        <w:tc>
          <w:tcPr>
            <w:tcW w:w="877" w:type="dxa"/>
            <w:vMerge w:val="restart"/>
            <w:noWrap w:val="0"/>
            <w:vAlign w:val="center"/>
          </w:tcPr>
          <w:p>
            <w:pPr>
              <w:pStyle w:val="39"/>
              <w:jc w:val="center"/>
              <w:rPr>
                <w:rFonts w:hint="eastAsia" w:ascii="宋体" w:hAnsi="宋体" w:cs="宋体"/>
                <w:color w:val="auto"/>
                <w:szCs w:val="21"/>
                <w:highlight w:val="none"/>
              </w:rPr>
            </w:pPr>
            <w:r>
              <w:rPr>
                <w:rFonts w:hint="eastAsia" w:ascii="宋体" w:hAnsi="宋体" w:cs="宋体"/>
                <w:color w:val="auto"/>
                <w:szCs w:val="21"/>
                <w:highlight w:val="none"/>
              </w:rPr>
              <w:t>是否为失信联合惩戒对象</w:t>
            </w:r>
          </w:p>
        </w:tc>
        <w:tc>
          <w:tcPr>
            <w:tcW w:w="1383" w:type="dxa"/>
            <w:vMerge w:val="restart"/>
            <w:noWrap w:val="0"/>
            <w:vAlign w:val="center"/>
          </w:tcPr>
          <w:p>
            <w:pPr>
              <w:pStyle w:val="39"/>
              <w:jc w:val="center"/>
              <w:rPr>
                <w:rFonts w:hint="eastAsia" w:ascii="宋体" w:hAnsi="宋体" w:cs="宋体"/>
                <w:color w:val="auto"/>
                <w:szCs w:val="21"/>
                <w:highlight w:val="none"/>
              </w:rPr>
            </w:pPr>
            <w:r>
              <w:rPr>
                <w:rFonts w:hint="eastAsia" w:ascii="宋体" w:hAnsi="宋体" w:cs="宋体"/>
                <w:color w:val="auto"/>
                <w:szCs w:val="21"/>
                <w:highlight w:val="none"/>
              </w:rPr>
              <w:t>出生年月</w:t>
            </w:r>
          </w:p>
        </w:tc>
        <w:tc>
          <w:tcPr>
            <w:tcW w:w="3294" w:type="dxa"/>
            <w:gridSpan w:val="2"/>
            <w:noWrap w:val="0"/>
            <w:vAlign w:val="center"/>
          </w:tcPr>
          <w:p>
            <w:pPr>
              <w:pStyle w:val="39"/>
              <w:jc w:val="center"/>
              <w:rPr>
                <w:rFonts w:hint="eastAsia" w:ascii="宋体" w:hAnsi="宋体" w:cs="宋体"/>
                <w:color w:val="auto"/>
                <w:szCs w:val="21"/>
                <w:highlight w:val="none"/>
              </w:rPr>
            </w:pPr>
            <w:r>
              <w:rPr>
                <w:rFonts w:hint="eastAsia" w:ascii="宋体" w:hAnsi="宋体" w:cs="宋体"/>
                <w:color w:val="auto"/>
                <w:szCs w:val="21"/>
                <w:highlight w:val="none"/>
              </w:rPr>
              <w:t>任职起止日期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7" w:hRule="atLeast"/>
        </w:trPr>
        <w:tc>
          <w:tcPr>
            <w:tcW w:w="973" w:type="dxa"/>
            <w:vMerge w:val="continue"/>
            <w:noWrap w:val="0"/>
            <w:vAlign w:val="center"/>
          </w:tcPr>
          <w:p>
            <w:pPr>
              <w:pStyle w:val="39"/>
              <w:jc w:val="center"/>
              <w:rPr>
                <w:rFonts w:hint="eastAsia" w:ascii="宋体" w:hAnsi="宋体" w:cs="宋体"/>
                <w:color w:val="auto"/>
                <w:szCs w:val="21"/>
                <w:highlight w:val="none"/>
              </w:rPr>
            </w:pPr>
          </w:p>
        </w:tc>
        <w:tc>
          <w:tcPr>
            <w:tcW w:w="1427" w:type="dxa"/>
            <w:vMerge w:val="continue"/>
            <w:noWrap w:val="0"/>
            <w:vAlign w:val="center"/>
          </w:tcPr>
          <w:p>
            <w:pPr>
              <w:pStyle w:val="39"/>
              <w:jc w:val="center"/>
              <w:rPr>
                <w:rFonts w:hint="eastAsia" w:ascii="宋体" w:hAnsi="宋体" w:cs="宋体"/>
                <w:color w:val="auto"/>
                <w:szCs w:val="21"/>
                <w:highlight w:val="none"/>
              </w:rPr>
            </w:pPr>
          </w:p>
        </w:tc>
        <w:tc>
          <w:tcPr>
            <w:tcW w:w="575" w:type="dxa"/>
            <w:vMerge w:val="continue"/>
            <w:noWrap w:val="0"/>
            <w:vAlign w:val="center"/>
          </w:tcPr>
          <w:p>
            <w:pPr>
              <w:pStyle w:val="39"/>
              <w:jc w:val="center"/>
              <w:rPr>
                <w:rFonts w:hint="eastAsia" w:ascii="宋体" w:hAnsi="宋体" w:cs="宋体"/>
                <w:color w:val="auto"/>
                <w:szCs w:val="21"/>
                <w:highlight w:val="none"/>
              </w:rPr>
            </w:pPr>
          </w:p>
        </w:tc>
        <w:tc>
          <w:tcPr>
            <w:tcW w:w="877" w:type="dxa"/>
            <w:vMerge w:val="continue"/>
            <w:noWrap w:val="0"/>
            <w:vAlign w:val="center"/>
          </w:tcPr>
          <w:p>
            <w:pPr>
              <w:pStyle w:val="39"/>
              <w:jc w:val="center"/>
              <w:rPr>
                <w:rFonts w:hint="eastAsia" w:ascii="宋体" w:hAnsi="宋体" w:cs="宋体"/>
                <w:color w:val="auto"/>
                <w:szCs w:val="21"/>
                <w:highlight w:val="none"/>
              </w:rPr>
            </w:pPr>
          </w:p>
        </w:tc>
        <w:tc>
          <w:tcPr>
            <w:tcW w:w="1383" w:type="dxa"/>
            <w:vMerge w:val="continue"/>
            <w:noWrap w:val="0"/>
            <w:vAlign w:val="center"/>
          </w:tcPr>
          <w:p>
            <w:pPr>
              <w:pStyle w:val="39"/>
              <w:jc w:val="center"/>
              <w:rPr>
                <w:rFonts w:hint="eastAsia" w:ascii="宋体" w:hAnsi="宋体" w:cs="宋体"/>
                <w:color w:val="auto"/>
                <w:szCs w:val="21"/>
                <w:highlight w:val="none"/>
              </w:rPr>
            </w:pPr>
          </w:p>
        </w:tc>
        <w:tc>
          <w:tcPr>
            <w:tcW w:w="1617" w:type="dxa"/>
            <w:noWrap w:val="0"/>
            <w:vAlign w:val="center"/>
          </w:tcPr>
          <w:p>
            <w:pPr>
              <w:pStyle w:val="39"/>
              <w:jc w:val="center"/>
              <w:rPr>
                <w:rFonts w:hint="eastAsia" w:ascii="宋体" w:hAnsi="宋体" w:cs="宋体"/>
                <w:color w:val="auto"/>
                <w:szCs w:val="21"/>
                <w:highlight w:val="none"/>
              </w:rPr>
            </w:pPr>
            <w:r>
              <w:rPr>
                <w:rFonts w:hint="eastAsia" w:ascii="宋体" w:hAnsi="宋体" w:cs="宋体"/>
                <w:color w:val="auto"/>
                <w:szCs w:val="21"/>
                <w:highlight w:val="none"/>
              </w:rPr>
              <w:t>起始日期</w:t>
            </w:r>
          </w:p>
        </w:tc>
        <w:tc>
          <w:tcPr>
            <w:tcW w:w="1677" w:type="dxa"/>
            <w:noWrap w:val="0"/>
            <w:vAlign w:val="center"/>
          </w:tcPr>
          <w:p>
            <w:pPr>
              <w:pStyle w:val="39"/>
              <w:jc w:val="center"/>
              <w:rPr>
                <w:rFonts w:hint="eastAsia" w:ascii="宋体" w:hAnsi="宋体" w:cs="宋体"/>
                <w:color w:val="auto"/>
                <w:szCs w:val="21"/>
                <w:highlight w:val="none"/>
              </w:rPr>
            </w:pPr>
            <w:r>
              <w:rPr>
                <w:rFonts w:hint="eastAsia" w:ascii="宋体" w:hAnsi="宋体" w:cs="宋体"/>
                <w:color w:val="auto"/>
                <w:szCs w:val="21"/>
                <w:highlight w:val="none"/>
              </w:rPr>
              <w:t>终止日期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973" w:type="dxa"/>
            <w:noWrap w:val="0"/>
            <w:vAlign w:val="center"/>
          </w:tcPr>
          <w:p>
            <w:pPr>
              <w:jc w:val="center"/>
              <w:rPr>
                <w:rFonts w:hint="eastAsia" w:ascii="宋体" w:hAnsi="宋体" w:cs="宋体"/>
                <w:color w:val="auto"/>
                <w:highlight w:val="none"/>
              </w:rPr>
            </w:pPr>
            <w:r>
              <w:rPr>
                <w:rFonts w:hint="eastAsia" w:ascii="宋体" w:hAnsi="宋体" w:cs="宋体"/>
                <w:color w:val="auto"/>
                <w:highlight w:val="none"/>
              </w:rPr>
              <w:t>朱绍纯</w:t>
            </w:r>
          </w:p>
        </w:tc>
        <w:tc>
          <w:tcPr>
            <w:tcW w:w="1427" w:type="dxa"/>
            <w:noWrap w:val="0"/>
            <w:vAlign w:val="center"/>
          </w:tcPr>
          <w:p>
            <w:pPr>
              <w:jc w:val="center"/>
              <w:rPr>
                <w:rFonts w:hint="eastAsia" w:ascii="宋体" w:hAnsi="宋体" w:cs="宋体"/>
                <w:color w:val="auto"/>
                <w:highlight w:val="none"/>
              </w:rPr>
            </w:pPr>
            <w:r>
              <w:rPr>
                <w:rFonts w:hint="eastAsia" w:ascii="宋体" w:hAnsi="宋体" w:cs="宋体"/>
                <w:color w:val="auto"/>
                <w:highlight w:val="none"/>
              </w:rPr>
              <w:t>董事长</w:t>
            </w:r>
          </w:p>
        </w:tc>
        <w:tc>
          <w:tcPr>
            <w:tcW w:w="575" w:type="dxa"/>
            <w:noWrap w:val="0"/>
            <w:vAlign w:val="center"/>
          </w:tcPr>
          <w:p>
            <w:pPr>
              <w:jc w:val="center"/>
              <w:rPr>
                <w:rFonts w:hint="eastAsia" w:ascii="宋体" w:hAnsi="宋体" w:cs="宋体"/>
                <w:color w:val="auto"/>
                <w:highlight w:val="none"/>
              </w:rPr>
            </w:pPr>
            <w:r>
              <w:rPr>
                <w:rFonts w:hint="eastAsia" w:ascii="宋体" w:hAnsi="宋体" w:cs="宋体"/>
                <w:color w:val="auto"/>
                <w:highlight w:val="none"/>
              </w:rPr>
              <w:t>男</w:t>
            </w:r>
          </w:p>
        </w:tc>
        <w:tc>
          <w:tcPr>
            <w:tcW w:w="877" w:type="dxa"/>
            <w:noWrap w:val="0"/>
            <w:vAlign w:val="center"/>
          </w:tcPr>
          <w:p>
            <w:pPr>
              <w:jc w:val="center"/>
              <w:rPr>
                <w:rFonts w:hint="eastAsia" w:ascii="宋体" w:hAnsi="宋体" w:cs="宋体"/>
                <w:color w:val="auto"/>
                <w:highlight w:val="none"/>
              </w:rPr>
            </w:pPr>
            <w:r>
              <w:rPr>
                <w:rFonts w:hint="eastAsia" w:ascii="宋体" w:hAnsi="宋体" w:cs="宋体"/>
                <w:color w:val="auto"/>
                <w:highlight w:val="none"/>
              </w:rPr>
              <w:t>否</w:t>
            </w:r>
          </w:p>
        </w:tc>
        <w:tc>
          <w:tcPr>
            <w:tcW w:w="1383" w:type="dxa"/>
            <w:noWrap w:val="0"/>
            <w:vAlign w:val="center"/>
          </w:tcPr>
          <w:p>
            <w:pPr>
              <w:jc w:val="center"/>
              <w:rPr>
                <w:rFonts w:hint="eastAsia" w:ascii="宋体" w:hAnsi="宋体" w:cs="宋体"/>
                <w:color w:val="auto"/>
                <w:highlight w:val="none"/>
              </w:rPr>
            </w:pPr>
            <w:r>
              <w:rPr>
                <w:rFonts w:hint="eastAsia" w:ascii="宋体" w:hAnsi="宋体" w:cs="宋体"/>
                <w:color w:val="auto"/>
                <w:highlight w:val="none"/>
              </w:rPr>
              <w:t>1965年7月</w:t>
            </w:r>
          </w:p>
        </w:tc>
        <w:tc>
          <w:tcPr>
            <w:tcW w:w="1617" w:type="dxa"/>
            <w:noWrap w:val="0"/>
            <w:vAlign w:val="center"/>
          </w:tcPr>
          <w:p>
            <w:pPr>
              <w:jc w:val="center"/>
              <w:rPr>
                <w:rFonts w:hint="eastAsia" w:ascii="宋体" w:hAnsi="宋体" w:cs="宋体"/>
                <w:color w:val="auto"/>
                <w:highlight w:val="none"/>
              </w:rPr>
            </w:pPr>
            <w:r>
              <w:rPr>
                <w:rFonts w:hint="eastAsia" w:ascii="宋体" w:hAnsi="宋体" w:cs="宋体"/>
                <w:color w:val="auto"/>
                <w:highlight w:val="none"/>
              </w:rPr>
              <w:t>2020.</w:t>
            </w:r>
            <w:r>
              <w:rPr>
                <w:rFonts w:hint="eastAsia" w:ascii="宋体" w:hAnsi="宋体" w:cs="宋体"/>
                <w:color w:val="auto"/>
                <w:highlight w:val="none"/>
                <w:lang w:val="en-US" w:eastAsia="zh-CN"/>
              </w:rPr>
              <w:t>0</w:t>
            </w:r>
            <w:r>
              <w:rPr>
                <w:rFonts w:hint="eastAsia" w:ascii="宋体" w:hAnsi="宋体" w:cs="宋体"/>
                <w:color w:val="auto"/>
                <w:highlight w:val="none"/>
              </w:rPr>
              <w:t>8</w:t>
            </w:r>
          </w:p>
        </w:tc>
        <w:tc>
          <w:tcPr>
            <w:tcW w:w="1677" w:type="dxa"/>
            <w:noWrap w:val="0"/>
            <w:vAlign w:val="center"/>
          </w:tcPr>
          <w:p>
            <w:pPr>
              <w:jc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至今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73" w:type="dxa"/>
            <w:noWrap w:val="0"/>
            <w:vAlign w:val="center"/>
          </w:tcPr>
          <w:p>
            <w:pPr>
              <w:jc w:val="center"/>
              <w:rPr>
                <w:rFonts w:hint="eastAsia" w:ascii="宋体" w:hAnsi="宋体" w:cs="宋体"/>
                <w:color w:val="auto"/>
                <w:highlight w:val="none"/>
              </w:rPr>
            </w:pPr>
            <w:r>
              <w:rPr>
                <w:rFonts w:hint="eastAsia" w:ascii="宋体" w:hAnsi="宋体" w:cs="宋体"/>
                <w:color w:val="auto"/>
                <w:highlight w:val="none"/>
              </w:rPr>
              <w:t>施文刚</w:t>
            </w:r>
          </w:p>
        </w:tc>
        <w:tc>
          <w:tcPr>
            <w:tcW w:w="1427" w:type="dxa"/>
            <w:noWrap w:val="0"/>
            <w:vAlign w:val="center"/>
          </w:tcPr>
          <w:p>
            <w:pPr>
              <w:jc w:val="center"/>
              <w:rPr>
                <w:rFonts w:hint="eastAsia" w:ascii="宋体" w:hAnsi="宋体" w:cs="宋体"/>
                <w:color w:val="auto"/>
                <w:highlight w:val="none"/>
              </w:rPr>
            </w:pPr>
            <w:r>
              <w:rPr>
                <w:rFonts w:hint="eastAsia" w:ascii="宋体" w:hAnsi="宋体" w:cs="宋体"/>
                <w:color w:val="auto"/>
                <w:highlight w:val="none"/>
              </w:rPr>
              <w:t>副董事长</w:t>
            </w:r>
          </w:p>
        </w:tc>
        <w:tc>
          <w:tcPr>
            <w:tcW w:w="575" w:type="dxa"/>
            <w:noWrap w:val="0"/>
            <w:vAlign w:val="center"/>
          </w:tcPr>
          <w:p>
            <w:pPr>
              <w:jc w:val="center"/>
              <w:rPr>
                <w:rFonts w:hint="eastAsia" w:ascii="宋体" w:hAnsi="宋体" w:cs="宋体"/>
                <w:color w:val="auto"/>
                <w:highlight w:val="none"/>
              </w:rPr>
            </w:pPr>
            <w:r>
              <w:rPr>
                <w:rFonts w:hint="eastAsia" w:ascii="宋体" w:hAnsi="宋体" w:cs="宋体"/>
                <w:color w:val="auto"/>
                <w:highlight w:val="none"/>
              </w:rPr>
              <w:t>男</w:t>
            </w:r>
          </w:p>
        </w:tc>
        <w:tc>
          <w:tcPr>
            <w:tcW w:w="877" w:type="dxa"/>
            <w:noWrap w:val="0"/>
            <w:vAlign w:val="center"/>
          </w:tcPr>
          <w:p>
            <w:pPr>
              <w:jc w:val="center"/>
              <w:rPr>
                <w:rFonts w:hint="eastAsia" w:ascii="宋体" w:hAnsi="宋体" w:cs="宋体"/>
                <w:color w:val="auto"/>
                <w:highlight w:val="none"/>
              </w:rPr>
            </w:pPr>
            <w:r>
              <w:rPr>
                <w:rFonts w:hint="eastAsia" w:ascii="宋体" w:hAnsi="宋体" w:cs="宋体"/>
                <w:color w:val="auto"/>
                <w:highlight w:val="none"/>
              </w:rPr>
              <w:t>否</w:t>
            </w:r>
          </w:p>
        </w:tc>
        <w:tc>
          <w:tcPr>
            <w:tcW w:w="1383" w:type="dxa"/>
            <w:noWrap w:val="0"/>
            <w:vAlign w:val="center"/>
          </w:tcPr>
          <w:p>
            <w:pPr>
              <w:jc w:val="center"/>
              <w:rPr>
                <w:rFonts w:hint="eastAsia" w:ascii="宋体" w:hAnsi="宋体" w:cs="宋体"/>
                <w:color w:val="auto"/>
                <w:highlight w:val="none"/>
              </w:rPr>
            </w:pPr>
            <w:r>
              <w:rPr>
                <w:rFonts w:hint="eastAsia" w:ascii="宋体" w:hAnsi="宋体" w:cs="宋体"/>
                <w:color w:val="auto"/>
                <w:highlight w:val="none"/>
              </w:rPr>
              <w:t>1964年12月</w:t>
            </w:r>
          </w:p>
        </w:tc>
        <w:tc>
          <w:tcPr>
            <w:tcW w:w="1617" w:type="dxa"/>
            <w:noWrap w:val="0"/>
            <w:vAlign w:val="center"/>
          </w:tcPr>
          <w:p>
            <w:pPr>
              <w:jc w:val="center"/>
              <w:rPr>
                <w:rFonts w:hint="eastAsia" w:ascii="宋体" w:hAnsi="宋体" w:cs="宋体"/>
                <w:color w:val="auto"/>
                <w:highlight w:val="none"/>
              </w:rPr>
            </w:pPr>
            <w:r>
              <w:rPr>
                <w:rFonts w:hint="eastAsia" w:ascii="宋体" w:hAnsi="宋体" w:cs="宋体"/>
                <w:color w:val="auto"/>
                <w:highlight w:val="none"/>
              </w:rPr>
              <w:t>2017.</w:t>
            </w:r>
            <w:r>
              <w:rPr>
                <w:rFonts w:hint="eastAsia" w:ascii="宋体" w:hAnsi="宋体" w:cs="宋体"/>
                <w:color w:val="auto"/>
                <w:highlight w:val="none"/>
                <w:lang w:val="en-US" w:eastAsia="zh-CN"/>
              </w:rPr>
              <w:t>0</w:t>
            </w:r>
            <w:r>
              <w:rPr>
                <w:rFonts w:hint="eastAsia" w:ascii="宋体" w:hAnsi="宋体" w:cs="宋体"/>
                <w:color w:val="auto"/>
                <w:highlight w:val="none"/>
              </w:rPr>
              <w:t>6</w:t>
            </w:r>
          </w:p>
        </w:tc>
        <w:tc>
          <w:tcPr>
            <w:tcW w:w="1677" w:type="dxa"/>
            <w:noWrap w:val="0"/>
            <w:vAlign w:val="center"/>
          </w:tcPr>
          <w:p>
            <w:pPr>
              <w:jc w:val="center"/>
              <w:rPr>
                <w:rFonts w:hint="default" w:ascii="宋体" w:hAnsi="宋体" w:cs="宋体"/>
                <w:color w:val="auto"/>
                <w:highlight w:val="none"/>
                <w:lang w:val="en-US"/>
              </w:rPr>
            </w:pPr>
            <w:r>
              <w:rPr>
                <w:rFonts w:hint="eastAsia" w:ascii="宋体" w:hAnsi="宋体" w:cs="宋体"/>
                <w:color w:val="auto"/>
                <w:highlight w:val="none"/>
                <w:lang w:val="en-US" w:eastAsia="zh-CN"/>
              </w:rPr>
              <w:t>2024.12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973" w:type="dxa"/>
            <w:noWrap w:val="0"/>
            <w:vAlign w:val="center"/>
          </w:tcPr>
          <w:p>
            <w:pPr>
              <w:jc w:val="center"/>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郭厚亮</w:t>
            </w:r>
          </w:p>
        </w:tc>
        <w:tc>
          <w:tcPr>
            <w:tcW w:w="1427" w:type="dxa"/>
            <w:noWrap w:val="0"/>
            <w:vAlign w:val="center"/>
          </w:tcPr>
          <w:p>
            <w:pPr>
              <w:jc w:val="center"/>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副董事长</w:t>
            </w:r>
          </w:p>
        </w:tc>
        <w:tc>
          <w:tcPr>
            <w:tcW w:w="575" w:type="dxa"/>
            <w:noWrap w:val="0"/>
            <w:vAlign w:val="center"/>
          </w:tcPr>
          <w:p>
            <w:pPr>
              <w:jc w:val="center"/>
              <w:rPr>
                <w:rFonts w:hint="eastAsia" w:ascii="宋体" w:hAnsi="宋体" w:cs="宋体"/>
                <w:color w:val="auto"/>
                <w:highlight w:val="none"/>
              </w:rPr>
            </w:pPr>
            <w:r>
              <w:rPr>
                <w:rFonts w:hint="eastAsia" w:ascii="宋体" w:hAnsi="宋体" w:cs="宋体"/>
                <w:color w:val="auto"/>
                <w:highlight w:val="none"/>
              </w:rPr>
              <w:t>男</w:t>
            </w:r>
          </w:p>
        </w:tc>
        <w:tc>
          <w:tcPr>
            <w:tcW w:w="877" w:type="dxa"/>
            <w:noWrap w:val="0"/>
            <w:vAlign w:val="center"/>
          </w:tcPr>
          <w:p>
            <w:pPr>
              <w:jc w:val="center"/>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否</w:t>
            </w:r>
          </w:p>
        </w:tc>
        <w:tc>
          <w:tcPr>
            <w:tcW w:w="1383" w:type="dxa"/>
            <w:noWrap w:val="0"/>
            <w:vAlign w:val="center"/>
          </w:tcPr>
          <w:p>
            <w:pPr>
              <w:jc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1971年3月</w:t>
            </w:r>
          </w:p>
        </w:tc>
        <w:tc>
          <w:tcPr>
            <w:tcW w:w="1617" w:type="dxa"/>
            <w:noWrap w:val="0"/>
            <w:vAlign w:val="center"/>
          </w:tcPr>
          <w:p>
            <w:pPr>
              <w:jc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2024.12</w:t>
            </w:r>
          </w:p>
        </w:tc>
        <w:tc>
          <w:tcPr>
            <w:tcW w:w="1677" w:type="dxa"/>
            <w:noWrap w:val="0"/>
            <w:vAlign w:val="center"/>
          </w:tcPr>
          <w:p>
            <w:pPr>
              <w:jc w:val="center"/>
              <w:rPr>
                <w:rFonts w:hint="default" w:ascii="宋体" w:hAnsi="宋体" w:cs="宋体"/>
                <w:color w:val="auto"/>
                <w:highlight w:val="none"/>
                <w:lang w:val="en-US" w:eastAsia="zh-CN"/>
              </w:rPr>
            </w:pPr>
            <w:r>
              <w:rPr>
                <w:rFonts w:hint="eastAsia" w:ascii="宋体" w:hAnsi="宋体" w:cs="宋体"/>
                <w:color w:val="auto"/>
                <w:highlight w:val="none"/>
                <w:lang w:val="en-US" w:eastAsia="zh-CN"/>
              </w:rPr>
              <w:t>至今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973" w:type="dxa"/>
            <w:noWrap w:val="0"/>
            <w:vAlign w:val="center"/>
          </w:tcPr>
          <w:p>
            <w:pPr>
              <w:jc w:val="center"/>
              <w:rPr>
                <w:rFonts w:hint="eastAsia" w:ascii="宋体" w:hAnsi="宋体" w:cs="宋体"/>
                <w:color w:val="auto"/>
                <w:highlight w:val="none"/>
              </w:rPr>
            </w:pPr>
            <w:r>
              <w:rPr>
                <w:rFonts w:hint="eastAsia" w:ascii="宋体" w:hAnsi="宋体" w:cs="宋体"/>
                <w:color w:val="auto"/>
                <w:highlight w:val="none"/>
              </w:rPr>
              <w:t>吕  峰</w:t>
            </w:r>
          </w:p>
        </w:tc>
        <w:tc>
          <w:tcPr>
            <w:tcW w:w="1427" w:type="dxa"/>
            <w:noWrap w:val="0"/>
            <w:vAlign w:val="center"/>
          </w:tcPr>
          <w:p>
            <w:pPr>
              <w:jc w:val="center"/>
              <w:rPr>
                <w:rFonts w:hint="eastAsia" w:ascii="宋体" w:hAnsi="宋体" w:cs="宋体"/>
                <w:color w:val="auto"/>
                <w:highlight w:val="none"/>
              </w:rPr>
            </w:pPr>
            <w:r>
              <w:rPr>
                <w:rFonts w:hint="eastAsia" w:ascii="宋体" w:hAnsi="宋体" w:cs="宋体"/>
                <w:color w:val="auto"/>
                <w:highlight w:val="none"/>
              </w:rPr>
              <w:t>董事</w:t>
            </w:r>
          </w:p>
        </w:tc>
        <w:tc>
          <w:tcPr>
            <w:tcW w:w="575" w:type="dxa"/>
            <w:noWrap w:val="0"/>
            <w:vAlign w:val="center"/>
          </w:tcPr>
          <w:p>
            <w:pPr>
              <w:jc w:val="center"/>
              <w:rPr>
                <w:rFonts w:hint="eastAsia" w:ascii="宋体" w:hAnsi="宋体" w:cs="宋体"/>
                <w:color w:val="auto"/>
                <w:highlight w:val="none"/>
              </w:rPr>
            </w:pPr>
            <w:r>
              <w:rPr>
                <w:rFonts w:hint="eastAsia" w:ascii="宋体" w:hAnsi="宋体" w:cs="宋体"/>
                <w:color w:val="auto"/>
                <w:highlight w:val="none"/>
              </w:rPr>
              <w:t>男</w:t>
            </w:r>
          </w:p>
        </w:tc>
        <w:tc>
          <w:tcPr>
            <w:tcW w:w="877" w:type="dxa"/>
            <w:noWrap w:val="0"/>
            <w:vAlign w:val="center"/>
          </w:tcPr>
          <w:p>
            <w:pPr>
              <w:jc w:val="center"/>
              <w:rPr>
                <w:rFonts w:hint="eastAsia" w:ascii="宋体" w:hAnsi="宋体" w:cs="宋体"/>
                <w:color w:val="auto"/>
                <w:highlight w:val="none"/>
              </w:rPr>
            </w:pPr>
            <w:r>
              <w:rPr>
                <w:rFonts w:hint="eastAsia" w:ascii="宋体" w:hAnsi="宋体" w:cs="宋体"/>
                <w:color w:val="auto"/>
                <w:highlight w:val="none"/>
              </w:rPr>
              <w:t>否</w:t>
            </w:r>
          </w:p>
        </w:tc>
        <w:tc>
          <w:tcPr>
            <w:tcW w:w="1383" w:type="dxa"/>
            <w:noWrap w:val="0"/>
            <w:vAlign w:val="center"/>
          </w:tcPr>
          <w:p>
            <w:pPr>
              <w:jc w:val="center"/>
              <w:rPr>
                <w:rFonts w:hint="eastAsia" w:ascii="宋体" w:hAnsi="宋体" w:cs="宋体"/>
                <w:color w:val="auto"/>
                <w:highlight w:val="none"/>
              </w:rPr>
            </w:pPr>
            <w:r>
              <w:rPr>
                <w:rFonts w:hint="eastAsia" w:ascii="宋体" w:hAnsi="宋体" w:cs="宋体"/>
                <w:color w:val="auto"/>
                <w:highlight w:val="none"/>
              </w:rPr>
              <w:t>1969年10月</w:t>
            </w:r>
          </w:p>
        </w:tc>
        <w:tc>
          <w:tcPr>
            <w:tcW w:w="1617" w:type="dxa"/>
            <w:noWrap w:val="0"/>
            <w:vAlign w:val="center"/>
          </w:tcPr>
          <w:p>
            <w:pPr>
              <w:jc w:val="center"/>
              <w:rPr>
                <w:rFonts w:hint="eastAsia" w:ascii="宋体" w:hAnsi="宋体" w:cs="宋体"/>
                <w:color w:val="auto"/>
                <w:highlight w:val="none"/>
              </w:rPr>
            </w:pPr>
            <w:r>
              <w:rPr>
                <w:rFonts w:hint="eastAsia" w:ascii="宋体" w:hAnsi="宋体" w:cs="宋体"/>
                <w:color w:val="auto"/>
                <w:highlight w:val="none"/>
              </w:rPr>
              <w:t>2022.10</w:t>
            </w:r>
          </w:p>
        </w:tc>
        <w:tc>
          <w:tcPr>
            <w:tcW w:w="1677" w:type="dxa"/>
            <w:noWrap w:val="0"/>
            <w:vAlign w:val="center"/>
          </w:tcPr>
          <w:p>
            <w:pPr>
              <w:jc w:val="center"/>
              <w:rPr>
                <w:rFonts w:hint="default" w:ascii="宋体" w:hAnsi="宋体" w:cs="宋体"/>
                <w:color w:val="auto"/>
                <w:highlight w:val="none"/>
                <w:lang w:val="en-US"/>
              </w:rPr>
            </w:pPr>
            <w:r>
              <w:rPr>
                <w:rFonts w:hint="eastAsia" w:ascii="宋体" w:hAnsi="宋体" w:cs="宋体"/>
                <w:color w:val="auto"/>
                <w:highlight w:val="none"/>
                <w:lang w:val="en-US" w:eastAsia="zh-CN"/>
              </w:rPr>
              <w:t>2024.12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973" w:type="dxa"/>
            <w:noWrap w:val="0"/>
            <w:vAlign w:val="center"/>
          </w:tcPr>
          <w:p>
            <w:pPr>
              <w:jc w:val="center"/>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朱仕祥</w:t>
            </w:r>
          </w:p>
        </w:tc>
        <w:tc>
          <w:tcPr>
            <w:tcW w:w="1427" w:type="dxa"/>
            <w:noWrap w:val="0"/>
            <w:vAlign w:val="center"/>
          </w:tcPr>
          <w:p>
            <w:pPr>
              <w:jc w:val="center"/>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董事</w:t>
            </w:r>
          </w:p>
        </w:tc>
        <w:tc>
          <w:tcPr>
            <w:tcW w:w="575" w:type="dxa"/>
            <w:noWrap w:val="0"/>
            <w:vAlign w:val="center"/>
          </w:tcPr>
          <w:p>
            <w:pPr>
              <w:jc w:val="center"/>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男</w:t>
            </w:r>
          </w:p>
        </w:tc>
        <w:tc>
          <w:tcPr>
            <w:tcW w:w="877" w:type="dxa"/>
            <w:noWrap w:val="0"/>
            <w:vAlign w:val="center"/>
          </w:tcPr>
          <w:p>
            <w:pPr>
              <w:jc w:val="center"/>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否</w:t>
            </w:r>
          </w:p>
        </w:tc>
        <w:tc>
          <w:tcPr>
            <w:tcW w:w="1383" w:type="dxa"/>
            <w:noWrap w:val="0"/>
            <w:vAlign w:val="center"/>
          </w:tcPr>
          <w:p>
            <w:pPr>
              <w:jc w:val="center"/>
              <w:rPr>
                <w:rFonts w:hint="eastAsia" w:ascii="宋体" w:hAnsi="宋体" w:cs="宋体"/>
                <w:color w:val="auto"/>
                <w:highlight w:val="none"/>
              </w:rPr>
            </w:pPr>
            <w:r>
              <w:rPr>
                <w:rFonts w:hint="eastAsia" w:ascii="宋体" w:hAnsi="宋体" w:cs="宋体"/>
                <w:color w:val="auto"/>
                <w:kern w:val="2"/>
                <w:sz w:val="21"/>
                <w:szCs w:val="21"/>
                <w:highlight w:val="none"/>
                <w:lang w:val="en-US" w:eastAsia="zh-CN" w:bidi="ar-SA"/>
              </w:rPr>
              <w:t>1976年5月</w:t>
            </w:r>
          </w:p>
        </w:tc>
        <w:tc>
          <w:tcPr>
            <w:tcW w:w="1617" w:type="dxa"/>
            <w:noWrap w:val="0"/>
            <w:vAlign w:val="center"/>
          </w:tcPr>
          <w:p>
            <w:pPr>
              <w:jc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2024.12</w:t>
            </w:r>
          </w:p>
        </w:tc>
        <w:tc>
          <w:tcPr>
            <w:tcW w:w="1677" w:type="dxa"/>
            <w:noWrap w:val="0"/>
            <w:vAlign w:val="center"/>
          </w:tcPr>
          <w:p>
            <w:pPr>
              <w:jc w:val="center"/>
              <w:rPr>
                <w:rFonts w:hint="default" w:ascii="宋体" w:hAnsi="宋体" w:cs="宋体"/>
                <w:color w:val="auto"/>
                <w:highlight w:val="none"/>
                <w:lang w:val="en-US" w:eastAsia="zh-CN"/>
              </w:rPr>
            </w:pPr>
            <w:r>
              <w:rPr>
                <w:rFonts w:hint="eastAsia" w:ascii="宋体" w:hAnsi="宋体" w:cs="宋体"/>
                <w:color w:val="auto"/>
                <w:highlight w:val="none"/>
                <w:lang w:val="en-US" w:eastAsia="zh-CN"/>
              </w:rPr>
              <w:t>至今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973"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lang w:val="en-US" w:eastAsia="zh-CN"/>
              </w:rPr>
              <w:t>仇  明</w:t>
            </w:r>
          </w:p>
        </w:tc>
        <w:tc>
          <w:tcPr>
            <w:tcW w:w="142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董事</w:t>
            </w:r>
          </w:p>
        </w:tc>
        <w:tc>
          <w:tcPr>
            <w:tcW w:w="575"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男</w:t>
            </w:r>
          </w:p>
        </w:tc>
        <w:tc>
          <w:tcPr>
            <w:tcW w:w="87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否</w:t>
            </w:r>
          </w:p>
        </w:tc>
        <w:tc>
          <w:tcPr>
            <w:tcW w:w="1383"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196</w:t>
            </w:r>
            <w:r>
              <w:rPr>
                <w:rFonts w:hint="eastAsia" w:ascii="宋体" w:hAnsi="宋体" w:cs="宋体"/>
                <w:color w:val="auto"/>
                <w:highlight w:val="none"/>
                <w:lang w:val="en-US" w:eastAsia="zh-CN"/>
              </w:rPr>
              <w:t>3</w:t>
            </w:r>
            <w:r>
              <w:rPr>
                <w:rFonts w:hint="eastAsia" w:ascii="宋体" w:hAnsi="宋体" w:cs="宋体"/>
                <w:color w:val="auto"/>
                <w:highlight w:val="none"/>
              </w:rPr>
              <w:t>年</w:t>
            </w:r>
            <w:r>
              <w:rPr>
                <w:rFonts w:hint="eastAsia" w:ascii="宋体" w:hAnsi="宋体" w:cs="宋体"/>
                <w:color w:val="auto"/>
                <w:highlight w:val="none"/>
                <w:lang w:val="en-US" w:eastAsia="zh-CN"/>
              </w:rPr>
              <w:t>5</w:t>
            </w:r>
            <w:r>
              <w:rPr>
                <w:rFonts w:hint="eastAsia" w:ascii="宋体" w:hAnsi="宋体" w:cs="宋体"/>
                <w:color w:val="auto"/>
                <w:highlight w:val="none"/>
              </w:rPr>
              <w:t>月</w:t>
            </w:r>
          </w:p>
        </w:tc>
        <w:tc>
          <w:tcPr>
            <w:tcW w:w="1617" w:type="dxa"/>
            <w:noWrap w:val="0"/>
            <w:vAlign w:val="center"/>
          </w:tcPr>
          <w:p>
            <w:pPr>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20</w:t>
            </w:r>
            <w:r>
              <w:rPr>
                <w:rFonts w:hint="eastAsia" w:ascii="宋体" w:hAnsi="宋体" w:cs="宋体"/>
                <w:color w:val="auto"/>
                <w:highlight w:val="none"/>
                <w:lang w:val="en-US" w:eastAsia="zh-CN"/>
              </w:rPr>
              <w:t>23</w:t>
            </w:r>
            <w:r>
              <w:rPr>
                <w:rFonts w:hint="eastAsia" w:ascii="宋体" w:hAnsi="宋体" w:cs="宋体"/>
                <w:color w:val="auto"/>
                <w:highlight w:val="none"/>
              </w:rPr>
              <w:t>.</w:t>
            </w:r>
            <w:r>
              <w:rPr>
                <w:rFonts w:hint="eastAsia" w:ascii="宋体" w:hAnsi="宋体" w:cs="宋体"/>
                <w:color w:val="auto"/>
                <w:highlight w:val="none"/>
                <w:lang w:val="en-US" w:eastAsia="zh-CN"/>
              </w:rPr>
              <w:t>10</w:t>
            </w:r>
          </w:p>
        </w:tc>
        <w:tc>
          <w:tcPr>
            <w:tcW w:w="167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lang w:val="en-US" w:eastAsia="zh-CN"/>
              </w:rPr>
              <w:t>至今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73"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黄青华</w:t>
            </w:r>
          </w:p>
        </w:tc>
        <w:tc>
          <w:tcPr>
            <w:tcW w:w="142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董事</w:t>
            </w:r>
          </w:p>
        </w:tc>
        <w:tc>
          <w:tcPr>
            <w:tcW w:w="575"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女</w:t>
            </w:r>
          </w:p>
        </w:tc>
        <w:tc>
          <w:tcPr>
            <w:tcW w:w="87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否</w:t>
            </w:r>
          </w:p>
        </w:tc>
        <w:tc>
          <w:tcPr>
            <w:tcW w:w="1383"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1972年6月</w:t>
            </w:r>
          </w:p>
        </w:tc>
        <w:tc>
          <w:tcPr>
            <w:tcW w:w="161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2021.</w:t>
            </w:r>
            <w:r>
              <w:rPr>
                <w:rFonts w:hint="eastAsia" w:ascii="宋体" w:hAnsi="宋体" w:cs="宋体"/>
                <w:color w:val="auto"/>
                <w:highlight w:val="none"/>
                <w:lang w:val="en-US" w:eastAsia="zh-CN"/>
              </w:rPr>
              <w:t>0</w:t>
            </w:r>
            <w:r>
              <w:rPr>
                <w:rFonts w:hint="eastAsia" w:ascii="宋体" w:hAnsi="宋体" w:cs="宋体"/>
                <w:color w:val="auto"/>
                <w:highlight w:val="none"/>
              </w:rPr>
              <w:t>4</w:t>
            </w:r>
          </w:p>
        </w:tc>
        <w:tc>
          <w:tcPr>
            <w:tcW w:w="167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lang w:val="en-US" w:eastAsia="zh-CN"/>
              </w:rPr>
              <w:t>至今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973"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lang w:val="en-US" w:eastAsia="zh-CN"/>
              </w:rPr>
              <w:t>程东航</w:t>
            </w:r>
          </w:p>
        </w:tc>
        <w:tc>
          <w:tcPr>
            <w:tcW w:w="142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董事</w:t>
            </w:r>
          </w:p>
        </w:tc>
        <w:tc>
          <w:tcPr>
            <w:tcW w:w="575"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男</w:t>
            </w:r>
          </w:p>
        </w:tc>
        <w:tc>
          <w:tcPr>
            <w:tcW w:w="87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否</w:t>
            </w:r>
          </w:p>
        </w:tc>
        <w:tc>
          <w:tcPr>
            <w:tcW w:w="1383"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19</w:t>
            </w:r>
            <w:r>
              <w:rPr>
                <w:rFonts w:hint="eastAsia" w:ascii="宋体" w:hAnsi="宋体" w:cs="宋体"/>
                <w:color w:val="auto"/>
                <w:highlight w:val="none"/>
                <w:lang w:val="en-US" w:eastAsia="zh-CN"/>
              </w:rPr>
              <w:t>68</w:t>
            </w:r>
            <w:r>
              <w:rPr>
                <w:rFonts w:hint="eastAsia" w:ascii="宋体" w:hAnsi="宋体" w:cs="宋体"/>
                <w:color w:val="auto"/>
                <w:highlight w:val="none"/>
              </w:rPr>
              <w:t>年</w:t>
            </w:r>
            <w:r>
              <w:rPr>
                <w:rFonts w:hint="eastAsia" w:ascii="宋体" w:hAnsi="宋体" w:cs="宋体"/>
                <w:color w:val="auto"/>
                <w:highlight w:val="none"/>
                <w:lang w:val="en-US" w:eastAsia="zh-CN"/>
              </w:rPr>
              <w:t>9</w:t>
            </w:r>
            <w:r>
              <w:rPr>
                <w:rFonts w:hint="eastAsia" w:ascii="宋体" w:hAnsi="宋体" w:cs="宋体"/>
                <w:color w:val="auto"/>
                <w:highlight w:val="none"/>
              </w:rPr>
              <w:t>月</w:t>
            </w:r>
          </w:p>
        </w:tc>
        <w:tc>
          <w:tcPr>
            <w:tcW w:w="161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202</w:t>
            </w:r>
            <w:r>
              <w:rPr>
                <w:rFonts w:hint="eastAsia" w:ascii="宋体" w:hAnsi="宋体" w:cs="宋体"/>
                <w:color w:val="auto"/>
                <w:highlight w:val="none"/>
                <w:lang w:val="en-US" w:eastAsia="zh-CN"/>
              </w:rPr>
              <w:t>3</w:t>
            </w:r>
            <w:r>
              <w:rPr>
                <w:rFonts w:hint="eastAsia" w:ascii="宋体" w:hAnsi="宋体" w:cs="宋体"/>
                <w:color w:val="auto"/>
                <w:highlight w:val="none"/>
              </w:rPr>
              <w:t>.</w:t>
            </w:r>
            <w:r>
              <w:rPr>
                <w:rFonts w:hint="eastAsia" w:ascii="宋体" w:hAnsi="宋体" w:cs="宋体"/>
                <w:color w:val="auto"/>
                <w:highlight w:val="none"/>
                <w:lang w:val="en-US" w:eastAsia="zh-CN"/>
              </w:rPr>
              <w:t>05</w:t>
            </w:r>
          </w:p>
        </w:tc>
        <w:tc>
          <w:tcPr>
            <w:tcW w:w="1677" w:type="dxa"/>
            <w:noWrap w:val="0"/>
            <w:vAlign w:val="center"/>
          </w:tcPr>
          <w:p>
            <w:pPr>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highlight w:val="none"/>
                <w:lang w:val="en-US" w:eastAsia="zh-CN"/>
              </w:rPr>
              <w:t>2025.01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973" w:type="dxa"/>
            <w:noWrap w:val="0"/>
            <w:vAlign w:val="center"/>
          </w:tcPr>
          <w:p>
            <w:pPr>
              <w:jc w:val="center"/>
              <w:rPr>
                <w:rFonts w:hint="default" w:ascii="宋体" w:hAnsi="宋体" w:cs="宋体"/>
                <w:color w:val="auto"/>
                <w:highlight w:val="none"/>
                <w:lang w:val="en-US" w:eastAsia="zh-CN"/>
              </w:rPr>
            </w:pPr>
            <w:r>
              <w:rPr>
                <w:rFonts w:hint="eastAsia" w:ascii="宋体" w:hAnsi="宋体" w:cs="宋体"/>
                <w:color w:val="auto"/>
                <w:highlight w:val="none"/>
                <w:lang w:val="en-US" w:eastAsia="zh-CN"/>
              </w:rPr>
              <w:t>王  浩</w:t>
            </w:r>
          </w:p>
        </w:tc>
        <w:tc>
          <w:tcPr>
            <w:tcW w:w="142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董事</w:t>
            </w:r>
          </w:p>
        </w:tc>
        <w:tc>
          <w:tcPr>
            <w:tcW w:w="575"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男</w:t>
            </w:r>
          </w:p>
        </w:tc>
        <w:tc>
          <w:tcPr>
            <w:tcW w:w="87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否</w:t>
            </w:r>
          </w:p>
        </w:tc>
        <w:tc>
          <w:tcPr>
            <w:tcW w:w="1383" w:type="dxa"/>
            <w:noWrap w:val="0"/>
            <w:vAlign w:val="center"/>
          </w:tcPr>
          <w:p>
            <w:pPr>
              <w:jc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1969年3月</w:t>
            </w:r>
          </w:p>
        </w:tc>
        <w:tc>
          <w:tcPr>
            <w:tcW w:w="1617" w:type="dxa"/>
            <w:noWrap w:val="0"/>
            <w:vAlign w:val="center"/>
          </w:tcPr>
          <w:p>
            <w:pPr>
              <w:jc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2025.01</w:t>
            </w:r>
          </w:p>
        </w:tc>
        <w:tc>
          <w:tcPr>
            <w:tcW w:w="1677" w:type="dxa"/>
            <w:noWrap w:val="0"/>
            <w:vAlign w:val="center"/>
          </w:tcPr>
          <w:p>
            <w:pPr>
              <w:jc w:val="center"/>
              <w:rPr>
                <w:rFonts w:hint="default" w:ascii="宋体" w:hAnsi="宋体" w:cs="宋体"/>
                <w:color w:val="auto"/>
                <w:highlight w:val="none"/>
                <w:lang w:val="en-US" w:eastAsia="zh-CN"/>
              </w:rPr>
            </w:pPr>
            <w:r>
              <w:rPr>
                <w:rFonts w:hint="eastAsia" w:ascii="宋体" w:hAnsi="宋体" w:cs="宋体"/>
                <w:color w:val="auto"/>
                <w:highlight w:val="none"/>
                <w:lang w:val="en-US" w:eastAsia="zh-CN"/>
              </w:rPr>
              <w:t>至今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973"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lang w:val="en-US" w:eastAsia="zh-CN"/>
              </w:rPr>
              <w:t>赵华邦</w:t>
            </w:r>
          </w:p>
        </w:tc>
        <w:tc>
          <w:tcPr>
            <w:tcW w:w="142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董事</w:t>
            </w:r>
          </w:p>
        </w:tc>
        <w:tc>
          <w:tcPr>
            <w:tcW w:w="575"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男</w:t>
            </w:r>
          </w:p>
        </w:tc>
        <w:tc>
          <w:tcPr>
            <w:tcW w:w="87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否</w:t>
            </w:r>
          </w:p>
        </w:tc>
        <w:tc>
          <w:tcPr>
            <w:tcW w:w="1383"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196</w:t>
            </w:r>
            <w:r>
              <w:rPr>
                <w:rFonts w:hint="eastAsia" w:ascii="宋体" w:hAnsi="宋体" w:cs="宋体"/>
                <w:color w:val="auto"/>
                <w:highlight w:val="none"/>
                <w:lang w:val="en-US" w:eastAsia="zh-CN"/>
              </w:rPr>
              <w:t>9</w:t>
            </w:r>
            <w:r>
              <w:rPr>
                <w:rFonts w:hint="eastAsia" w:ascii="宋体" w:hAnsi="宋体" w:cs="宋体"/>
                <w:color w:val="auto"/>
                <w:highlight w:val="none"/>
              </w:rPr>
              <w:t>年</w:t>
            </w:r>
            <w:r>
              <w:rPr>
                <w:rFonts w:hint="eastAsia" w:ascii="宋体" w:hAnsi="宋体" w:cs="宋体"/>
                <w:color w:val="auto"/>
                <w:highlight w:val="none"/>
                <w:lang w:val="en-US" w:eastAsia="zh-CN"/>
              </w:rPr>
              <w:t>9</w:t>
            </w:r>
            <w:r>
              <w:rPr>
                <w:rFonts w:hint="eastAsia" w:ascii="宋体" w:hAnsi="宋体" w:cs="宋体"/>
                <w:color w:val="auto"/>
                <w:highlight w:val="none"/>
              </w:rPr>
              <w:t>月</w:t>
            </w:r>
          </w:p>
        </w:tc>
        <w:tc>
          <w:tcPr>
            <w:tcW w:w="161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20</w:t>
            </w:r>
            <w:r>
              <w:rPr>
                <w:rFonts w:hint="eastAsia" w:ascii="宋体" w:hAnsi="宋体" w:cs="宋体"/>
                <w:color w:val="auto"/>
                <w:highlight w:val="none"/>
                <w:lang w:val="en-US" w:eastAsia="zh-CN"/>
              </w:rPr>
              <w:t>23.04</w:t>
            </w:r>
          </w:p>
        </w:tc>
        <w:tc>
          <w:tcPr>
            <w:tcW w:w="167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lang w:val="en-US" w:eastAsia="zh-CN"/>
              </w:rPr>
              <w:t>至今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973"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张  珂</w:t>
            </w:r>
          </w:p>
        </w:tc>
        <w:tc>
          <w:tcPr>
            <w:tcW w:w="142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董事</w:t>
            </w:r>
          </w:p>
        </w:tc>
        <w:tc>
          <w:tcPr>
            <w:tcW w:w="575"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男</w:t>
            </w:r>
          </w:p>
        </w:tc>
        <w:tc>
          <w:tcPr>
            <w:tcW w:w="87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否</w:t>
            </w:r>
          </w:p>
        </w:tc>
        <w:tc>
          <w:tcPr>
            <w:tcW w:w="1383"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1969年3月</w:t>
            </w:r>
          </w:p>
        </w:tc>
        <w:tc>
          <w:tcPr>
            <w:tcW w:w="161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2021.12</w:t>
            </w:r>
          </w:p>
        </w:tc>
        <w:tc>
          <w:tcPr>
            <w:tcW w:w="167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lang w:val="en-US" w:eastAsia="zh-CN"/>
              </w:rPr>
              <w:t>至今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973"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葛斌峰</w:t>
            </w:r>
          </w:p>
        </w:tc>
        <w:tc>
          <w:tcPr>
            <w:tcW w:w="142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职工董事</w:t>
            </w:r>
          </w:p>
        </w:tc>
        <w:tc>
          <w:tcPr>
            <w:tcW w:w="575"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男</w:t>
            </w:r>
          </w:p>
        </w:tc>
        <w:tc>
          <w:tcPr>
            <w:tcW w:w="87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否</w:t>
            </w:r>
          </w:p>
        </w:tc>
        <w:tc>
          <w:tcPr>
            <w:tcW w:w="1383"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1968年9月</w:t>
            </w:r>
          </w:p>
        </w:tc>
        <w:tc>
          <w:tcPr>
            <w:tcW w:w="161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2014.</w:t>
            </w:r>
            <w:r>
              <w:rPr>
                <w:rFonts w:hint="eastAsia" w:ascii="宋体" w:hAnsi="宋体" w:cs="宋体"/>
                <w:color w:val="auto"/>
                <w:highlight w:val="none"/>
                <w:lang w:val="en-US" w:eastAsia="zh-CN"/>
              </w:rPr>
              <w:t>0</w:t>
            </w:r>
            <w:r>
              <w:rPr>
                <w:rFonts w:hint="eastAsia" w:ascii="宋体" w:hAnsi="宋体" w:cs="宋体"/>
                <w:color w:val="auto"/>
                <w:highlight w:val="none"/>
              </w:rPr>
              <w:t>5</w:t>
            </w:r>
          </w:p>
        </w:tc>
        <w:tc>
          <w:tcPr>
            <w:tcW w:w="1677" w:type="dxa"/>
            <w:noWrap w:val="0"/>
            <w:vAlign w:val="center"/>
          </w:tcPr>
          <w:p>
            <w:pPr>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highlight w:val="none"/>
                <w:lang w:val="en-US" w:eastAsia="zh-CN"/>
              </w:rPr>
              <w:t>2024.09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973" w:type="dxa"/>
            <w:noWrap w:val="0"/>
            <w:vAlign w:val="center"/>
          </w:tcPr>
          <w:p>
            <w:pPr>
              <w:jc w:val="center"/>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陈可均</w:t>
            </w:r>
          </w:p>
        </w:tc>
        <w:tc>
          <w:tcPr>
            <w:tcW w:w="142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职工董事</w:t>
            </w:r>
          </w:p>
        </w:tc>
        <w:tc>
          <w:tcPr>
            <w:tcW w:w="575"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男</w:t>
            </w:r>
          </w:p>
        </w:tc>
        <w:tc>
          <w:tcPr>
            <w:tcW w:w="87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否</w:t>
            </w:r>
          </w:p>
        </w:tc>
        <w:tc>
          <w:tcPr>
            <w:tcW w:w="1383" w:type="dxa"/>
            <w:noWrap w:val="0"/>
            <w:vAlign w:val="center"/>
          </w:tcPr>
          <w:p>
            <w:pPr>
              <w:jc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1968年5月</w:t>
            </w:r>
          </w:p>
        </w:tc>
        <w:tc>
          <w:tcPr>
            <w:tcW w:w="1617" w:type="dxa"/>
            <w:noWrap w:val="0"/>
            <w:vAlign w:val="center"/>
          </w:tcPr>
          <w:p>
            <w:pPr>
              <w:jc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2024.09</w:t>
            </w:r>
          </w:p>
        </w:tc>
        <w:tc>
          <w:tcPr>
            <w:tcW w:w="1677" w:type="dxa"/>
            <w:noWrap w:val="0"/>
            <w:vAlign w:val="center"/>
          </w:tcPr>
          <w:p>
            <w:pPr>
              <w:jc w:val="center"/>
              <w:rPr>
                <w:rFonts w:hint="default" w:ascii="宋体" w:hAnsi="宋体" w:cs="宋体"/>
                <w:color w:val="auto"/>
                <w:highlight w:val="none"/>
                <w:lang w:val="en-US" w:eastAsia="zh-CN"/>
              </w:rPr>
            </w:pPr>
            <w:r>
              <w:rPr>
                <w:rFonts w:hint="eastAsia" w:ascii="宋体" w:hAnsi="宋体" w:cs="宋体"/>
                <w:color w:val="auto"/>
                <w:highlight w:val="none"/>
                <w:lang w:val="en-US" w:eastAsia="zh-CN"/>
              </w:rPr>
              <w:t>至今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973"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方德亚</w:t>
            </w:r>
          </w:p>
        </w:tc>
        <w:tc>
          <w:tcPr>
            <w:tcW w:w="142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监事会主席</w:t>
            </w:r>
          </w:p>
        </w:tc>
        <w:tc>
          <w:tcPr>
            <w:tcW w:w="575"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男</w:t>
            </w:r>
          </w:p>
        </w:tc>
        <w:tc>
          <w:tcPr>
            <w:tcW w:w="87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否</w:t>
            </w:r>
          </w:p>
        </w:tc>
        <w:tc>
          <w:tcPr>
            <w:tcW w:w="1383"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1974年3月</w:t>
            </w:r>
          </w:p>
        </w:tc>
        <w:tc>
          <w:tcPr>
            <w:tcW w:w="161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2021.12</w:t>
            </w:r>
          </w:p>
        </w:tc>
        <w:tc>
          <w:tcPr>
            <w:tcW w:w="1677" w:type="dxa"/>
            <w:noWrap w:val="0"/>
            <w:vAlign w:val="center"/>
          </w:tcPr>
          <w:p>
            <w:pPr>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highlight w:val="none"/>
                <w:lang w:val="en-US" w:eastAsia="zh-CN"/>
              </w:rPr>
              <w:t>2024.09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0" w:hRule="atLeast"/>
        </w:trPr>
        <w:tc>
          <w:tcPr>
            <w:tcW w:w="973" w:type="dxa"/>
            <w:noWrap w:val="0"/>
            <w:vAlign w:val="center"/>
          </w:tcPr>
          <w:p>
            <w:pPr>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付  洁</w:t>
            </w:r>
          </w:p>
        </w:tc>
        <w:tc>
          <w:tcPr>
            <w:tcW w:w="1427" w:type="dxa"/>
            <w:noWrap w:val="0"/>
            <w:vAlign w:val="center"/>
          </w:tcPr>
          <w:p>
            <w:pPr>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监事会主席</w:t>
            </w:r>
          </w:p>
        </w:tc>
        <w:tc>
          <w:tcPr>
            <w:tcW w:w="575" w:type="dxa"/>
            <w:noWrap w:val="0"/>
            <w:vAlign w:val="center"/>
          </w:tcPr>
          <w:p>
            <w:pPr>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女</w:t>
            </w:r>
          </w:p>
        </w:tc>
        <w:tc>
          <w:tcPr>
            <w:tcW w:w="877" w:type="dxa"/>
            <w:noWrap w:val="0"/>
            <w:vAlign w:val="center"/>
          </w:tcPr>
          <w:p>
            <w:pPr>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否</w:t>
            </w:r>
          </w:p>
        </w:tc>
        <w:tc>
          <w:tcPr>
            <w:tcW w:w="1383" w:type="dxa"/>
            <w:noWrap w:val="0"/>
            <w:vAlign w:val="center"/>
          </w:tcPr>
          <w:p>
            <w:pPr>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1981年4月</w:t>
            </w:r>
          </w:p>
        </w:tc>
        <w:tc>
          <w:tcPr>
            <w:tcW w:w="1617" w:type="dxa"/>
            <w:noWrap w:val="0"/>
            <w:vAlign w:val="center"/>
          </w:tcPr>
          <w:p>
            <w:pPr>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2024.09</w:t>
            </w:r>
          </w:p>
        </w:tc>
        <w:tc>
          <w:tcPr>
            <w:tcW w:w="1677" w:type="dxa"/>
            <w:noWrap w:val="0"/>
            <w:vAlign w:val="center"/>
          </w:tcPr>
          <w:p>
            <w:pPr>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2025.02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973"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闫祉宇</w:t>
            </w:r>
          </w:p>
        </w:tc>
        <w:tc>
          <w:tcPr>
            <w:tcW w:w="142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监事</w:t>
            </w:r>
          </w:p>
        </w:tc>
        <w:tc>
          <w:tcPr>
            <w:tcW w:w="575"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男</w:t>
            </w:r>
          </w:p>
        </w:tc>
        <w:tc>
          <w:tcPr>
            <w:tcW w:w="87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否</w:t>
            </w:r>
          </w:p>
        </w:tc>
        <w:tc>
          <w:tcPr>
            <w:tcW w:w="1383"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1972年2月</w:t>
            </w:r>
          </w:p>
        </w:tc>
        <w:tc>
          <w:tcPr>
            <w:tcW w:w="161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2021.</w:t>
            </w:r>
            <w:r>
              <w:rPr>
                <w:rFonts w:hint="eastAsia" w:ascii="宋体" w:hAnsi="宋体" w:cs="宋体"/>
                <w:color w:val="auto"/>
                <w:highlight w:val="none"/>
                <w:lang w:val="en-US" w:eastAsia="zh-CN"/>
              </w:rPr>
              <w:t>0</w:t>
            </w:r>
            <w:r>
              <w:rPr>
                <w:rFonts w:hint="eastAsia" w:ascii="宋体" w:hAnsi="宋体" w:cs="宋体"/>
                <w:color w:val="auto"/>
                <w:highlight w:val="none"/>
              </w:rPr>
              <w:t>9</w:t>
            </w:r>
          </w:p>
        </w:tc>
        <w:tc>
          <w:tcPr>
            <w:tcW w:w="167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2025.02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973"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范德胜</w:t>
            </w:r>
          </w:p>
        </w:tc>
        <w:tc>
          <w:tcPr>
            <w:tcW w:w="1427" w:type="dxa"/>
            <w:noWrap w:val="0"/>
            <w:vAlign w:val="center"/>
          </w:tcPr>
          <w:p>
            <w:pPr>
              <w:jc w:val="center"/>
              <w:rPr>
                <w:rFonts w:hint="eastAsia" w:ascii="宋体" w:hAnsi="宋体" w:cs="宋体"/>
                <w:color w:val="auto"/>
                <w:highlight w:val="none"/>
              </w:rPr>
            </w:pPr>
            <w:r>
              <w:rPr>
                <w:rFonts w:hint="eastAsia" w:ascii="宋体" w:hAnsi="宋体" w:cs="宋体"/>
                <w:color w:val="auto"/>
                <w:highlight w:val="none"/>
              </w:rPr>
              <w:t>监事</w:t>
            </w:r>
          </w:p>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（职工监事）</w:t>
            </w:r>
          </w:p>
        </w:tc>
        <w:tc>
          <w:tcPr>
            <w:tcW w:w="575"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男</w:t>
            </w:r>
          </w:p>
        </w:tc>
        <w:tc>
          <w:tcPr>
            <w:tcW w:w="87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否</w:t>
            </w:r>
          </w:p>
        </w:tc>
        <w:tc>
          <w:tcPr>
            <w:tcW w:w="1383"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1969年2月</w:t>
            </w:r>
          </w:p>
        </w:tc>
        <w:tc>
          <w:tcPr>
            <w:tcW w:w="161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2014.</w:t>
            </w:r>
            <w:r>
              <w:rPr>
                <w:rFonts w:hint="eastAsia" w:ascii="宋体" w:hAnsi="宋体" w:cs="宋体"/>
                <w:color w:val="auto"/>
                <w:highlight w:val="none"/>
                <w:lang w:val="en-US" w:eastAsia="zh-CN"/>
              </w:rPr>
              <w:t>0</w:t>
            </w:r>
            <w:r>
              <w:rPr>
                <w:rFonts w:hint="eastAsia" w:ascii="宋体" w:hAnsi="宋体" w:cs="宋体"/>
                <w:color w:val="auto"/>
                <w:highlight w:val="none"/>
              </w:rPr>
              <w:t>5</w:t>
            </w:r>
          </w:p>
        </w:tc>
        <w:tc>
          <w:tcPr>
            <w:tcW w:w="167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2025.02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973" w:type="dxa"/>
            <w:noWrap w:val="0"/>
            <w:vAlign w:val="center"/>
          </w:tcPr>
          <w:p>
            <w:pPr>
              <w:widowControl/>
              <w:jc w:val="center"/>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highlight w:val="none"/>
              </w:rPr>
              <w:t>吕  峰</w:t>
            </w:r>
          </w:p>
        </w:tc>
        <w:tc>
          <w:tcPr>
            <w:tcW w:w="142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总经理</w:t>
            </w:r>
          </w:p>
        </w:tc>
        <w:tc>
          <w:tcPr>
            <w:tcW w:w="575"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男</w:t>
            </w:r>
          </w:p>
        </w:tc>
        <w:tc>
          <w:tcPr>
            <w:tcW w:w="87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否</w:t>
            </w:r>
          </w:p>
        </w:tc>
        <w:tc>
          <w:tcPr>
            <w:tcW w:w="1383" w:type="dxa"/>
            <w:noWrap w:val="0"/>
            <w:vAlign w:val="center"/>
          </w:tcPr>
          <w:p>
            <w:pPr>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1969年10月</w:t>
            </w:r>
          </w:p>
        </w:tc>
        <w:tc>
          <w:tcPr>
            <w:tcW w:w="1617" w:type="dxa"/>
            <w:noWrap w:val="0"/>
            <w:vAlign w:val="center"/>
          </w:tcPr>
          <w:p>
            <w:pPr>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2022.10</w:t>
            </w:r>
          </w:p>
        </w:tc>
        <w:tc>
          <w:tcPr>
            <w:tcW w:w="1677" w:type="dxa"/>
            <w:noWrap w:val="0"/>
            <w:vAlign w:val="center"/>
          </w:tcPr>
          <w:p>
            <w:pPr>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highlight w:val="none"/>
                <w:lang w:val="en-US" w:eastAsia="zh-CN"/>
              </w:rPr>
              <w:t>2024.10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973" w:type="dxa"/>
            <w:noWrap w:val="0"/>
            <w:vAlign w:val="center"/>
          </w:tcPr>
          <w:p>
            <w:pPr>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朱仕祥</w:t>
            </w:r>
          </w:p>
        </w:tc>
        <w:tc>
          <w:tcPr>
            <w:tcW w:w="1427" w:type="dxa"/>
            <w:noWrap w:val="0"/>
            <w:vAlign w:val="center"/>
          </w:tcPr>
          <w:p>
            <w:pPr>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总经理</w:t>
            </w:r>
          </w:p>
        </w:tc>
        <w:tc>
          <w:tcPr>
            <w:tcW w:w="575"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男</w:t>
            </w:r>
          </w:p>
        </w:tc>
        <w:tc>
          <w:tcPr>
            <w:tcW w:w="87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否</w:t>
            </w:r>
          </w:p>
        </w:tc>
        <w:tc>
          <w:tcPr>
            <w:tcW w:w="1383" w:type="dxa"/>
            <w:noWrap w:val="0"/>
            <w:vAlign w:val="center"/>
          </w:tcPr>
          <w:p>
            <w:pPr>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1976年5月</w:t>
            </w:r>
          </w:p>
        </w:tc>
        <w:tc>
          <w:tcPr>
            <w:tcW w:w="1617" w:type="dxa"/>
            <w:noWrap w:val="0"/>
            <w:vAlign w:val="center"/>
          </w:tcPr>
          <w:p>
            <w:pPr>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2024.10</w:t>
            </w:r>
          </w:p>
        </w:tc>
        <w:tc>
          <w:tcPr>
            <w:tcW w:w="1677" w:type="dxa"/>
            <w:noWrap w:val="0"/>
            <w:vAlign w:val="center"/>
          </w:tcPr>
          <w:p>
            <w:pPr>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至今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973"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叶  飞</w:t>
            </w:r>
          </w:p>
        </w:tc>
        <w:tc>
          <w:tcPr>
            <w:tcW w:w="142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副总经理</w:t>
            </w:r>
          </w:p>
        </w:tc>
        <w:tc>
          <w:tcPr>
            <w:tcW w:w="575"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男</w:t>
            </w:r>
          </w:p>
        </w:tc>
        <w:tc>
          <w:tcPr>
            <w:tcW w:w="87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否</w:t>
            </w:r>
          </w:p>
        </w:tc>
        <w:tc>
          <w:tcPr>
            <w:tcW w:w="1383"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1964年9月</w:t>
            </w:r>
          </w:p>
        </w:tc>
        <w:tc>
          <w:tcPr>
            <w:tcW w:w="161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2021.</w:t>
            </w:r>
            <w:r>
              <w:rPr>
                <w:rFonts w:hint="eastAsia" w:ascii="宋体" w:hAnsi="宋体" w:cs="宋体"/>
                <w:color w:val="auto"/>
                <w:highlight w:val="none"/>
                <w:lang w:val="en-US" w:eastAsia="zh-CN"/>
              </w:rPr>
              <w:t>08</w:t>
            </w:r>
          </w:p>
        </w:tc>
        <w:tc>
          <w:tcPr>
            <w:tcW w:w="1677" w:type="dxa"/>
            <w:noWrap w:val="0"/>
            <w:vAlign w:val="center"/>
          </w:tcPr>
          <w:p>
            <w:pPr>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highlight w:val="none"/>
                <w:lang w:val="en-US" w:eastAsia="zh-CN"/>
              </w:rPr>
              <w:t>2024.10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973"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李东麟</w:t>
            </w:r>
          </w:p>
        </w:tc>
        <w:tc>
          <w:tcPr>
            <w:tcW w:w="142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副总经理</w:t>
            </w:r>
          </w:p>
        </w:tc>
        <w:tc>
          <w:tcPr>
            <w:tcW w:w="575"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男</w:t>
            </w:r>
          </w:p>
        </w:tc>
        <w:tc>
          <w:tcPr>
            <w:tcW w:w="87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否</w:t>
            </w:r>
          </w:p>
        </w:tc>
        <w:tc>
          <w:tcPr>
            <w:tcW w:w="1383"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1974年4月</w:t>
            </w:r>
          </w:p>
        </w:tc>
        <w:tc>
          <w:tcPr>
            <w:tcW w:w="1617" w:type="dxa"/>
            <w:noWrap w:val="0"/>
            <w:vAlign w:val="center"/>
          </w:tcPr>
          <w:p>
            <w:pPr>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2021.</w:t>
            </w:r>
            <w:r>
              <w:rPr>
                <w:rFonts w:hint="eastAsia" w:ascii="宋体" w:hAnsi="宋体" w:cs="宋体"/>
                <w:color w:val="auto"/>
                <w:highlight w:val="none"/>
                <w:lang w:val="en-US" w:eastAsia="zh-CN"/>
              </w:rPr>
              <w:t>10</w:t>
            </w:r>
          </w:p>
        </w:tc>
        <w:tc>
          <w:tcPr>
            <w:tcW w:w="167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lang w:val="en-US" w:eastAsia="zh-CN"/>
              </w:rPr>
              <w:t>至今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973" w:type="dxa"/>
            <w:noWrap w:val="0"/>
            <w:vAlign w:val="center"/>
          </w:tcPr>
          <w:p>
            <w:pPr>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highlight w:val="none"/>
                <w:lang w:val="en-US" w:eastAsia="zh-CN"/>
              </w:rPr>
              <w:t>杨秀勇</w:t>
            </w:r>
          </w:p>
        </w:tc>
        <w:tc>
          <w:tcPr>
            <w:tcW w:w="142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副总经理</w:t>
            </w:r>
          </w:p>
        </w:tc>
        <w:tc>
          <w:tcPr>
            <w:tcW w:w="575"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男</w:t>
            </w:r>
          </w:p>
        </w:tc>
        <w:tc>
          <w:tcPr>
            <w:tcW w:w="87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否</w:t>
            </w:r>
          </w:p>
        </w:tc>
        <w:tc>
          <w:tcPr>
            <w:tcW w:w="1383"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lang w:val="en-US" w:eastAsia="zh-CN"/>
              </w:rPr>
              <w:t>1971年12月</w:t>
            </w:r>
          </w:p>
        </w:tc>
        <w:tc>
          <w:tcPr>
            <w:tcW w:w="1617" w:type="dxa"/>
            <w:noWrap w:val="0"/>
            <w:vAlign w:val="center"/>
          </w:tcPr>
          <w:p>
            <w:pPr>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highlight w:val="none"/>
                <w:lang w:val="en-US" w:eastAsia="zh-CN"/>
              </w:rPr>
              <w:t>2023.07</w:t>
            </w:r>
          </w:p>
        </w:tc>
        <w:tc>
          <w:tcPr>
            <w:tcW w:w="167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lang w:val="en-US" w:eastAsia="zh-CN"/>
              </w:rPr>
              <w:t>至今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973"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lang w:val="en-US" w:eastAsia="zh-CN"/>
              </w:rPr>
              <w:t>瞿  进</w:t>
            </w:r>
          </w:p>
        </w:tc>
        <w:tc>
          <w:tcPr>
            <w:tcW w:w="142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副总经理</w:t>
            </w:r>
          </w:p>
        </w:tc>
        <w:tc>
          <w:tcPr>
            <w:tcW w:w="575"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男</w:t>
            </w:r>
          </w:p>
        </w:tc>
        <w:tc>
          <w:tcPr>
            <w:tcW w:w="87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否</w:t>
            </w:r>
          </w:p>
        </w:tc>
        <w:tc>
          <w:tcPr>
            <w:tcW w:w="1383"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lang w:val="en-US" w:eastAsia="zh-CN"/>
              </w:rPr>
              <w:t>1976年5月</w:t>
            </w:r>
          </w:p>
        </w:tc>
        <w:tc>
          <w:tcPr>
            <w:tcW w:w="161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lang w:val="en-US" w:eastAsia="zh-CN"/>
              </w:rPr>
              <w:t>2023.07</w:t>
            </w:r>
          </w:p>
        </w:tc>
        <w:tc>
          <w:tcPr>
            <w:tcW w:w="167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lang w:val="en-US" w:eastAsia="zh-CN"/>
              </w:rPr>
              <w:t>至今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973"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黄雄军</w:t>
            </w:r>
          </w:p>
        </w:tc>
        <w:tc>
          <w:tcPr>
            <w:tcW w:w="142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总会计师</w:t>
            </w:r>
          </w:p>
        </w:tc>
        <w:tc>
          <w:tcPr>
            <w:tcW w:w="575"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男</w:t>
            </w:r>
          </w:p>
        </w:tc>
        <w:tc>
          <w:tcPr>
            <w:tcW w:w="87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否</w:t>
            </w:r>
          </w:p>
        </w:tc>
        <w:tc>
          <w:tcPr>
            <w:tcW w:w="1383"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1971年11月</w:t>
            </w:r>
          </w:p>
        </w:tc>
        <w:tc>
          <w:tcPr>
            <w:tcW w:w="161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2022.10</w:t>
            </w:r>
          </w:p>
        </w:tc>
        <w:tc>
          <w:tcPr>
            <w:tcW w:w="1677" w:type="dxa"/>
            <w:noWrap w:val="0"/>
            <w:vAlign w:val="center"/>
          </w:tcPr>
          <w:p>
            <w:pPr>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highlight w:val="none"/>
                <w:lang w:val="en-US" w:eastAsia="zh-CN"/>
              </w:rPr>
              <w:t>2025.01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973" w:type="dxa"/>
            <w:noWrap w:val="0"/>
            <w:vAlign w:val="center"/>
          </w:tcPr>
          <w:p>
            <w:pPr>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马梦萧</w:t>
            </w:r>
          </w:p>
        </w:tc>
        <w:tc>
          <w:tcPr>
            <w:tcW w:w="142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总会计师</w:t>
            </w:r>
          </w:p>
        </w:tc>
        <w:tc>
          <w:tcPr>
            <w:tcW w:w="575"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男</w:t>
            </w:r>
          </w:p>
        </w:tc>
        <w:tc>
          <w:tcPr>
            <w:tcW w:w="87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否</w:t>
            </w:r>
          </w:p>
        </w:tc>
        <w:tc>
          <w:tcPr>
            <w:tcW w:w="1383" w:type="dxa"/>
            <w:noWrap w:val="0"/>
            <w:vAlign w:val="center"/>
          </w:tcPr>
          <w:p>
            <w:pPr>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1975年12月</w:t>
            </w:r>
          </w:p>
        </w:tc>
        <w:tc>
          <w:tcPr>
            <w:tcW w:w="1617" w:type="dxa"/>
            <w:noWrap w:val="0"/>
            <w:vAlign w:val="center"/>
          </w:tcPr>
          <w:p>
            <w:pPr>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2025.01</w:t>
            </w:r>
          </w:p>
        </w:tc>
        <w:tc>
          <w:tcPr>
            <w:tcW w:w="1677" w:type="dxa"/>
            <w:noWrap w:val="0"/>
            <w:vAlign w:val="center"/>
          </w:tcPr>
          <w:p>
            <w:pPr>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至今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973" w:type="dxa"/>
            <w:noWrap w:val="0"/>
            <w:vAlign w:val="center"/>
          </w:tcPr>
          <w:p>
            <w:pPr>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张  珂</w:t>
            </w:r>
          </w:p>
        </w:tc>
        <w:tc>
          <w:tcPr>
            <w:tcW w:w="1427" w:type="dxa"/>
            <w:noWrap w:val="0"/>
            <w:vAlign w:val="center"/>
          </w:tcPr>
          <w:p>
            <w:pPr>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副总经理</w:t>
            </w:r>
          </w:p>
        </w:tc>
        <w:tc>
          <w:tcPr>
            <w:tcW w:w="575"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男</w:t>
            </w:r>
          </w:p>
        </w:tc>
        <w:tc>
          <w:tcPr>
            <w:tcW w:w="87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否</w:t>
            </w:r>
          </w:p>
        </w:tc>
        <w:tc>
          <w:tcPr>
            <w:tcW w:w="1383" w:type="dxa"/>
            <w:noWrap w:val="0"/>
            <w:vAlign w:val="center"/>
          </w:tcPr>
          <w:p>
            <w:pPr>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1969年3月</w:t>
            </w:r>
          </w:p>
        </w:tc>
        <w:tc>
          <w:tcPr>
            <w:tcW w:w="1617" w:type="dxa"/>
            <w:noWrap w:val="0"/>
            <w:vAlign w:val="center"/>
          </w:tcPr>
          <w:p>
            <w:pPr>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2025.03</w:t>
            </w:r>
          </w:p>
        </w:tc>
        <w:tc>
          <w:tcPr>
            <w:tcW w:w="1677" w:type="dxa"/>
            <w:noWrap w:val="0"/>
            <w:vAlign w:val="center"/>
          </w:tcPr>
          <w:p>
            <w:pPr>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至今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973"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陈兴鹏</w:t>
            </w:r>
          </w:p>
        </w:tc>
        <w:tc>
          <w:tcPr>
            <w:tcW w:w="142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董事会秘书</w:t>
            </w:r>
          </w:p>
        </w:tc>
        <w:tc>
          <w:tcPr>
            <w:tcW w:w="575"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男</w:t>
            </w:r>
          </w:p>
        </w:tc>
        <w:tc>
          <w:tcPr>
            <w:tcW w:w="87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否</w:t>
            </w:r>
          </w:p>
        </w:tc>
        <w:tc>
          <w:tcPr>
            <w:tcW w:w="1383"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19</w:t>
            </w:r>
            <w:r>
              <w:rPr>
                <w:rFonts w:hint="eastAsia" w:ascii="宋体" w:hAnsi="宋体" w:cs="宋体"/>
                <w:color w:val="auto"/>
                <w:highlight w:val="none"/>
                <w:lang w:val="en-US" w:eastAsia="zh-CN"/>
              </w:rPr>
              <w:t>69</w:t>
            </w:r>
            <w:r>
              <w:rPr>
                <w:rFonts w:hint="eastAsia" w:ascii="宋体" w:hAnsi="宋体" w:cs="宋体"/>
                <w:color w:val="auto"/>
                <w:highlight w:val="none"/>
              </w:rPr>
              <w:t>年</w:t>
            </w:r>
            <w:r>
              <w:rPr>
                <w:rFonts w:hint="eastAsia" w:ascii="宋体" w:hAnsi="宋体" w:cs="宋体"/>
                <w:color w:val="auto"/>
                <w:highlight w:val="none"/>
                <w:lang w:val="en-US" w:eastAsia="zh-CN"/>
              </w:rPr>
              <w:t>10</w:t>
            </w:r>
            <w:r>
              <w:rPr>
                <w:rFonts w:hint="eastAsia" w:ascii="宋体" w:hAnsi="宋体" w:cs="宋体"/>
                <w:color w:val="auto"/>
                <w:highlight w:val="none"/>
              </w:rPr>
              <w:t>月</w:t>
            </w:r>
          </w:p>
        </w:tc>
        <w:tc>
          <w:tcPr>
            <w:tcW w:w="161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20</w:t>
            </w:r>
            <w:r>
              <w:rPr>
                <w:rFonts w:hint="eastAsia" w:ascii="宋体" w:hAnsi="宋体" w:cs="宋体"/>
                <w:color w:val="auto"/>
                <w:highlight w:val="none"/>
                <w:lang w:val="en-US" w:eastAsia="zh-CN"/>
              </w:rPr>
              <w:t>23</w:t>
            </w:r>
            <w:r>
              <w:rPr>
                <w:rFonts w:hint="eastAsia" w:ascii="宋体" w:hAnsi="宋体" w:cs="宋体"/>
                <w:color w:val="auto"/>
                <w:highlight w:val="none"/>
              </w:rPr>
              <w:t>.</w:t>
            </w:r>
            <w:r>
              <w:rPr>
                <w:rFonts w:hint="eastAsia" w:ascii="宋体" w:hAnsi="宋体" w:cs="宋体"/>
                <w:color w:val="auto"/>
                <w:highlight w:val="none"/>
                <w:lang w:val="en-US" w:eastAsia="zh-CN"/>
              </w:rPr>
              <w:t>07</w:t>
            </w:r>
          </w:p>
        </w:tc>
        <w:tc>
          <w:tcPr>
            <w:tcW w:w="1677"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highlight w:val="none"/>
                <w:lang w:val="en-US" w:eastAsia="zh-CN"/>
              </w:rPr>
              <w:t>至今</w:t>
            </w:r>
          </w:p>
        </w:tc>
      </w:tr>
    </w:tbl>
    <w:p>
      <w:pPr>
        <w:pStyle w:val="15"/>
        <w:keepNext w:val="0"/>
        <w:keepLines w:val="0"/>
        <w:pageBreakBefore w:val="0"/>
        <w:kinsoku/>
        <w:wordWrap/>
        <w:overflowPunct/>
        <w:topLinePunct w:val="0"/>
        <w:autoSpaceDE/>
        <w:autoSpaceDN/>
        <w:bidi w:val="0"/>
        <w:adjustRightInd/>
        <w:spacing w:line="400" w:lineRule="exact"/>
        <w:jc w:val="left"/>
        <w:textAlignment w:val="auto"/>
        <w:rPr>
          <w:rFonts w:hint="eastAsia"/>
          <w:color w:val="auto"/>
          <w:highlight w:val="none"/>
        </w:rPr>
      </w:pPr>
    </w:p>
    <w:p>
      <w:pPr>
        <w:keepNext w:val="0"/>
        <w:keepLines w:val="0"/>
        <w:pageBreakBefore w:val="0"/>
        <w:numPr>
          <w:ilvl w:val="0"/>
          <w:numId w:val="8"/>
        </w:numPr>
        <w:kinsoku/>
        <w:wordWrap/>
        <w:overflowPunct/>
        <w:topLinePunct w:val="0"/>
        <w:autoSpaceDE/>
        <w:autoSpaceDN/>
        <w:bidi w:val="0"/>
        <w:adjustRightInd/>
        <w:spacing w:line="400" w:lineRule="exact"/>
        <w:ind w:firstLine="482" w:firstLineChars="200"/>
        <w:jc w:val="left"/>
        <w:textAlignment w:val="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董事、监事、高级管理人员与股东之间的关系</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公司现任董事朱绍纯、</w:t>
      </w:r>
      <w:r>
        <w:rPr>
          <w:rFonts w:hint="eastAsia" w:ascii="宋体" w:hAnsi="宋体" w:cs="宋体"/>
          <w:color w:val="auto"/>
          <w:sz w:val="24"/>
          <w:szCs w:val="24"/>
          <w:highlight w:val="none"/>
          <w:lang w:val="en-US" w:eastAsia="zh-CN"/>
        </w:rPr>
        <w:t>朱仕祥</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郭厚亮、仇明</w:t>
      </w:r>
      <w:r>
        <w:rPr>
          <w:rFonts w:hint="eastAsia" w:ascii="宋体" w:hAnsi="宋体" w:cs="宋体"/>
          <w:color w:val="auto"/>
          <w:sz w:val="24"/>
          <w:szCs w:val="24"/>
          <w:highlight w:val="none"/>
        </w:rPr>
        <w:t>、黄青华、</w:t>
      </w:r>
      <w:r>
        <w:rPr>
          <w:rFonts w:hint="eastAsia" w:ascii="宋体" w:hAnsi="宋体" w:cs="宋体"/>
          <w:color w:val="auto"/>
          <w:sz w:val="24"/>
          <w:szCs w:val="24"/>
          <w:highlight w:val="none"/>
          <w:lang w:val="en-US" w:eastAsia="zh-CN"/>
        </w:rPr>
        <w:t>王浩</w:t>
      </w:r>
      <w:r>
        <w:rPr>
          <w:rFonts w:hint="eastAsia" w:ascii="宋体" w:hAnsi="宋体" w:cs="宋体"/>
          <w:color w:val="auto"/>
          <w:sz w:val="24"/>
          <w:szCs w:val="24"/>
          <w:highlight w:val="none"/>
        </w:rPr>
        <w:t>，现任高级管理人员</w:t>
      </w:r>
      <w:r>
        <w:rPr>
          <w:rFonts w:hint="eastAsia" w:ascii="宋体" w:hAnsi="宋体" w:cs="宋体"/>
          <w:color w:val="auto"/>
          <w:sz w:val="24"/>
          <w:szCs w:val="24"/>
          <w:highlight w:val="none"/>
          <w:lang w:val="en-US" w:eastAsia="zh-CN"/>
        </w:rPr>
        <w:t>朱仕祥</w:t>
      </w:r>
      <w:r>
        <w:rPr>
          <w:rFonts w:hint="eastAsia" w:ascii="宋体" w:hAnsi="宋体" w:cs="宋体"/>
          <w:color w:val="auto"/>
          <w:sz w:val="24"/>
          <w:szCs w:val="24"/>
          <w:highlight w:val="none"/>
        </w:rPr>
        <w:t>、李东麟、</w:t>
      </w:r>
      <w:r>
        <w:rPr>
          <w:rFonts w:hint="eastAsia" w:ascii="宋体" w:hAnsi="宋体" w:cs="宋体"/>
          <w:color w:val="auto"/>
          <w:sz w:val="24"/>
          <w:szCs w:val="24"/>
          <w:highlight w:val="none"/>
          <w:lang w:val="en-US" w:eastAsia="zh-CN"/>
        </w:rPr>
        <w:t>杨秀勇、瞿进、马梦萧</w:t>
      </w:r>
      <w:r>
        <w:rPr>
          <w:rFonts w:hint="eastAsia" w:ascii="宋体" w:hAnsi="宋体" w:cs="宋体"/>
          <w:color w:val="auto"/>
          <w:sz w:val="24"/>
          <w:szCs w:val="24"/>
          <w:highlight w:val="none"/>
        </w:rPr>
        <w:t>为股东国家电力投资集团有</w:t>
      </w:r>
      <w:r>
        <w:rPr>
          <w:rFonts w:hint="eastAsia" w:ascii="宋体" w:hAnsi="宋体" w:cs="宋体"/>
          <w:color w:val="auto"/>
          <w:sz w:val="24"/>
          <w:szCs w:val="24"/>
          <w:highlight w:val="none"/>
          <w:lang w:val="en-US" w:eastAsia="zh-CN"/>
        </w:rPr>
        <w:t>限公司推荐，贵州金元聘任，存在关联关</w:t>
      </w:r>
      <w:r>
        <w:rPr>
          <w:rFonts w:hint="eastAsia" w:ascii="宋体" w:hAnsi="宋体" w:cs="宋体"/>
          <w:color w:val="auto"/>
          <w:sz w:val="24"/>
          <w:szCs w:val="24"/>
          <w:highlight w:val="none"/>
        </w:rPr>
        <w:t>系。</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公司现任董事</w:t>
      </w:r>
      <w:r>
        <w:rPr>
          <w:rFonts w:hint="eastAsia" w:ascii="宋体" w:hAnsi="宋体" w:cs="宋体"/>
          <w:color w:val="auto"/>
          <w:sz w:val="24"/>
          <w:szCs w:val="24"/>
          <w:highlight w:val="none"/>
          <w:lang w:val="en-US" w:eastAsia="zh-CN"/>
        </w:rPr>
        <w:t>郭厚亮</w:t>
      </w:r>
      <w:r>
        <w:rPr>
          <w:rFonts w:hint="eastAsia" w:ascii="宋体" w:hAnsi="宋体" w:cs="宋体"/>
          <w:color w:val="auto"/>
          <w:sz w:val="24"/>
          <w:szCs w:val="24"/>
          <w:highlight w:val="none"/>
        </w:rPr>
        <w:t>、张珂、</w:t>
      </w:r>
      <w:r>
        <w:rPr>
          <w:rFonts w:hint="eastAsia" w:ascii="宋体" w:hAnsi="宋体" w:cs="宋体"/>
          <w:color w:val="auto"/>
          <w:sz w:val="24"/>
          <w:szCs w:val="24"/>
          <w:highlight w:val="none"/>
          <w:lang w:val="en-US" w:eastAsia="zh-CN"/>
        </w:rPr>
        <w:t>赵华邦</w:t>
      </w:r>
      <w:r>
        <w:rPr>
          <w:rFonts w:hint="eastAsia" w:ascii="宋体" w:hAnsi="宋体" w:cs="宋体"/>
          <w:color w:val="auto"/>
          <w:sz w:val="24"/>
          <w:szCs w:val="24"/>
          <w:highlight w:val="none"/>
        </w:rPr>
        <w:t>，现任高级管理人员</w:t>
      </w:r>
      <w:r>
        <w:rPr>
          <w:rFonts w:hint="eastAsia" w:ascii="宋体" w:hAnsi="宋体" w:cs="宋体"/>
          <w:color w:val="auto"/>
          <w:sz w:val="24"/>
          <w:szCs w:val="24"/>
          <w:highlight w:val="none"/>
          <w:lang w:val="en-US" w:eastAsia="zh-CN"/>
        </w:rPr>
        <w:t>张珂</w:t>
      </w:r>
      <w:r>
        <w:rPr>
          <w:rFonts w:hint="eastAsia" w:ascii="宋体" w:hAnsi="宋体" w:cs="宋体"/>
          <w:color w:val="auto"/>
          <w:sz w:val="24"/>
          <w:szCs w:val="24"/>
          <w:highlight w:val="none"/>
        </w:rPr>
        <w:t>为股东贵州</w:t>
      </w:r>
      <w:r>
        <w:rPr>
          <w:rFonts w:hint="eastAsia" w:ascii="宋体" w:hAnsi="宋体" w:cs="宋体"/>
          <w:color w:val="auto"/>
          <w:sz w:val="24"/>
          <w:szCs w:val="24"/>
          <w:highlight w:val="none"/>
          <w:lang w:val="en-US" w:eastAsia="zh-CN"/>
        </w:rPr>
        <w:t>能源</w:t>
      </w:r>
      <w:r>
        <w:rPr>
          <w:rFonts w:hint="eastAsia" w:ascii="宋体" w:hAnsi="宋体" w:cs="宋体"/>
          <w:color w:val="auto"/>
          <w:sz w:val="24"/>
          <w:szCs w:val="24"/>
          <w:highlight w:val="none"/>
        </w:rPr>
        <w:t>集团有限</w:t>
      </w:r>
      <w:r>
        <w:rPr>
          <w:rFonts w:hint="eastAsia" w:ascii="宋体" w:hAnsi="宋体" w:cs="宋体"/>
          <w:color w:val="auto"/>
          <w:sz w:val="24"/>
          <w:szCs w:val="24"/>
          <w:highlight w:val="none"/>
          <w:lang w:val="en-US" w:eastAsia="zh-CN"/>
        </w:rPr>
        <w:t>公司推荐，贵州金元聘任，存在关</w:t>
      </w:r>
      <w:r>
        <w:rPr>
          <w:rFonts w:hint="eastAsia" w:ascii="宋体" w:hAnsi="宋体" w:cs="宋体"/>
          <w:color w:val="auto"/>
          <w:sz w:val="24"/>
          <w:szCs w:val="24"/>
          <w:highlight w:val="none"/>
        </w:rPr>
        <w:t>联关系。</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rPr>
        <w:t>除前述情况外，公司董事、高级管理人员与股东之间均无关联关系</w:t>
      </w:r>
      <w:r>
        <w:rPr>
          <w:rFonts w:hint="eastAsia" w:ascii="宋体" w:hAnsi="宋体" w:cs="宋体"/>
          <w:color w:val="auto"/>
          <w:sz w:val="24"/>
          <w:szCs w:val="24"/>
          <w:highlight w:val="none"/>
          <w:lang w:eastAsia="zh-CN"/>
        </w:rPr>
        <w:t>。</w:t>
      </w:r>
    </w:p>
    <w:p>
      <w:pPr>
        <w:keepNext w:val="0"/>
        <w:keepLines w:val="0"/>
        <w:pageBreakBefore w:val="0"/>
        <w:widowControl w:val="0"/>
        <w:numPr>
          <w:ilvl w:val="0"/>
          <w:numId w:val="9"/>
        </w:numPr>
        <w:kinsoku/>
        <w:wordWrap/>
        <w:overflowPunct/>
        <w:topLinePunct w:val="0"/>
        <w:autoSpaceDE/>
        <w:autoSpaceDN/>
        <w:bidi w:val="0"/>
        <w:adjustRightInd/>
        <w:snapToGrid/>
        <w:spacing w:line="400" w:lineRule="exact"/>
        <w:ind w:firstLine="482" w:firstLineChars="200"/>
        <w:jc w:val="left"/>
        <w:textAlignment w:val="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在任董事、监事、高管主要工作经历</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（一）董事</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朱绍纯，高级政工师。曾任国家电投集团贵州金元集团股份有限公司（以下简称贵州金元）副总经理；贵州金元总经理、党委副书记、董事。现任贵州金元董事长、党委书记。</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施文刚，高级工程师。曾任盘江投资控股（集团）有限公司副董事长；六枝工矿（集团）有限责任公司</w:t>
      </w:r>
      <w:r>
        <w:rPr>
          <w:rFonts w:hint="eastAsia" w:ascii="宋体" w:hAnsi="宋体" w:eastAsia="宋体" w:cs="宋体"/>
          <w:color w:val="auto"/>
          <w:kern w:val="2"/>
          <w:sz w:val="24"/>
          <w:szCs w:val="24"/>
          <w:highlight w:val="none"/>
          <w:lang w:val="en-US" w:eastAsia="zh-CN" w:bidi="ar-SA"/>
        </w:rPr>
        <w:t>副董事长、总经理、董事长、党委书记；</w:t>
      </w:r>
      <w:r>
        <w:rPr>
          <w:rFonts w:hint="eastAsia" w:cs="宋体"/>
          <w:color w:val="auto"/>
          <w:kern w:val="2"/>
          <w:sz w:val="24"/>
          <w:szCs w:val="24"/>
          <w:highlight w:val="none"/>
          <w:lang w:val="en-US" w:eastAsia="zh-CN" w:bidi="ar-SA"/>
        </w:rPr>
        <w:t>贵州金元</w:t>
      </w:r>
      <w:r>
        <w:rPr>
          <w:rFonts w:hint="eastAsia" w:ascii="宋体" w:hAnsi="宋体" w:eastAsia="宋体" w:cs="宋体"/>
          <w:color w:val="auto"/>
          <w:kern w:val="2"/>
          <w:sz w:val="24"/>
          <w:szCs w:val="24"/>
          <w:highlight w:val="none"/>
          <w:lang w:val="en-US" w:eastAsia="zh-CN" w:bidi="ar-SA"/>
        </w:rPr>
        <w:t>副董事</w:t>
      </w:r>
      <w:r>
        <w:rPr>
          <w:rFonts w:hint="eastAsia" w:ascii="宋体" w:hAnsi="宋体" w:eastAsia="宋体" w:cs="宋体"/>
          <w:color w:val="auto"/>
          <w:sz w:val="24"/>
          <w:szCs w:val="24"/>
          <w:highlight w:val="none"/>
          <w:lang w:val="en-US" w:eastAsia="zh-CN"/>
        </w:rPr>
        <w:t>长、党委委员。目前已退休。</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郭厚亮，高级工程师。曾任贵州林东矿业集团有限责任公司党委副书记、副董事长、总经理；贵州林东煤业发展有限责任公司党委委员、总工程师、董事长。现任贵州金元副董事长、党委委员。</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吕  峰，正高级经济师。曾任吉林电力股份有限公司总工程师、副总经理、党委副书记、工会主席；国家</w:t>
      </w:r>
      <w:r>
        <w:rPr>
          <w:rFonts w:hint="eastAsia" w:ascii="Times New Roman" w:hAnsi="Times New Roman" w:eastAsia="宋体" w:cs="宋体"/>
          <w:color w:val="auto"/>
          <w:kern w:val="2"/>
          <w:sz w:val="24"/>
          <w:szCs w:val="24"/>
          <w:highlight w:val="none"/>
          <w:lang w:val="en-US" w:eastAsia="zh-CN" w:bidi="ar-SA"/>
        </w:rPr>
        <w:t>电力投资集团有限公司党组巡视组副组长；国家电力投资集团有限公司江西公司董事、总经理、党委副书记；贵州金元董事、总经理、党委副书记。目前已履新至国家电投江西公司。</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宋体" w:cs="宋体"/>
          <w:color w:val="auto"/>
          <w:kern w:val="2"/>
          <w:sz w:val="24"/>
          <w:szCs w:val="24"/>
          <w:highlight w:val="none"/>
          <w:lang w:val="en-US" w:eastAsia="zh-CN" w:bidi="ar-SA"/>
        </w:rPr>
      </w:pPr>
      <w:r>
        <w:rPr>
          <w:rFonts w:hint="eastAsia" w:ascii="Times New Roman" w:hAnsi="Times New Roman" w:eastAsia="宋体" w:cs="宋体"/>
          <w:color w:val="auto"/>
          <w:kern w:val="2"/>
          <w:sz w:val="24"/>
          <w:szCs w:val="24"/>
          <w:highlight w:val="none"/>
          <w:lang w:val="en-US" w:eastAsia="zh-CN" w:bidi="ar-SA"/>
        </w:rPr>
        <w:t>朱仕祥，工程师、正高级经济师。曾任国家电投集团河北电力有限公司总经济师；石家庄东方新能源有限公司总经济师；国家电投雄安能源有限公司总经济师；国家电投集团东方新能源股份有限公司副总经理，国家电投集团战略规划与发展部（改革办、专家委办公室）副主任。目前任贵州金元董事、总经理、党委委员。</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宋体" w:cs="宋体"/>
          <w:color w:val="auto"/>
          <w:kern w:val="2"/>
          <w:sz w:val="24"/>
          <w:szCs w:val="24"/>
          <w:highlight w:val="none"/>
          <w:lang w:val="en-US" w:eastAsia="zh-CN" w:bidi="ar-SA"/>
        </w:rPr>
      </w:pPr>
      <w:r>
        <w:rPr>
          <w:rFonts w:hint="eastAsia" w:ascii="Times New Roman" w:hAnsi="Times New Roman" w:eastAsia="宋体" w:cs="宋体"/>
          <w:color w:val="auto"/>
          <w:kern w:val="2"/>
          <w:sz w:val="24"/>
          <w:szCs w:val="24"/>
          <w:highlight w:val="none"/>
          <w:lang w:val="en-US" w:eastAsia="zh-CN" w:bidi="ar-SA"/>
        </w:rPr>
        <w:t>仇  明，正高级经济师。曾任中国联合重型燃气轮机技术有限公司党委书记、法人、总经理；国家电力投资集团有限公司战略规划部战略研究总监；国家电力投资集团有限公司专家委委员。现任国家电力投资集团有限公司专职董事、贵州金元董事。</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宋体" w:cs="宋体"/>
          <w:color w:val="auto"/>
          <w:kern w:val="2"/>
          <w:sz w:val="24"/>
          <w:szCs w:val="24"/>
          <w:highlight w:val="none"/>
          <w:lang w:val="en-US" w:eastAsia="zh-CN" w:bidi="ar-SA"/>
        </w:rPr>
      </w:pPr>
      <w:r>
        <w:rPr>
          <w:rFonts w:hint="eastAsia" w:ascii="Times New Roman" w:hAnsi="Times New Roman" w:eastAsia="宋体" w:cs="宋体"/>
          <w:color w:val="auto"/>
          <w:kern w:val="2"/>
          <w:sz w:val="24"/>
          <w:szCs w:val="24"/>
          <w:highlight w:val="none"/>
          <w:lang w:val="en-US" w:eastAsia="zh-CN" w:bidi="ar-SA"/>
        </w:rPr>
        <w:t>黄青华，正高级经济师。曾任中电投远达环保（集团）股份有限公司副总经理、董事、董事会秘书、总法律顾问；国家电投集团远达环保股份有限公司副总经理、董事会秘书、总法律顾问。现任国家电力投资集团有限公司专职董事、贵州金元董事。</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宋体" w:cs="宋体"/>
          <w:color w:val="auto"/>
          <w:kern w:val="2"/>
          <w:sz w:val="24"/>
          <w:szCs w:val="24"/>
          <w:highlight w:val="none"/>
          <w:lang w:val="en-US" w:eastAsia="zh-CN" w:bidi="ar-SA"/>
        </w:rPr>
      </w:pPr>
      <w:r>
        <w:rPr>
          <w:rFonts w:hint="eastAsia" w:ascii="Times New Roman" w:hAnsi="Times New Roman" w:eastAsia="宋体" w:cs="宋体"/>
          <w:color w:val="auto"/>
          <w:kern w:val="2"/>
          <w:sz w:val="24"/>
          <w:szCs w:val="24"/>
          <w:highlight w:val="none"/>
          <w:lang w:val="en-US" w:eastAsia="zh-CN" w:bidi="ar-SA"/>
        </w:rPr>
        <w:t>程东航，正高级工程师。曾任国家电投集团河南电力有限公司副总经理；贵州金元董事。现任国家电力投资集团有限公司专职董事、国家电投其他二级单位董事。</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宋体" w:cs="宋体"/>
          <w:color w:val="auto"/>
          <w:kern w:val="2"/>
          <w:sz w:val="24"/>
          <w:szCs w:val="24"/>
          <w:highlight w:val="none"/>
          <w:lang w:val="en-US" w:eastAsia="zh-CN" w:bidi="ar-SA"/>
        </w:rPr>
      </w:pPr>
      <w:r>
        <w:rPr>
          <w:rFonts w:hint="eastAsia" w:ascii="Times New Roman" w:hAnsi="Times New Roman" w:eastAsia="宋体" w:cs="宋体"/>
          <w:color w:val="auto"/>
          <w:kern w:val="2"/>
          <w:sz w:val="24"/>
          <w:szCs w:val="24"/>
          <w:highlight w:val="none"/>
          <w:lang w:val="en-US" w:eastAsia="zh-CN" w:bidi="ar-SA"/>
        </w:rPr>
        <w:t>王  浩，高级会计师。曾任国家电投集团东方能源副总会计师、董事会秘书；国家电投集团河北公司副总会计师。现任国家电力投资集团有限公司专职董事、贵州金元董事。</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宋体" w:cs="宋体"/>
          <w:color w:val="auto"/>
          <w:kern w:val="2"/>
          <w:sz w:val="24"/>
          <w:szCs w:val="24"/>
          <w:highlight w:val="none"/>
          <w:lang w:val="en-US" w:eastAsia="zh-CN" w:bidi="ar-SA"/>
        </w:rPr>
      </w:pPr>
      <w:r>
        <w:rPr>
          <w:rFonts w:hint="eastAsia" w:ascii="Times New Roman" w:hAnsi="Times New Roman" w:eastAsia="宋体" w:cs="宋体"/>
          <w:color w:val="auto"/>
          <w:kern w:val="2"/>
          <w:sz w:val="24"/>
          <w:szCs w:val="24"/>
          <w:highlight w:val="none"/>
          <w:lang w:val="en-US" w:eastAsia="zh-CN" w:bidi="ar-SA"/>
        </w:rPr>
        <w:t>赵华邦，高级工程师。曾任贵州乌江能源集团有限责任公司法律顾问、副总工程师兼风控审计部部长。现任贵州能源集团有限公司副总工程师、贵州金元董事。</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宋体" w:cs="宋体"/>
          <w:color w:val="auto"/>
          <w:kern w:val="2"/>
          <w:sz w:val="24"/>
          <w:szCs w:val="24"/>
          <w:highlight w:val="none"/>
          <w:lang w:val="en-US" w:eastAsia="zh-CN" w:bidi="ar-SA"/>
        </w:rPr>
      </w:pPr>
      <w:r>
        <w:rPr>
          <w:rFonts w:hint="eastAsia" w:ascii="Times New Roman" w:hAnsi="Times New Roman" w:eastAsia="宋体" w:cs="宋体"/>
          <w:color w:val="auto"/>
          <w:kern w:val="2"/>
          <w:sz w:val="24"/>
          <w:szCs w:val="24"/>
          <w:highlight w:val="none"/>
          <w:lang w:val="en-US" w:eastAsia="zh-CN" w:bidi="ar-SA"/>
        </w:rPr>
        <w:t>张  珂，高级工程师。曾任贵州盘江煤电集团有限责任公司电力事业部总经理，盘江资产管理有限公司董事长，公司监事会主席，贵州盘江电力投资有限公司党委副书记、总经理，贵州金元董事。现任贵州金元副总经理、董事。</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宋体" w:cs="宋体"/>
          <w:color w:val="auto"/>
          <w:kern w:val="2"/>
          <w:sz w:val="24"/>
          <w:szCs w:val="24"/>
          <w:highlight w:val="none"/>
          <w:lang w:val="en-US" w:eastAsia="zh-CN" w:bidi="ar-SA"/>
        </w:rPr>
      </w:pPr>
      <w:r>
        <w:rPr>
          <w:rFonts w:hint="eastAsia" w:ascii="Times New Roman" w:hAnsi="Times New Roman" w:eastAsia="宋体" w:cs="宋体"/>
          <w:color w:val="auto"/>
          <w:kern w:val="2"/>
          <w:sz w:val="24"/>
          <w:szCs w:val="24"/>
          <w:highlight w:val="none"/>
          <w:lang w:val="en-US" w:eastAsia="zh-CN" w:bidi="ar-SA"/>
        </w:rPr>
        <w:t>葛斌峰，高级工程师。曾任贵州西电电力股份有限公司董事长、总经理；贵州金元火电部主任、火电总监；贵州金元职工董事。现任贵州金元专职董事。</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宋体" w:cs="宋体"/>
          <w:color w:val="auto"/>
          <w:kern w:val="2"/>
          <w:sz w:val="24"/>
          <w:szCs w:val="24"/>
          <w:highlight w:val="none"/>
          <w:lang w:val="en-US" w:eastAsia="zh-CN" w:bidi="ar-SA"/>
        </w:rPr>
      </w:pPr>
      <w:r>
        <w:rPr>
          <w:rFonts w:hint="eastAsia" w:ascii="Times New Roman" w:hAnsi="Times New Roman" w:eastAsia="宋体" w:cs="宋体"/>
          <w:color w:val="auto"/>
          <w:kern w:val="2"/>
          <w:sz w:val="24"/>
          <w:szCs w:val="24"/>
          <w:highlight w:val="none"/>
          <w:lang w:val="en-US" w:eastAsia="zh-CN" w:bidi="ar-SA"/>
        </w:rPr>
        <w:t>陈可均，高级工程师。曾任贵州金元副总经理、党委委员。现任贵州金元党委副书记、工会主席,机关党委书记、集团公司党校贵州金元分校常务副校长，贵州金元职工董事。</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Times New Roman" w:hAnsi="Times New Roman" w:eastAsia="宋体" w:cs="宋体"/>
          <w:b/>
          <w:bCs/>
          <w:color w:val="auto"/>
          <w:kern w:val="2"/>
          <w:sz w:val="24"/>
          <w:szCs w:val="24"/>
          <w:highlight w:val="none"/>
          <w:lang w:val="en-US" w:eastAsia="zh-CN" w:bidi="ar-SA"/>
        </w:rPr>
      </w:pPr>
      <w:r>
        <w:rPr>
          <w:rFonts w:hint="eastAsia" w:cs="宋体"/>
          <w:b/>
          <w:bCs/>
          <w:color w:val="auto"/>
          <w:kern w:val="2"/>
          <w:sz w:val="24"/>
          <w:szCs w:val="24"/>
          <w:highlight w:val="none"/>
          <w:lang w:val="en-US" w:eastAsia="zh-CN" w:bidi="ar-SA"/>
        </w:rPr>
        <w:t>（二）</w:t>
      </w:r>
      <w:r>
        <w:rPr>
          <w:rFonts w:hint="eastAsia" w:ascii="Times New Roman" w:hAnsi="Times New Roman" w:eastAsia="宋体" w:cs="宋体"/>
          <w:b/>
          <w:bCs/>
          <w:color w:val="auto"/>
          <w:kern w:val="2"/>
          <w:sz w:val="24"/>
          <w:szCs w:val="24"/>
          <w:highlight w:val="none"/>
          <w:lang w:val="en-US" w:eastAsia="zh-CN" w:bidi="ar-SA"/>
        </w:rPr>
        <w:t>监事</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方德亚，审计师。曾任贵州盘江电投发电有限公司副总经理、</w:t>
      </w:r>
      <w:r>
        <w:rPr>
          <w:rFonts w:hint="eastAsia" w:ascii="宋体" w:hAnsi="宋体" w:cs="宋体"/>
          <w:color w:val="auto"/>
          <w:kern w:val="2"/>
          <w:sz w:val="24"/>
          <w:szCs w:val="24"/>
          <w:highlight w:val="none"/>
          <w:lang w:val="en-US" w:eastAsia="zh-CN" w:bidi="ar-SA"/>
        </w:rPr>
        <w:t>总会计师；</w:t>
      </w:r>
      <w:r>
        <w:rPr>
          <w:rFonts w:hint="eastAsia" w:ascii="宋体" w:hAnsi="宋体" w:eastAsia="宋体" w:cs="宋体"/>
          <w:color w:val="auto"/>
          <w:kern w:val="2"/>
          <w:sz w:val="24"/>
          <w:szCs w:val="24"/>
          <w:highlight w:val="none"/>
          <w:lang w:val="en-US" w:eastAsia="zh-CN" w:bidi="ar-SA"/>
        </w:rPr>
        <w:t>贵州盘江</w:t>
      </w:r>
      <w:r>
        <w:rPr>
          <w:rFonts w:hint="eastAsia" w:ascii="宋体" w:hAnsi="宋体" w:cs="宋体"/>
          <w:color w:val="auto"/>
          <w:kern w:val="2"/>
          <w:sz w:val="24"/>
          <w:szCs w:val="24"/>
          <w:highlight w:val="none"/>
          <w:lang w:val="en-US" w:eastAsia="zh-CN" w:bidi="ar-SA"/>
        </w:rPr>
        <w:t>电力投资有限</w:t>
      </w:r>
      <w:r>
        <w:rPr>
          <w:rFonts w:hint="eastAsia" w:ascii="宋体" w:hAnsi="宋体" w:eastAsia="宋体" w:cs="宋体"/>
          <w:color w:val="auto"/>
          <w:kern w:val="2"/>
          <w:sz w:val="24"/>
          <w:szCs w:val="24"/>
          <w:highlight w:val="none"/>
          <w:lang w:val="en-US" w:eastAsia="zh-CN" w:bidi="ar-SA"/>
        </w:rPr>
        <w:t>公司</w:t>
      </w:r>
      <w:r>
        <w:rPr>
          <w:rFonts w:hint="eastAsia" w:ascii="宋体" w:hAnsi="宋体" w:cs="宋体"/>
          <w:color w:val="auto"/>
          <w:kern w:val="2"/>
          <w:sz w:val="24"/>
          <w:szCs w:val="24"/>
          <w:highlight w:val="none"/>
          <w:lang w:val="en-US" w:eastAsia="zh-CN" w:bidi="ar-SA"/>
        </w:rPr>
        <w:t>副</w:t>
      </w:r>
      <w:r>
        <w:rPr>
          <w:rFonts w:hint="eastAsia" w:ascii="宋体" w:hAnsi="宋体" w:eastAsia="宋体" w:cs="宋体"/>
          <w:color w:val="auto"/>
          <w:kern w:val="2"/>
          <w:sz w:val="24"/>
          <w:szCs w:val="24"/>
          <w:highlight w:val="none"/>
          <w:lang w:val="en-US" w:eastAsia="zh-CN" w:bidi="ar-SA"/>
        </w:rPr>
        <w:t>总经理、总会计师</w:t>
      </w:r>
      <w:r>
        <w:rPr>
          <w:rFonts w:hint="eastAsia" w:ascii="宋体" w:hAnsi="宋体" w:cs="宋体"/>
          <w:color w:val="auto"/>
          <w:kern w:val="2"/>
          <w:sz w:val="24"/>
          <w:szCs w:val="24"/>
          <w:highlight w:val="none"/>
          <w:lang w:val="en-US" w:eastAsia="zh-CN" w:bidi="ar-SA"/>
        </w:rPr>
        <w:t>；贵州盘江煤电集团有限责任公司财务管理部总经理；贵州能源集团有限公司财务部部长；贵州能源集团有限公司总会计师、贵州金元监事会主席。</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付  洁，高级会计师、注册会计师。曾任贵州能源集团有限公司审计部部长；贵州页岩气勘探开发有限责任公司党委委员、总会计师；贵州金元监事会主席。</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闫祉宇，高级经济师。曾任国家电力投资集团有限公司山东分公司副总经理、纪委书记、工会主席</w:t>
      </w:r>
      <w:r>
        <w:rPr>
          <w:rFonts w:hint="eastAsia" w:ascii="宋体" w:hAnsi="宋体" w:cs="宋体"/>
          <w:color w:val="auto"/>
          <w:kern w:val="2"/>
          <w:sz w:val="24"/>
          <w:szCs w:val="24"/>
          <w:highlight w:val="none"/>
          <w:lang w:val="en-US" w:eastAsia="zh-CN" w:bidi="ar-SA"/>
        </w:rPr>
        <w:t>；贵州金元</w:t>
      </w:r>
      <w:r>
        <w:rPr>
          <w:rFonts w:hint="eastAsia" w:ascii="宋体" w:hAnsi="宋体" w:eastAsia="宋体" w:cs="宋体"/>
          <w:color w:val="auto"/>
          <w:kern w:val="2"/>
          <w:sz w:val="24"/>
          <w:szCs w:val="24"/>
          <w:highlight w:val="none"/>
          <w:lang w:val="en-US" w:eastAsia="zh-CN" w:bidi="ar-SA"/>
        </w:rPr>
        <w:t>党委委员、纪委书记、监事。</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范德胜，工程师。曾任贵州元龙房地产开发有限公司执行董事、法定代表人、总经理</w:t>
      </w:r>
      <w:r>
        <w:rPr>
          <w:rFonts w:hint="eastAsia" w:ascii="宋体" w:hAnsi="宋体" w:cs="宋体"/>
          <w:color w:val="auto"/>
          <w:kern w:val="2"/>
          <w:sz w:val="24"/>
          <w:szCs w:val="24"/>
          <w:highlight w:val="none"/>
          <w:lang w:val="en-US" w:eastAsia="zh-CN" w:bidi="ar-SA"/>
        </w:rPr>
        <w:t>；贵州金元</w:t>
      </w:r>
      <w:r>
        <w:rPr>
          <w:rFonts w:hint="eastAsia" w:ascii="宋体" w:hAnsi="宋体" w:eastAsia="宋体" w:cs="宋体"/>
          <w:color w:val="auto"/>
          <w:kern w:val="2"/>
          <w:sz w:val="24"/>
          <w:szCs w:val="24"/>
          <w:highlight w:val="none"/>
          <w:lang w:val="en-US" w:eastAsia="zh-CN" w:bidi="ar-SA"/>
        </w:rPr>
        <w:t>职工监事，政法部主任。</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注：</w:t>
      </w:r>
      <w:r>
        <w:rPr>
          <w:rFonts w:hint="eastAsia" w:ascii="宋体" w:hAnsi="宋体" w:eastAsia="宋体" w:cs="宋体"/>
          <w:color w:val="auto"/>
          <w:kern w:val="2"/>
          <w:sz w:val="24"/>
          <w:szCs w:val="24"/>
          <w:highlight w:val="none"/>
          <w:lang w:val="en-US" w:eastAsia="zh-CN" w:bidi="ar-SA"/>
        </w:rPr>
        <w:t>为落实国务院国资委深化国有企业监事会改革工作要求，进一步完善中国特色国有企业现代公司治理，贵州金元按照党中央、国务院《关于完善中国特色现代企业制度的意见》、国务院国资委有关文件最新规定及国家电投《关于撤销集团公司系统内企业监事会和监事有关事项的通知》（国家电投治理〔2024〕232号），取消监事会、监事，并</w:t>
      </w:r>
      <w:r>
        <w:rPr>
          <w:rFonts w:hint="eastAsia" w:ascii="宋体" w:hAnsi="宋体" w:cs="宋体"/>
          <w:color w:val="auto"/>
          <w:kern w:val="2"/>
          <w:sz w:val="24"/>
          <w:szCs w:val="24"/>
          <w:highlight w:val="none"/>
          <w:lang w:val="en-US" w:eastAsia="zh-CN" w:bidi="ar-SA"/>
        </w:rPr>
        <w:t>已召开</w:t>
      </w:r>
      <w:r>
        <w:rPr>
          <w:rFonts w:hint="eastAsia" w:ascii="宋体" w:hAnsi="宋体" w:eastAsia="宋体" w:cs="宋体"/>
          <w:color w:val="auto"/>
          <w:kern w:val="2"/>
          <w:sz w:val="24"/>
          <w:szCs w:val="24"/>
          <w:highlight w:val="none"/>
          <w:lang w:val="en-US" w:eastAsia="zh-CN" w:bidi="ar-SA"/>
        </w:rPr>
        <w:t>股东会</w:t>
      </w:r>
      <w:bookmarkStart w:id="41" w:name="bookmark2"/>
      <w:bookmarkStart w:id="42" w:name="bookmark1"/>
      <w:bookmarkStart w:id="43" w:name="bookmark0"/>
      <w:r>
        <w:rPr>
          <w:rFonts w:hint="eastAsia" w:ascii="宋体" w:hAnsi="宋体" w:eastAsia="宋体" w:cs="宋体"/>
          <w:color w:val="auto"/>
          <w:kern w:val="2"/>
          <w:sz w:val="24"/>
          <w:szCs w:val="24"/>
          <w:highlight w:val="none"/>
          <w:lang w:val="en-US" w:eastAsia="zh-CN" w:bidi="ar-SA"/>
        </w:rPr>
        <w:t>，</w:t>
      </w:r>
      <w:bookmarkEnd w:id="41"/>
      <w:bookmarkEnd w:id="42"/>
      <w:bookmarkEnd w:id="43"/>
      <w:r>
        <w:rPr>
          <w:rFonts w:hint="eastAsia" w:ascii="宋体" w:hAnsi="宋体" w:eastAsia="宋体" w:cs="宋体"/>
          <w:color w:val="auto"/>
          <w:kern w:val="2"/>
          <w:sz w:val="24"/>
          <w:szCs w:val="24"/>
          <w:highlight w:val="none"/>
          <w:lang w:val="en-US" w:eastAsia="zh-CN" w:bidi="ar-SA"/>
        </w:rPr>
        <w:t>审议通过了《关于撤销监事会、监事的议案》。</w:t>
      </w:r>
    </w:p>
    <w:p>
      <w:pPr>
        <w:keepNext w:val="0"/>
        <w:keepLines w:val="0"/>
        <w:pageBreakBefore w:val="0"/>
        <w:widowControl w:val="0"/>
        <w:numPr>
          <w:ilvl w:val="0"/>
          <w:numId w:val="10"/>
        </w:numPr>
        <w:kinsoku/>
        <w:wordWrap/>
        <w:overflowPunct/>
        <w:topLinePunct w:val="0"/>
        <w:autoSpaceDE/>
        <w:autoSpaceDN/>
        <w:bidi w:val="0"/>
        <w:adjustRightInd/>
        <w:snapToGrid/>
        <w:spacing w:line="400" w:lineRule="exact"/>
        <w:ind w:firstLine="482" w:firstLineChars="200"/>
        <w:jc w:val="left"/>
        <w:textAlignment w:val="auto"/>
        <w:rPr>
          <w:rFonts w:hint="eastAsia" w:ascii="Times New Roman" w:hAnsi="Times New Roman" w:eastAsia="宋体" w:cs="宋体"/>
          <w:b/>
          <w:bCs/>
          <w:color w:val="auto"/>
          <w:kern w:val="2"/>
          <w:sz w:val="24"/>
          <w:szCs w:val="24"/>
          <w:highlight w:val="none"/>
          <w:lang w:val="en-US" w:eastAsia="zh-CN" w:bidi="ar-SA"/>
        </w:rPr>
      </w:pPr>
      <w:r>
        <w:rPr>
          <w:rFonts w:hint="eastAsia" w:ascii="Times New Roman" w:hAnsi="Times New Roman" w:eastAsia="宋体" w:cs="宋体"/>
          <w:b/>
          <w:bCs/>
          <w:color w:val="auto"/>
          <w:kern w:val="2"/>
          <w:sz w:val="24"/>
          <w:szCs w:val="24"/>
          <w:highlight w:val="none"/>
          <w:lang w:val="en-US" w:eastAsia="zh-CN" w:bidi="ar-SA"/>
        </w:rPr>
        <w:t>高级管理人员</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宋体" w:cs="宋体"/>
          <w:color w:val="auto"/>
          <w:kern w:val="2"/>
          <w:sz w:val="24"/>
          <w:szCs w:val="24"/>
          <w:highlight w:val="none"/>
          <w:lang w:val="en-US" w:eastAsia="zh-CN" w:bidi="ar-SA"/>
        </w:rPr>
      </w:pPr>
      <w:r>
        <w:rPr>
          <w:rFonts w:hint="eastAsia" w:ascii="Times New Roman" w:hAnsi="Times New Roman" w:eastAsia="宋体" w:cs="宋体"/>
          <w:color w:val="auto"/>
          <w:kern w:val="2"/>
          <w:sz w:val="24"/>
          <w:szCs w:val="24"/>
          <w:highlight w:val="none"/>
          <w:lang w:val="en-US" w:eastAsia="zh-CN" w:bidi="ar-SA"/>
        </w:rPr>
        <w:t>吕  峰，正高级经济师。曾任吉林电力股份有限公司总工程师、副总经理、党委副书记、工会主席；国家电力投资集团有限公司党组巡视组副组长；国家电力投资集团有限公司江西公司董事、总经理、党委副书记。贵州金元董事、总经理、党委副书记。目前已履新至国家电投江西公司。</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eastAsia" w:cs="宋体"/>
          <w:color w:val="auto"/>
          <w:kern w:val="2"/>
          <w:sz w:val="24"/>
          <w:szCs w:val="24"/>
          <w:highlight w:val="none"/>
          <w:lang w:val="en-US" w:eastAsia="zh-CN" w:bidi="ar-SA"/>
        </w:rPr>
      </w:pPr>
      <w:r>
        <w:rPr>
          <w:rFonts w:hint="eastAsia" w:ascii="Times New Roman" w:hAnsi="Times New Roman" w:eastAsia="宋体" w:cs="宋体"/>
          <w:color w:val="auto"/>
          <w:kern w:val="2"/>
          <w:sz w:val="24"/>
          <w:szCs w:val="24"/>
          <w:highlight w:val="none"/>
          <w:lang w:val="en-US" w:eastAsia="zh-CN" w:bidi="ar-SA"/>
        </w:rPr>
        <w:t>朱仕祥，工程师、正高级经济师。曾任国家电投集团河北电力有限公司总经济师；石家庄东方新能源有限公司总经济师；国家电投雄安能源有限公司总经济师；国家电投集团东方新能源股份有限公司副总经理，国家电投集团战略规划与发展部（改革办、专家委办公室）副主任。目前任贵州金元董事、总经理、党委委员。</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宋体" w:cs="宋体"/>
          <w:color w:val="auto"/>
          <w:kern w:val="2"/>
          <w:sz w:val="24"/>
          <w:szCs w:val="24"/>
          <w:highlight w:val="none"/>
          <w:lang w:val="en-US" w:eastAsia="zh-CN" w:bidi="ar-SA"/>
        </w:rPr>
      </w:pPr>
      <w:r>
        <w:rPr>
          <w:rFonts w:hint="eastAsia" w:ascii="Times New Roman" w:hAnsi="Times New Roman" w:eastAsia="宋体" w:cs="宋体"/>
          <w:color w:val="auto"/>
          <w:kern w:val="2"/>
          <w:sz w:val="24"/>
          <w:szCs w:val="24"/>
          <w:highlight w:val="none"/>
          <w:lang w:val="en-US" w:eastAsia="zh-CN" w:bidi="ar-SA"/>
        </w:rPr>
        <w:t>叶  飞，高级工程师。曾任贵州盘江煤电集团有限责任公司副总经理,贵州林东矿业（集团）有限责任公司党委书记、董事长。现任公司副总经理，党委委员。</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宋体" w:cs="宋体"/>
          <w:color w:val="auto"/>
          <w:kern w:val="2"/>
          <w:sz w:val="24"/>
          <w:szCs w:val="24"/>
          <w:highlight w:val="none"/>
          <w:lang w:val="en-US" w:eastAsia="zh-CN" w:bidi="ar-SA"/>
        </w:rPr>
      </w:pPr>
      <w:r>
        <w:rPr>
          <w:rFonts w:hint="eastAsia" w:ascii="Times New Roman" w:hAnsi="Times New Roman" w:eastAsia="宋体" w:cs="宋体"/>
          <w:color w:val="auto"/>
          <w:kern w:val="2"/>
          <w:sz w:val="24"/>
          <w:szCs w:val="24"/>
          <w:highlight w:val="none"/>
          <w:lang w:val="en-US" w:eastAsia="zh-CN" w:bidi="ar-SA"/>
        </w:rPr>
        <w:t>李东麟，高级政工师。曾任贵州黔西中水发电有限公司董事长、总经理；公司人资部主任、教育培训中心主任、国家电力投资集团有限公司党校贵州金元分校副校长。现任公司副总经理、党委委员。</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宋体" w:cs="宋体"/>
          <w:color w:val="auto"/>
          <w:kern w:val="2"/>
          <w:sz w:val="24"/>
          <w:szCs w:val="24"/>
          <w:highlight w:val="none"/>
          <w:lang w:val="en-US" w:eastAsia="zh-CN" w:bidi="ar-SA"/>
        </w:rPr>
      </w:pPr>
      <w:r>
        <w:rPr>
          <w:rFonts w:hint="eastAsia" w:ascii="Times New Roman" w:hAnsi="Times New Roman" w:eastAsia="宋体" w:cs="宋体"/>
          <w:color w:val="auto"/>
          <w:kern w:val="2"/>
          <w:sz w:val="24"/>
          <w:szCs w:val="24"/>
          <w:highlight w:val="none"/>
          <w:lang w:val="en-US" w:eastAsia="zh-CN" w:bidi="ar-SA"/>
        </w:rPr>
        <w:t>杨秀勇，高级工程师。曾任黔北水力发电总厂厂长，中水公司董事长、总经理，公司水电部主任、</w:t>
      </w:r>
      <w:r>
        <w:rPr>
          <w:rFonts w:hint="eastAsia" w:ascii="Times New Roman" w:hAnsi="Times New Roman" w:eastAsia="宋体" w:cs="宋体"/>
          <w:color w:val="auto"/>
          <w:kern w:val="2"/>
          <w:sz w:val="24"/>
          <w:szCs w:val="24"/>
          <w:highlight w:val="none"/>
          <w:lang w:val="zh-CN" w:eastAsia="zh-CN" w:bidi="ar-SA"/>
        </w:rPr>
        <w:t>发展部主任、规划发展中心主任，</w:t>
      </w:r>
      <w:r>
        <w:rPr>
          <w:rFonts w:hint="eastAsia" w:ascii="Times New Roman" w:hAnsi="Times New Roman" w:eastAsia="宋体" w:cs="宋体"/>
          <w:color w:val="auto"/>
          <w:kern w:val="2"/>
          <w:sz w:val="24"/>
          <w:szCs w:val="24"/>
          <w:highlight w:val="none"/>
          <w:lang w:val="en-US" w:eastAsia="zh-CN" w:bidi="ar-SA"/>
        </w:rPr>
        <w:t>现任贵州金元副总经理、党委委员。</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宋体" w:cs="宋体"/>
          <w:color w:val="auto"/>
          <w:kern w:val="2"/>
          <w:sz w:val="24"/>
          <w:szCs w:val="24"/>
          <w:highlight w:val="none"/>
          <w:lang w:val="en-US" w:eastAsia="zh-CN" w:bidi="ar-SA"/>
        </w:rPr>
      </w:pPr>
      <w:r>
        <w:rPr>
          <w:rFonts w:hint="eastAsia" w:ascii="Times New Roman" w:hAnsi="Times New Roman" w:eastAsia="宋体" w:cs="宋体"/>
          <w:color w:val="auto"/>
          <w:kern w:val="2"/>
          <w:sz w:val="24"/>
          <w:szCs w:val="24"/>
          <w:highlight w:val="none"/>
          <w:lang w:val="en-US" w:eastAsia="zh-CN" w:bidi="ar-SA"/>
        </w:rPr>
        <w:t>瞿  进，高级工程师、注册安全工程师。曾任贵州黔西中水发电有限公司副总经理、党委委员，贵州金元市场营销部副主任、贵州金元茶园发电有限责任公司执行董事（法定代表人）、党委委员、总经理、党委副书记，现任贵州金元副总经理、党委委员。</w:t>
      </w:r>
    </w:p>
    <w:p>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default"/>
          <w:color w:val="auto"/>
          <w:highlight w:val="none"/>
          <w:lang w:val="en-US" w:eastAsia="zh-CN"/>
        </w:rPr>
      </w:pPr>
      <w:r>
        <w:rPr>
          <w:rFonts w:hint="eastAsia" w:ascii="Times New Roman" w:hAnsi="Times New Roman" w:eastAsia="宋体" w:cs="宋体"/>
          <w:color w:val="auto"/>
          <w:kern w:val="2"/>
          <w:sz w:val="24"/>
          <w:szCs w:val="24"/>
          <w:highlight w:val="none"/>
          <w:lang w:val="en-US" w:eastAsia="zh-CN" w:bidi="ar-SA"/>
        </w:rPr>
        <w:t>张  珂，高级工程师。曾任贵州盘江煤电集团有限责任公司电力事业部总经理，盘江资产管理有限公司董事长，公司监事会主席，贵州盘江电力投资有限公司党委副书记、总经理，贵州金元董事。现任贵州金元副总经理、董事。</w:t>
      </w:r>
    </w:p>
    <w:p>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Times New Roman" w:hAnsi="Times New Roman" w:eastAsia="宋体" w:cs="宋体"/>
          <w:color w:val="auto"/>
          <w:kern w:val="2"/>
          <w:sz w:val="24"/>
          <w:szCs w:val="24"/>
          <w:highlight w:val="none"/>
          <w:lang w:val="en-US" w:eastAsia="zh-CN" w:bidi="ar-SA"/>
        </w:rPr>
      </w:pPr>
      <w:r>
        <w:rPr>
          <w:rFonts w:hint="eastAsia" w:ascii="Times New Roman" w:hAnsi="Times New Roman" w:eastAsia="宋体" w:cs="宋体"/>
          <w:color w:val="auto"/>
          <w:kern w:val="2"/>
          <w:sz w:val="24"/>
          <w:szCs w:val="24"/>
          <w:highlight w:val="none"/>
          <w:lang w:val="en-US" w:eastAsia="zh-CN" w:bidi="ar-SA"/>
        </w:rPr>
        <w:t>黄雄军，高级会计师。曾任五凌电力有限公司财务共享中心主任、计划与财务部主任；贵州金元总会计师。现任国家电力投资集团有限公司专职董事。</w:t>
      </w:r>
    </w:p>
    <w:p>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default" w:ascii="Times New Roman" w:hAnsi="Times New Roman" w:eastAsia="宋体" w:cs="宋体"/>
          <w:color w:val="auto"/>
          <w:kern w:val="2"/>
          <w:sz w:val="24"/>
          <w:szCs w:val="24"/>
          <w:highlight w:val="none"/>
          <w:lang w:val="en-US" w:eastAsia="zh-CN" w:bidi="ar-SA"/>
        </w:rPr>
      </w:pPr>
      <w:r>
        <w:rPr>
          <w:rFonts w:hint="eastAsia" w:ascii="Times New Roman" w:hAnsi="Times New Roman" w:eastAsia="宋体" w:cs="宋体"/>
          <w:color w:val="auto"/>
          <w:kern w:val="2"/>
          <w:sz w:val="24"/>
          <w:szCs w:val="24"/>
          <w:highlight w:val="none"/>
          <w:lang w:val="en-US" w:eastAsia="zh-CN" w:bidi="ar-SA"/>
        </w:rPr>
        <w:t>马梦萧，高级会计师。曾任国家电投集团财务有限公司财务管理部总经理、计划财务部总经理、战略发展部（金融研究所）总经理、副总会计师。现任贵州金元总会计师。</w:t>
      </w:r>
    </w:p>
    <w:p>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Times New Roman" w:hAnsi="Times New Roman" w:eastAsia="宋体" w:cs="宋体"/>
          <w:color w:val="auto"/>
          <w:kern w:val="2"/>
          <w:sz w:val="24"/>
          <w:szCs w:val="24"/>
          <w:highlight w:val="none"/>
          <w:lang w:val="en-US" w:eastAsia="zh-CN" w:bidi="ar-SA"/>
        </w:rPr>
      </w:pPr>
      <w:r>
        <w:rPr>
          <w:rFonts w:hint="eastAsia" w:ascii="Times New Roman" w:hAnsi="Times New Roman" w:eastAsia="宋体" w:cs="宋体"/>
          <w:color w:val="auto"/>
          <w:kern w:val="2"/>
          <w:sz w:val="24"/>
          <w:szCs w:val="24"/>
          <w:highlight w:val="none"/>
          <w:lang w:val="en-US" w:eastAsia="zh-CN" w:bidi="ar-SA"/>
        </w:rPr>
        <w:t>陈兴鹏，高级政工师。曾任贵州金元纪检监察部副主任、党委巡察办副主任、党建部主任、机关党委副书记、国家电投党校贵州金元分校副校长。现任贵州金元董事会秘书，办公室主任、法人治理办公室（董事会办公室）主任。</w:t>
      </w:r>
    </w:p>
    <w:p>
      <w:pPr>
        <w:keepNext w:val="0"/>
        <w:keepLines w:val="0"/>
        <w:pageBreakBefore w:val="0"/>
        <w:kinsoku/>
        <w:wordWrap/>
        <w:overflowPunct/>
        <w:topLinePunct w:val="0"/>
        <w:autoSpaceDE/>
        <w:autoSpaceDN/>
        <w:bidi w:val="0"/>
        <w:adjustRightInd/>
        <w:spacing w:line="400" w:lineRule="exact"/>
        <w:ind w:firstLine="482" w:firstLineChars="200"/>
        <w:jc w:val="left"/>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三、董事、监事在股东及股东关联单位任职情况</w:t>
      </w:r>
    </w:p>
    <w:tbl>
      <w:tblPr>
        <w:tblStyle w:val="22"/>
        <w:tblW w:w="8399" w:type="dxa"/>
        <w:tblInd w:w="-11" w:type="dxa"/>
        <w:tblBorders>
          <w:top w:val="single" w:color="000000" w:sz="8" w:space="0"/>
          <w:left w:val="single" w:color="000000" w:sz="8" w:space="0"/>
          <w:bottom w:val="single" w:color="000000" w:sz="8"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9"/>
        <w:gridCol w:w="4210"/>
        <w:gridCol w:w="2990"/>
      </w:tblGrid>
      <w:tr>
        <w:tblPrEx>
          <w:tblBorders>
            <w:top w:val="single" w:color="000000" w:sz="8" w:space="0"/>
            <w:left w:val="single" w:color="000000" w:sz="8"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exact"/>
        </w:trPr>
        <w:tc>
          <w:tcPr>
            <w:tcW w:w="1199" w:type="dxa"/>
            <w:noWrap w:val="0"/>
            <w:vAlign w:val="center"/>
          </w:tcPr>
          <w:p>
            <w:pPr>
              <w:pStyle w:val="40"/>
              <w:spacing w:before="4" w:line="360" w:lineRule="auto"/>
              <w:ind w:left="233" w:right="234"/>
              <w:jc w:val="center"/>
              <w:rPr>
                <w:rFonts w:hint="eastAsia"/>
                <w:b/>
                <w:bCs/>
                <w:color w:val="auto"/>
                <w:sz w:val="21"/>
                <w:szCs w:val="21"/>
                <w:highlight w:val="none"/>
              </w:rPr>
            </w:pPr>
            <w:r>
              <w:rPr>
                <w:rFonts w:hint="eastAsia"/>
                <w:b/>
                <w:bCs/>
                <w:color w:val="auto"/>
                <w:sz w:val="21"/>
                <w:szCs w:val="21"/>
                <w:highlight w:val="none"/>
              </w:rPr>
              <w:t>姓名</w:t>
            </w:r>
          </w:p>
        </w:tc>
        <w:tc>
          <w:tcPr>
            <w:tcW w:w="4210" w:type="dxa"/>
            <w:noWrap w:val="0"/>
            <w:vAlign w:val="center"/>
          </w:tcPr>
          <w:p>
            <w:pPr>
              <w:pStyle w:val="40"/>
              <w:spacing w:before="4" w:line="360" w:lineRule="auto"/>
              <w:jc w:val="center"/>
              <w:rPr>
                <w:rFonts w:hint="eastAsia"/>
                <w:b/>
                <w:bCs/>
                <w:color w:val="auto"/>
                <w:sz w:val="21"/>
                <w:szCs w:val="21"/>
                <w:highlight w:val="none"/>
              </w:rPr>
            </w:pPr>
            <w:r>
              <w:rPr>
                <w:rFonts w:hint="eastAsia"/>
                <w:b/>
                <w:bCs/>
                <w:color w:val="auto"/>
                <w:sz w:val="21"/>
                <w:szCs w:val="21"/>
                <w:highlight w:val="none"/>
              </w:rPr>
              <w:t>任职单位名称</w:t>
            </w:r>
          </w:p>
        </w:tc>
        <w:tc>
          <w:tcPr>
            <w:tcW w:w="2990" w:type="dxa"/>
            <w:noWrap w:val="0"/>
            <w:vAlign w:val="center"/>
          </w:tcPr>
          <w:p>
            <w:pPr>
              <w:pStyle w:val="40"/>
              <w:spacing w:before="4" w:line="360" w:lineRule="auto"/>
              <w:ind w:left="479" w:right="479"/>
              <w:jc w:val="center"/>
              <w:rPr>
                <w:rFonts w:hint="eastAsia"/>
                <w:b/>
                <w:bCs/>
                <w:color w:val="auto"/>
                <w:sz w:val="21"/>
                <w:szCs w:val="21"/>
                <w:highlight w:val="none"/>
              </w:rPr>
            </w:pPr>
            <w:r>
              <w:rPr>
                <w:rFonts w:hint="eastAsia"/>
                <w:b/>
                <w:bCs/>
                <w:color w:val="auto"/>
                <w:sz w:val="21"/>
                <w:szCs w:val="21"/>
                <w:highlight w:val="none"/>
              </w:rPr>
              <w:t>担任的职务</w:t>
            </w:r>
          </w:p>
        </w:tc>
      </w:tr>
      <w:tr>
        <w:tblPrEx>
          <w:tblBorders>
            <w:top w:val="single" w:color="000000" w:sz="8" w:space="0"/>
            <w:left w:val="single" w:color="000000" w:sz="8"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exact"/>
        </w:trPr>
        <w:tc>
          <w:tcPr>
            <w:tcW w:w="1199" w:type="dxa"/>
            <w:vMerge w:val="restart"/>
            <w:tcBorders>
              <w:top w:val="single" w:color="auto" w:sz="4" w:space="0"/>
            </w:tcBorders>
            <w:noWrap w:val="0"/>
            <w:vAlign w:val="center"/>
          </w:tcPr>
          <w:p>
            <w:pPr>
              <w:pStyle w:val="40"/>
              <w:spacing w:before="38" w:line="360" w:lineRule="auto"/>
              <w:ind w:left="233" w:leftChars="0" w:right="234" w:righ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val="en-US" w:eastAsia="zh-CN"/>
              </w:rPr>
              <w:t>仇  明</w:t>
            </w:r>
          </w:p>
        </w:tc>
        <w:tc>
          <w:tcPr>
            <w:tcW w:w="4210" w:type="dxa"/>
            <w:tcBorders>
              <w:top w:val="single" w:color="auto" w:sz="4" w:space="0"/>
            </w:tcBorders>
            <w:noWrap w:val="0"/>
            <w:vAlign w:val="center"/>
          </w:tcPr>
          <w:p>
            <w:pPr>
              <w:pStyle w:val="40"/>
              <w:spacing w:before="38" w:line="360" w:lineRule="auto"/>
              <w:ind w:left="104" w:leftChars="0"/>
              <w:jc w:val="center"/>
              <w:rPr>
                <w:rFonts w:hint="default" w:ascii="宋体" w:hAnsi="宋体" w:eastAsia="宋体" w:cs="宋体"/>
                <w:color w:val="auto"/>
                <w:kern w:val="0"/>
                <w:sz w:val="21"/>
                <w:szCs w:val="21"/>
                <w:highlight w:val="none"/>
                <w:lang w:val="en-US" w:eastAsia="zh-CN" w:bidi="ar-SA"/>
              </w:rPr>
            </w:pPr>
            <w:r>
              <w:rPr>
                <w:rFonts w:hint="eastAsia"/>
                <w:color w:val="auto"/>
                <w:sz w:val="21"/>
                <w:szCs w:val="21"/>
                <w:highlight w:val="none"/>
                <w:lang w:eastAsia="zh-CN"/>
              </w:rPr>
              <w:t>国家电投集团</w:t>
            </w:r>
            <w:r>
              <w:rPr>
                <w:rFonts w:hint="eastAsia"/>
                <w:color w:val="auto"/>
                <w:sz w:val="21"/>
                <w:szCs w:val="21"/>
                <w:highlight w:val="none"/>
                <w:lang w:val="en-US" w:eastAsia="zh-CN"/>
              </w:rPr>
              <w:t>创新投资公司</w:t>
            </w:r>
          </w:p>
        </w:tc>
        <w:tc>
          <w:tcPr>
            <w:tcW w:w="2990" w:type="dxa"/>
            <w:noWrap w:val="0"/>
            <w:vAlign w:val="center"/>
          </w:tcPr>
          <w:p>
            <w:pPr>
              <w:pStyle w:val="40"/>
              <w:spacing w:before="38" w:line="360" w:lineRule="auto"/>
              <w:ind w:left="477" w:leftChars="0" w:right="479" w:rightChars="0"/>
              <w:jc w:val="center"/>
              <w:rPr>
                <w:rFonts w:hint="default" w:ascii="宋体" w:hAnsi="宋体" w:eastAsia="宋体" w:cs="宋体"/>
                <w:color w:val="auto"/>
                <w:kern w:val="0"/>
                <w:sz w:val="21"/>
                <w:szCs w:val="21"/>
                <w:highlight w:val="none"/>
                <w:lang w:val="en-US" w:eastAsia="zh-CN" w:bidi="ar-SA"/>
              </w:rPr>
            </w:pPr>
            <w:r>
              <w:rPr>
                <w:rFonts w:hint="eastAsia"/>
                <w:color w:val="auto"/>
                <w:sz w:val="21"/>
                <w:szCs w:val="21"/>
                <w:highlight w:val="none"/>
                <w:lang w:eastAsia="zh-CN"/>
              </w:rPr>
              <w:t>董事</w:t>
            </w:r>
          </w:p>
        </w:tc>
      </w:tr>
      <w:tr>
        <w:tblPrEx>
          <w:tblBorders>
            <w:top w:val="single" w:color="000000" w:sz="8" w:space="0"/>
            <w:left w:val="single" w:color="000000" w:sz="8"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exact"/>
        </w:trPr>
        <w:tc>
          <w:tcPr>
            <w:tcW w:w="1199" w:type="dxa"/>
            <w:vMerge w:val="continue"/>
            <w:noWrap w:val="0"/>
            <w:vAlign w:val="center"/>
          </w:tcPr>
          <w:p>
            <w:pPr>
              <w:pStyle w:val="40"/>
              <w:spacing w:before="38" w:line="360" w:lineRule="auto"/>
              <w:ind w:left="233" w:right="234"/>
              <w:jc w:val="center"/>
              <w:rPr>
                <w:rFonts w:hint="eastAsia"/>
                <w:color w:val="auto"/>
                <w:sz w:val="21"/>
                <w:szCs w:val="21"/>
                <w:highlight w:val="none"/>
                <w:lang w:eastAsia="zh-CN"/>
              </w:rPr>
            </w:pPr>
          </w:p>
        </w:tc>
        <w:tc>
          <w:tcPr>
            <w:tcW w:w="4210" w:type="dxa"/>
            <w:noWrap w:val="0"/>
            <w:vAlign w:val="center"/>
          </w:tcPr>
          <w:p>
            <w:pPr>
              <w:pStyle w:val="40"/>
              <w:spacing w:before="38" w:line="360" w:lineRule="auto"/>
              <w:ind w:left="104" w:lef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val="en-US" w:eastAsia="zh-CN"/>
              </w:rPr>
              <w:t>国家核电技术公司</w:t>
            </w:r>
          </w:p>
        </w:tc>
        <w:tc>
          <w:tcPr>
            <w:tcW w:w="2990" w:type="dxa"/>
            <w:noWrap w:val="0"/>
            <w:vAlign w:val="center"/>
          </w:tcPr>
          <w:p>
            <w:pPr>
              <w:pStyle w:val="40"/>
              <w:spacing w:before="38" w:line="360" w:lineRule="auto"/>
              <w:ind w:left="477" w:leftChars="0" w:right="479" w:righ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val="en-US" w:eastAsia="zh-CN"/>
              </w:rPr>
              <w:t>监事会主席</w:t>
            </w:r>
          </w:p>
        </w:tc>
      </w:tr>
      <w:tr>
        <w:tblPrEx>
          <w:tblBorders>
            <w:top w:val="single" w:color="000000" w:sz="8" w:space="0"/>
            <w:left w:val="single" w:color="000000" w:sz="8"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exact"/>
        </w:trPr>
        <w:tc>
          <w:tcPr>
            <w:tcW w:w="1199" w:type="dxa"/>
            <w:vMerge w:val="restart"/>
            <w:tcBorders>
              <w:top w:val="single" w:color="auto" w:sz="4" w:space="0"/>
            </w:tcBorders>
            <w:noWrap w:val="0"/>
            <w:vAlign w:val="center"/>
          </w:tcPr>
          <w:p>
            <w:pPr>
              <w:pStyle w:val="40"/>
              <w:spacing w:before="37" w:line="360" w:lineRule="auto"/>
              <w:ind w:left="233" w:leftChars="0" w:right="234" w:righ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eastAsia="zh-CN"/>
              </w:rPr>
              <w:t>黄青华</w:t>
            </w:r>
          </w:p>
        </w:tc>
        <w:tc>
          <w:tcPr>
            <w:tcW w:w="4210" w:type="dxa"/>
            <w:tcBorders>
              <w:bottom w:val="single" w:color="auto" w:sz="4" w:space="0"/>
            </w:tcBorders>
            <w:noWrap w:val="0"/>
            <w:vAlign w:val="center"/>
          </w:tcPr>
          <w:p>
            <w:pPr>
              <w:pStyle w:val="40"/>
              <w:spacing w:before="38" w:line="360" w:lineRule="auto"/>
              <w:ind w:left="104" w:leftChars="0"/>
              <w:jc w:val="center"/>
              <w:rPr>
                <w:rFonts w:hint="default" w:ascii="宋体" w:hAnsi="宋体" w:eastAsia="宋体" w:cs="宋体"/>
                <w:color w:val="auto"/>
                <w:kern w:val="0"/>
                <w:sz w:val="21"/>
                <w:szCs w:val="21"/>
                <w:highlight w:val="none"/>
                <w:lang w:val="en-US" w:eastAsia="zh-CN" w:bidi="ar-SA"/>
              </w:rPr>
            </w:pPr>
            <w:r>
              <w:rPr>
                <w:rFonts w:hint="eastAsia"/>
                <w:color w:val="auto"/>
                <w:sz w:val="21"/>
                <w:szCs w:val="21"/>
                <w:highlight w:val="none"/>
                <w:lang w:val="en-US" w:eastAsia="zh-CN"/>
              </w:rPr>
              <w:t>中国电力国际发展有限公司</w:t>
            </w:r>
          </w:p>
        </w:tc>
        <w:tc>
          <w:tcPr>
            <w:tcW w:w="2990" w:type="dxa"/>
            <w:noWrap w:val="0"/>
            <w:vAlign w:val="center"/>
          </w:tcPr>
          <w:p>
            <w:pPr>
              <w:pStyle w:val="40"/>
              <w:spacing w:before="38" w:line="360" w:lineRule="auto"/>
              <w:ind w:left="477" w:leftChars="0" w:right="479" w:rightChars="0"/>
              <w:jc w:val="center"/>
              <w:rPr>
                <w:rFonts w:hint="default" w:ascii="宋体" w:hAnsi="宋体" w:eastAsia="宋体" w:cs="宋体"/>
                <w:color w:val="auto"/>
                <w:kern w:val="0"/>
                <w:sz w:val="21"/>
                <w:szCs w:val="21"/>
                <w:highlight w:val="none"/>
                <w:lang w:val="en-US" w:eastAsia="zh-CN" w:bidi="ar-SA"/>
              </w:rPr>
            </w:pPr>
            <w:r>
              <w:rPr>
                <w:rFonts w:hint="eastAsia"/>
                <w:color w:val="auto"/>
                <w:sz w:val="21"/>
                <w:szCs w:val="21"/>
                <w:highlight w:val="none"/>
                <w:lang w:val="en-US" w:eastAsia="zh-CN"/>
              </w:rPr>
              <w:t>董事</w:t>
            </w:r>
          </w:p>
        </w:tc>
      </w:tr>
      <w:tr>
        <w:tblPrEx>
          <w:tblBorders>
            <w:top w:val="single" w:color="000000" w:sz="8" w:space="0"/>
            <w:left w:val="single" w:color="000000" w:sz="8"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exact"/>
        </w:trPr>
        <w:tc>
          <w:tcPr>
            <w:tcW w:w="1199" w:type="dxa"/>
            <w:vMerge w:val="continue"/>
            <w:noWrap w:val="0"/>
            <w:vAlign w:val="center"/>
          </w:tcPr>
          <w:p>
            <w:pPr>
              <w:pStyle w:val="40"/>
              <w:spacing w:before="37" w:line="360" w:lineRule="auto"/>
              <w:ind w:left="233" w:right="234"/>
              <w:jc w:val="center"/>
              <w:rPr>
                <w:rFonts w:hint="eastAsia"/>
                <w:color w:val="auto"/>
                <w:sz w:val="21"/>
                <w:szCs w:val="21"/>
                <w:highlight w:val="none"/>
                <w:lang w:eastAsia="zh-CN"/>
              </w:rPr>
            </w:pPr>
          </w:p>
        </w:tc>
        <w:tc>
          <w:tcPr>
            <w:tcW w:w="4210" w:type="dxa"/>
            <w:tcBorders>
              <w:top w:val="single" w:color="auto" w:sz="4" w:space="0"/>
            </w:tcBorders>
            <w:noWrap w:val="0"/>
            <w:vAlign w:val="center"/>
          </w:tcPr>
          <w:p>
            <w:pPr>
              <w:pStyle w:val="40"/>
              <w:spacing w:before="38" w:line="360" w:lineRule="auto"/>
              <w:ind w:left="104" w:leftChars="0"/>
              <w:jc w:val="center"/>
              <w:rPr>
                <w:rFonts w:hint="default" w:ascii="宋体" w:hAnsi="宋体" w:eastAsia="宋体" w:cs="宋体"/>
                <w:color w:val="auto"/>
                <w:kern w:val="0"/>
                <w:sz w:val="21"/>
                <w:szCs w:val="21"/>
                <w:highlight w:val="none"/>
                <w:lang w:val="en-US" w:eastAsia="zh-CN" w:bidi="ar-SA"/>
              </w:rPr>
            </w:pPr>
            <w:r>
              <w:rPr>
                <w:rFonts w:hint="eastAsia" w:cs="宋体"/>
                <w:color w:val="auto"/>
                <w:kern w:val="0"/>
                <w:sz w:val="21"/>
                <w:szCs w:val="21"/>
                <w:highlight w:val="none"/>
                <w:lang w:val="en-US" w:eastAsia="zh-CN" w:bidi="ar-SA"/>
              </w:rPr>
              <w:t>中国电力国际有限公司</w:t>
            </w:r>
          </w:p>
        </w:tc>
        <w:tc>
          <w:tcPr>
            <w:tcW w:w="2990" w:type="dxa"/>
            <w:noWrap w:val="0"/>
            <w:vAlign w:val="center"/>
          </w:tcPr>
          <w:p>
            <w:pPr>
              <w:pStyle w:val="40"/>
              <w:spacing w:before="38" w:line="360" w:lineRule="auto"/>
              <w:ind w:left="477" w:leftChars="0" w:right="479" w:rightChars="0"/>
              <w:jc w:val="center"/>
              <w:rPr>
                <w:rFonts w:hint="default" w:ascii="宋体" w:hAnsi="宋体" w:eastAsia="宋体" w:cs="宋体"/>
                <w:color w:val="auto"/>
                <w:kern w:val="0"/>
                <w:sz w:val="21"/>
                <w:szCs w:val="21"/>
                <w:highlight w:val="none"/>
                <w:lang w:val="en-US" w:eastAsia="zh-CN" w:bidi="ar-SA"/>
              </w:rPr>
            </w:pPr>
            <w:r>
              <w:rPr>
                <w:rFonts w:hint="eastAsia"/>
                <w:color w:val="auto"/>
                <w:sz w:val="21"/>
                <w:szCs w:val="21"/>
                <w:highlight w:val="none"/>
                <w:lang w:val="en-US" w:eastAsia="zh-CN"/>
              </w:rPr>
              <w:t>董事</w:t>
            </w:r>
          </w:p>
        </w:tc>
      </w:tr>
      <w:tr>
        <w:tblPrEx>
          <w:tblBorders>
            <w:top w:val="single" w:color="000000" w:sz="8" w:space="0"/>
            <w:left w:val="single" w:color="000000" w:sz="8"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8" w:hRule="exact"/>
        </w:trPr>
        <w:tc>
          <w:tcPr>
            <w:tcW w:w="1199" w:type="dxa"/>
            <w:vMerge w:val="continue"/>
            <w:tcBorders>
              <w:bottom w:val="single" w:color="auto" w:sz="4" w:space="0"/>
            </w:tcBorders>
            <w:noWrap w:val="0"/>
            <w:vAlign w:val="center"/>
          </w:tcPr>
          <w:p>
            <w:pPr>
              <w:pStyle w:val="40"/>
              <w:spacing w:before="38" w:line="360" w:lineRule="auto"/>
              <w:ind w:left="233" w:right="234"/>
              <w:jc w:val="center"/>
              <w:rPr>
                <w:rFonts w:hint="eastAsia"/>
                <w:color w:val="auto"/>
                <w:sz w:val="21"/>
                <w:szCs w:val="21"/>
                <w:highlight w:val="none"/>
                <w:lang w:eastAsia="zh-CN"/>
              </w:rPr>
            </w:pPr>
          </w:p>
        </w:tc>
        <w:tc>
          <w:tcPr>
            <w:tcW w:w="4210" w:type="dxa"/>
            <w:tcBorders>
              <w:bottom w:val="single" w:color="auto" w:sz="4" w:space="0"/>
            </w:tcBorders>
            <w:noWrap w:val="0"/>
            <w:vAlign w:val="center"/>
          </w:tcPr>
          <w:p>
            <w:pPr>
              <w:pStyle w:val="40"/>
              <w:spacing w:before="38" w:line="360" w:lineRule="auto"/>
              <w:ind w:left="104" w:leftChars="0"/>
              <w:jc w:val="center"/>
              <w:rPr>
                <w:rFonts w:hint="default" w:ascii="宋体" w:hAnsi="宋体" w:eastAsia="宋体" w:cs="宋体"/>
                <w:color w:val="auto"/>
                <w:kern w:val="0"/>
                <w:sz w:val="21"/>
                <w:szCs w:val="21"/>
                <w:highlight w:val="none"/>
                <w:lang w:val="en-US" w:eastAsia="zh-CN" w:bidi="ar-SA"/>
              </w:rPr>
            </w:pPr>
            <w:r>
              <w:rPr>
                <w:rFonts w:hint="eastAsia" w:cs="宋体"/>
                <w:color w:val="auto"/>
                <w:kern w:val="0"/>
                <w:sz w:val="21"/>
                <w:szCs w:val="21"/>
                <w:highlight w:val="none"/>
                <w:lang w:val="en-US" w:eastAsia="zh-CN" w:bidi="ar-SA"/>
              </w:rPr>
              <w:t>国家电投集团铝电投资有限公司</w:t>
            </w:r>
          </w:p>
        </w:tc>
        <w:tc>
          <w:tcPr>
            <w:tcW w:w="2990" w:type="dxa"/>
            <w:tcBorders>
              <w:bottom w:val="single" w:color="auto" w:sz="4" w:space="0"/>
            </w:tcBorders>
            <w:noWrap w:val="0"/>
            <w:vAlign w:val="center"/>
          </w:tcPr>
          <w:p>
            <w:pPr>
              <w:pStyle w:val="40"/>
              <w:spacing w:before="38" w:line="360" w:lineRule="auto"/>
              <w:ind w:left="477" w:leftChars="0" w:right="479" w:righ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val="en-US" w:eastAsia="zh-CN"/>
              </w:rPr>
              <w:t>董事</w:t>
            </w:r>
          </w:p>
        </w:tc>
      </w:tr>
      <w:tr>
        <w:tblPrEx>
          <w:tblBorders>
            <w:top w:val="single" w:color="000000" w:sz="8" w:space="0"/>
            <w:left w:val="single" w:color="000000" w:sz="8"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1199" w:type="dxa"/>
            <w:vMerge w:val="continue"/>
            <w:tcBorders>
              <w:bottom w:val="single" w:color="auto" w:sz="4" w:space="0"/>
            </w:tcBorders>
            <w:noWrap w:val="0"/>
            <w:vAlign w:val="center"/>
          </w:tcPr>
          <w:p>
            <w:pPr>
              <w:pStyle w:val="40"/>
              <w:spacing w:before="38" w:line="360" w:lineRule="auto"/>
              <w:ind w:left="233" w:right="234"/>
              <w:jc w:val="center"/>
              <w:rPr>
                <w:rFonts w:hint="eastAsia"/>
                <w:color w:val="auto"/>
                <w:sz w:val="21"/>
                <w:szCs w:val="21"/>
                <w:highlight w:val="none"/>
                <w:lang w:eastAsia="zh-CN"/>
              </w:rPr>
            </w:pPr>
          </w:p>
        </w:tc>
        <w:tc>
          <w:tcPr>
            <w:tcW w:w="4210" w:type="dxa"/>
            <w:tcBorders>
              <w:top w:val="single" w:color="auto" w:sz="4" w:space="0"/>
              <w:bottom w:val="single" w:color="auto" w:sz="4" w:space="0"/>
            </w:tcBorders>
            <w:noWrap w:val="0"/>
            <w:vAlign w:val="center"/>
          </w:tcPr>
          <w:p>
            <w:pPr>
              <w:pStyle w:val="40"/>
              <w:spacing w:before="37" w:line="360" w:lineRule="auto"/>
              <w:ind w:left="104" w:lef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eastAsia="zh-CN"/>
              </w:rPr>
              <w:t>国家电投集团重庆电力有限公司</w:t>
            </w:r>
          </w:p>
        </w:tc>
        <w:tc>
          <w:tcPr>
            <w:tcW w:w="2990" w:type="dxa"/>
            <w:tcBorders>
              <w:top w:val="single" w:color="auto" w:sz="4" w:space="0"/>
              <w:bottom w:val="single" w:color="auto" w:sz="4" w:space="0"/>
            </w:tcBorders>
            <w:noWrap w:val="0"/>
            <w:vAlign w:val="center"/>
          </w:tcPr>
          <w:p>
            <w:pPr>
              <w:pStyle w:val="40"/>
              <w:spacing w:before="37" w:line="360" w:lineRule="auto"/>
              <w:ind w:left="477" w:leftChars="0" w:right="479" w:righ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eastAsia="zh-CN"/>
              </w:rPr>
              <w:t>董事</w:t>
            </w:r>
          </w:p>
        </w:tc>
      </w:tr>
      <w:tr>
        <w:tblPrEx>
          <w:tblBorders>
            <w:top w:val="single" w:color="000000" w:sz="8" w:space="0"/>
            <w:left w:val="single" w:color="000000" w:sz="8"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4" w:hRule="exact"/>
        </w:trPr>
        <w:tc>
          <w:tcPr>
            <w:tcW w:w="1199" w:type="dxa"/>
            <w:vMerge w:val="continue"/>
            <w:tcBorders>
              <w:bottom w:val="single" w:color="auto" w:sz="4" w:space="0"/>
            </w:tcBorders>
            <w:noWrap w:val="0"/>
            <w:vAlign w:val="center"/>
          </w:tcPr>
          <w:p>
            <w:pPr>
              <w:pStyle w:val="40"/>
              <w:spacing w:before="38" w:line="360" w:lineRule="auto"/>
              <w:ind w:left="233" w:right="234"/>
              <w:jc w:val="center"/>
              <w:rPr>
                <w:rFonts w:hint="eastAsia"/>
                <w:color w:val="auto"/>
                <w:sz w:val="21"/>
                <w:szCs w:val="21"/>
                <w:highlight w:val="none"/>
                <w:lang w:eastAsia="zh-CN"/>
              </w:rPr>
            </w:pPr>
          </w:p>
        </w:tc>
        <w:tc>
          <w:tcPr>
            <w:tcW w:w="4210" w:type="dxa"/>
            <w:tcBorders>
              <w:top w:val="single" w:color="auto" w:sz="4" w:space="0"/>
            </w:tcBorders>
            <w:noWrap w:val="0"/>
            <w:vAlign w:val="center"/>
          </w:tcPr>
          <w:p>
            <w:pPr>
              <w:pStyle w:val="40"/>
              <w:spacing w:before="38" w:line="360" w:lineRule="auto"/>
              <w:ind w:left="104" w:lef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val="en-US" w:eastAsia="zh-CN"/>
              </w:rPr>
              <w:t>中核河南核电有限公司</w:t>
            </w:r>
          </w:p>
        </w:tc>
        <w:tc>
          <w:tcPr>
            <w:tcW w:w="2990" w:type="dxa"/>
            <w:tcBorders>
              <w:top w:val="single" w:color="auto" w:sz="4" w:space="0"/>
            </w:tcBorders>
            <w:noWrap w:val="0"/>
            <w:vAlign w:val="center"/>
          </w:tcPr>
          <w:p>
            <w:pPr>
              <w:pStyle w:val="40"/>
              <w:spacing w:before="38" w:line="360" w:lineRule="auto"/>
              <w:ind w:left="477" w:leftChars="0" w:right="479" w:righ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val="en-US" w:eastAsia="zh-CN"/>
              </w:rPr>
              <w:t>监事</w:t>
            </w:r>
          </w:p>
        </w:tc>
      </w:tr>
      <w:tr>
        <w:tblPrEx>
          <w:tblBorders>
            <w:top w:val="single" w:color="000000" w:sz="8" w:space="0"/>
            <w:left w:val="single" w:color="000000" w:sz="8"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exact"/>
        </w:trPr>
        <w:tc>
          <w:tcPr>
            <w:tcW w:w="1199" w:type="dxa"/>
            <w:vMerge w:val="restart"/>
            <w:tcBorders>
              <w:top w:val="single" w:color="auto" w:sz="4" w:space="0"/>
              <w:bottom w:val="single" w:color="auto" w:sz="4" w:space="0"/>
            </w:tcBorders>
            <w:noWrap w:val="0"/>
            <w:vAlign w:val="center"/>
          </w:tcPr>
          <w:p>
            <w:pPr>
              <w:pStyle w:val="40"/>
              <w:spacing w:before="37" w:line="360" w:lineRule="auto"/>
              <w:ind w:left="233" w:leftChars="0" w:right="234" w:rightChars="0"/>
              <w:jc w:val="center"/>
              <w:rPr>
                <w:rFonts w:hint="eastAsia"/>
                <w:color w:val="auto"/>
                <w:sz w:val="21"/>
                <w:szCs w:val="21"/>
                <w:highlight w:val="none"/>
                <w:lang w:val="en-US" w:eastAsia="zh-CN"/>
              </w:rPr>
            </w:pPr>
          </w:p>
          <w:p>
            <w:pPr>
              <w:pStyle w:val="40"/>
              <w:spacing w:before="37" w:line="360" w:lineRule="auto"/>
              <w:ind w:left="233" w:leftChars="0" w:right="234" w:righ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val="en-US" w:eastAsia="zh-CN"/>
              </w:rPr>
              <w:t>程东航</w:t>
            </w:r>
          </w:p>
          <w:p>
            <w:pPr>
              <w:pStyle w:val="40"/>
              <w:spacing w:before="38" w:line="360" w:lineRule="auto"/>
              <w:ind w:left="233" w:right="234"/>
              <w:jc w:val="center"/>
              <w:rPr>
                <w:rFonts w:hint="eastAsia"/>
                <w:color w:val="auto"/>
                <w:sz w:val="21"/>
                <w:szCs w:val="21"/>
                <w:highlight w:val="none"/>
                <w:lang w:eastAsia="zh-CN"/>
              </w:rPr>
            </w:pPr>
          </w:p>
        </w:tc>
        <w:tc>
          <w:tcPr>
            <w:tcW w:w="4210" w:type="dxa"/>
            <w:noWrap w:val="0"/>
            <w:vAlign w:val="center"/>
          </w:tcPr>
          <w:p>
            <w:pPr>
              <w:pStyle w:val="40"/>
              <w:spacing w:before="37" w:line="360" w:lineRule="auto"/>
              <w:ind w:left="104" w:lef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val="en-US" w:eastAsia="zh-CN"/>
              </w:rPr>
              <w:t>国家电投集团广西电力有限公司</w:t>
            </w:r>
          </w:p>
        </w:tc>
        <w:tc>
          <w:tcPr>
            <w:tcW w:w="2990" w:type="dxa"/>
            <w:noWrap w:val="0"/>
            <w:vAlign w:val="center"/>
          </w:tcPr>
          <w:p>
            <w:pPr>
              <w:pStyle w:val="40"/>
              <w:spacing w:before="37" w:line="360" w:lineRule="auto"/>
              <w:ind w:left="479" w:leftChars="0" w:right="479" w:righ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val="en-US" w:eastAsia="zh-CN"/>
              </w:rPr>
              <w:t>董事</w:t>
            </w:r>
          </w:p>
        </w:tc>
      </w:tr>
      <w:tr>
        <w:tblPrEx>
          <w:tblBorders>
            <w:top w:val="single" w:color="000000" w:sz="8" w:space="0"/>
            <w:left w:val="single" w:color="000000" w:sz="8"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exact"/>
        </w:trPr>
        <w:tc>
          <w:tcPr>
            <w:tcW w:w="1199" w:type="dxa"/>
            <w:vMerge w:val="continue"/>
            <w:tcBorders>
              <w:top w:val="single" w:color="auto" w:sz="4" w:space="0"/>
              <w:bottom w:val="single" w:color="auto" w:sz="4" w:space="0"/>
            </w:tcBorders>
            <w:noWrap w:val="0"/>
            <w:vAlign w:val="center"/>
          </w:tcPr>
          <w:p>
            <w:pPr>
              <w:pStyle w:val="40"/>
              <w:spacing w:before="38" w:line="360" w:lineRule="auto"/>
              <w:ind w:left="233" w:right="234"/>
              <w:jc w:val="center"/>
              <w:rPr>
                <w:rFonts w:hint="eastAsia"/>
                <w:color w:val="auto"/>
                <w:sz w:val="21"/>
                <w:szCs w:val="21"/>
                <w:highlight w:val="none"/>
                <w:lang w:eastAsia="zh-CN"/>
              </w:rPr>
            </w:pPr>
          </w:p>
        </w:tc>
        <w:tc>
          <w:tcPr>
            <w:tcW w:w="4210" w:type="dxa"/>
            <w:noWrap w:val="0"/>
            <w:vAlign w:val="center"/>
          </w:tcPr>
          <w:p>
            <w:pPr>
              <w:pStyle w:val="40"/>
              <w:spacing w:before="37" w:line="360" w:lineRule="auto"/>
              <w:ind w:left="104" w:lef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val="en-US" w:eastAsia="zh-CN"/>
              </w:rPr>
              <w:t>国家电投集团山西电力有限公司</w:t>
            </w:r>
          </w:p>
        </w:tc>
        <w:tc>
          <w:tcPr>
            <w:tcW w:w="2990" w:type="dxa"/>
            <w:noWrap w:val="0"/>
            <w:vAlign w:val="center"/>
          </w:tcPr>
          <w:p>
            <w:pPr>
              <w:pStyle w:val="40"/>
              <w:spacing w:before="37" w:line="360" w:lineRule="auto"/>
              <w:ind w:left="479" w:leftChars="0" w:right="479" w:righ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val="en-US" w:eastAsia="zh-CN"/>
              </w:rPr>
              <w:t>董事</w:t>
            </w:r>
          </w:p>
        </w:tc>
      </w:tr>
      <w:tr>
        <w:tblPrEx>
          <w:tblBorders>
            <w:top w:val="single" w:color="000000" w:sz="8" w:space="0"/>
            <w:left w:val="single" w:color="000000" w:sz="8"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exact"/>
        </w:trPr>
        <w:tc>
          <w:tcPr>
            <w:tcW w:w="1199" w:type="dxa"/>
            <w:vMerge w:val="continue"/>
            <w:tcBorders>
              <w:top w:val="single" w:color="auto" w:sz="4" w:space="0"/>
              <w:bottom w:val="single" w:color="auto" w:sz="4" w:space="0"/>
            </w:tcBorders>
            <w:noWrap w:val="0"/>
            <w:vAlign w:val="center"/>
          </w:tcPr>
          <w:p>
            <w:pPr>
              <w:pStyle w:val="40"/>
              <w:spacing w:before="38" w:line="360" w:lineRule="auto"/>
              <w:ind w:left="233" w:right="234"/>
              <w:jc w:val="center"/>
              <w:rPr>
                <w:rFonts w:hint="eastAsia"/>
                <w:color w:val="auto"/>
                <w:sz w:val="21"/>
                <w:szCs w:val="21"/>
                <w:highlight w:val="none"/>
                <w:lang w:eastAsia="zh-CN"/>
              </w:rPr>
            </w:pPr>
          </w:p>
        </w:tc>
        <w:tc>
          <w:tcPr>
            <w:tcW w:w="4210" w:type="dxa"/>
            <w:noWrap w:val="0"/>
            <w:vAlign w:val="center"/>
          </w:tcPr>
          <w:p>
            <w:pPr>
              <w:pStyle w:val="40"/>
              <w:spacing w:before="37" w:line="360" w:lineRule="auto"/>
              <w:ind w:left="104" w:lef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val="en-US" w:eastAsia="zh-CN"/>
              </w:rPr>
              <w:t>国家电投集团国核自仪系统工程有限公司</w:t>
            </w:r>
          </w:p>
        </w:tc>
        <w:tc>
          <w:tcPr>
            <w:tcW w:w="2990" w:type="dxa"/>
            <w:noWrap w:val="0"/>
            <w:vAlign w:val="center"/>
          </w:tcPr>
          <w:p>
            <w:pPr>
              <w:pStyle w:val="40"/>
              <w:spacing w:before="37" w:line="360" w:lineRule="auto"/>
              <w:ind w:left="479" w:leftChars="0" w:right="479" w:righ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val="en-US" w:eastAsia="zh-CN"/>
              </w:rPr>
              <w:t>董事</w:t>
            </w:r>
          </w:p>
        </w:tc>
      </w:tr>
      <w:tr>
        <w:tblPrEx>
          <w:tblBorders>
            <w:top w:val="single" w:color="000000" w:sz="8" w:space="0"/>
            <w:left w:val="single" w:color="000000" w:sz="8"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exact"/>
        </w:trPr>
        <w:tc>
          <w:tcPr>
            <w:tcW w:w="1199" w:type="dxa"/>
            <w:vMerge w:val="restart"/>
            <w:tcBorders>
              <w:top w:val="single" w:color="auto" w:sz="4" w:space="0"/>
            </w:tcBorders>
            <w:noWrap w:val="0"/>
            <w:vAlign w:val="center"/>
          </w:tcPr>
          <w:p>
            <w:pPr>
              <w:pStyle w:val="40"/>
              <w:spacing w:before="38" w:line="360" w:lineRule="auto"/>
              <w:ind w:left="233" w:leftChars="0" w:right="234" w:rightChars="0"/>
              <w:jc w:val="center"/>
              <w:rPr>
                <w:rFonts w:hint="default" w:ascii="宋体" w:hAnsi="宋体" w:eastAsia="宋体" w:cs="宋体"/>
                <w:color w:val="auto"/>
                <w:kern w:val="0"/>
                <w:sz w:val="21"/>
                <w:szCs w:val="21"/>
                <w:highlight w:val="none"/>
                <w:lang w:val="en-US" w:eastAsia="zh-CN" w:bidi="ar-SA"/>
              </w:rPr>
            </w:pPr>
            <w:r>
              <w:rPr>
                <w:rFonts w:hint="eastAsia" w:cs="宋体"/>
                <w:color w:val="auto"/>
                <w:kern w:val="0"/>
                <w:sz w:val="21"/>
                <w:szCs w:val="21"/>
                <w:highlight w:val="none"/>
                <w:lang w:val="en-US" w:eastAsia="zh-CN" w:bidi="ar-SA"/>
              </w:rPr>
              <w:t>王  浩</w:t>
            </w:r>
          </w:p>
        </w:tc>
        <w:tc>
          <w:tcPr>
            <w:tcW w:w="4210" w:type="dxa"/>
            <w:tcBorders>
              <w:bottom w:val="single" w:color="auto" w:sz="4" w:space="0"/>
            </w:tcBorders>
            <w:noWrap w:val="0"/>
            <w:vAlign w:val="center"/>
          </w:tcPr>
          <w:p>
            <w:pPr>
              <w:pStyle w:val="40"/>
              <w:spacing w:before="38" w:line="360" w:lineRule="auto"/>
              <w:ind w:left="104" w:leftChars="0"/>
              <w:jc w:val="center"/>
              <w:rPr>
                <w:rFonts w:hint="default" w:ascii="宋体" w:hAnsi="宋体" w:eastAsia="宋体" w:cs="宋体"/>
                <w:color w:val="auto"/>
                <w:kern w:val="0"/>
                <w:sz w:val="21"/>
                <w:szCs w:val="21"/>
                <w:highlight w:val="none"/>
                <w:lang w:val="en-US" w:eastAsia="zh-CN" w:bidi="ar-SA"/>
              </w:rPr>
            </w:pPr>
            <w:r>
              <w:rPr>
                <w:rFonts w:hint="eastAsia" w:cs="宋体"/>
                <w:color w:val="auto"/>
                <w:kern w:val="0"/>
                <w:sz w:val="21"/>
                <w:szCs w:val="21"/>
                <w:highlight w:val="none"/>
                <w:lang w:val="en-US" w:eastAsia="zh-CN" w:bidi="ar-SA"/>
              </w:rPr>
              <w:t>国家电投集团产融控股股份有限公司</w:t>
            </w:r>
          </w:p>
        </w:tc>
        <w:tc>
          <w:tcPr>
            <w:tcW w:w="2990" w:type="dxa"/>
            <w:tcBorders>
              <w:bottom w:val="single" w:color="auto" w:sz="4" w:space="0"/>
            </w:tcBorders>
            <w:noWrap w:val="0"/>
            <w:vAlign w:val="center"/>
          </w:tcPr>
          <w:p>
            <w:pPr>
              <w:pStyle w:val="40"/>
              <w:spacing w:before="38" w:line="360" w:lineRule="auto"/>
              <w:ind w:left="479" w:leftChars="0" w:right="479" w:righ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val="en-US" w:eastAsia="zh-CN"/>
              </w:rPr>
              <w:t>董事</w:t>
            </w:r>
          </w:p>
        </w:tc>
      </w:tr>
      <w:tr>
        <w:tblPrEx>
          <w:tblBorders>
            <w:top w:val="single" w:color="000000" w:sz="8" w:space="0"/>
            <w:left w:val="single" w:color="000000" w:sz="8"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exact"/>
        </w:trPr>
        <w:tc>
          <w:tcPr>
            <w:tcW w:w="1199" w:type="dxa"/>
            <w:vMerge w:val="continue"/>
            <w:tcBorders>
              <w:bottom w:val="single" w:color="auto" w:sz="4" w:space="0"/>
            </w:tcBorders>
            <w:noWrap w:val="0"/>
            <w:vAlign w:val="center"/>
          </w:tcPr>
          <w:p>
            <w:pPr>
              <w:pStyle w:val="40"/>
              <w:spacing w:before="38" w:line="360" w:lineRule="auto"/>
              <w:ind w:left="233" w:leftChars="0" w:right="234" w:rightChars="0"/>
              <w:jc w:val="center"/>
              <w:rPr>
                <w:rFonts w:hint="eastAsia" w:cs="宋体"/>
                <w:color w:val="auto"/>
                <w:kern w:val="0"/>
                <w:sz w:val="21"/>
                <w:szCs w:val="21"/>
                <w:highlight w:val="none"/>
                <w:lang w:val="en-US" w:eastAsia="zh-CN" w:bidi="ar-SA"/>
              </w:rPr>
            </w:pPr>
          </w:p>
        </w:tc>
        <w:tc>
          <w:tcPr>
            <w:tcW w:w="4210" w:type="dxa"/>
            <w:tcBorders>
              <w:top w:val="single" w:color="auto" w:sz="4" w:space="0"/>
              <w:bottom w:val="single" w:color="auto" w:sz="4" w:space="0"/>
            </w:tcBorders>
            <w:noWrap w:val="0"/>
            <w:vAlign w:val="center"/>
          </w:tcPr>
          <w:p>
            <w:pPr>
              <w:pStyle w:val="40"/>
              <w:spacing w:before="38" w:line="360" w:lineRule="auto"/>
              <w:ind w:left="104" w:leftChars="0"/>
              <w:jc w:val="center"/>
              <w:rPr>
                <w:rFonts w:hint="default" w:ascii="宋体" w:hAnsi="宋体" w:eastAsia="宋体" w:cs="宋体"/>
                <w:color w:val="auto"/>
                <w:kern w:val="0"/>
                <w:sz w:val="21"/>
                <w:szCs w:val="21"/>
                <w:highlight w:val="none"/>
                <w:lang w:val="en-US" w:eastAsia="zh-CN" w:bidi="ar-SA"/>
              </w:rPr>
            </w:pPr>
            <w:r>
              <w:rPr>
                <w:rFonts w:hint="eastAsia" w:cs="宋体"/>
                <w:color w:val="auto"/>
                <w:kern w:val="0"/>
                <w:sz w:val="21"/>
                <w:szCs w:val="21"/>
                <w:highlight w:val="none"/>
                <w:lang w:val="en-US" w:eastAsia="zh-CN" w:bidi="ar-SA"/>
              </w:rPr>
              <w:t>国家电投集团山西电力有限公司</w:t>
            </w:r>
          </w:p>
        </w:tc>
        <w:tc>
          <w:tcPr>
            <w:tcW w:w="2990" w:type="dxa"/>
            <w:tcBorders>
              <w:top w:val="single" w:color="auto" w:sz="4" w:space="0"/>
              <w:bottom w:val="single" w:color="auto" w:sz="4" w:space="0"/>
            </w:tcBorders>
            <w:noWrap w:val="0"/>
            <w:vAlign w:val="center"/>
          </w:tcPr>
          <w:p>
            <w:pPr>
              <w:pStyle w:val="40"/>
              <w:spacing w:before="38" w:line="360" w:lineRule="auto"/>
              <w:ind w:left="479" w:leftChars="0" w:right="479" w:righ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val="en-US" w:eastAsia="zh-CN"/>
              </w:rPr>
              <w:t>董事</w:t>
            </w:r>
          </w:p>
        </w:tc>
      </w:tr>
      <w:tr>
        <w:tblPrEx>
          <w:tblBorders>
            <w:top w:val="single" w:color="000000" w:sz="8" w:space="0"/>
            <w:left w:val="single" w:color="000000" w:sz="8"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exact"/>
        </w:trPr>
        <w:tc>
          <w:tcPr>
            <w:tcW w:w="1199" w:type="dxa"/>
            <w:vMerge w:val="continue"/>
            <w:tcBorders>
              <w:bottom w:val="single" w:color="auto" w:sz="4" w:space="0"/>
            </w:tcBorders>
            <w:noWrap w:val="0"/>
            <w:vAlign w:val="center"/>
          </w:tcPr>
          <w:p>
            <w:pPr>
              <w:pStyle w:val="40"/>
              <w:spacing w:before="38" w:line="360" w:lineRule="auto"/>
              <w:ind w:left="233" w:leftChars="0" w:right="234" w:rightChars="0"/>
              <w:jc w:val="center"/>
              <w:rPr>
                <w:rFonts w:hint="eastAsia" w:cs="宋体"/>
                <w:color w:val="auto"/>
                <w:kern w:val="0"/>
                <w:sz w:val="21"/>
                <w:szCs w:val="21"/>
                <w:highlight w:val="none"/>
                <w:lang w:val="en-US" w:eastAsia="zh-CN" w:bidi="ar-SA"/>
              </w:rPr>
            </w:pPr>
          </w:p>
        </w:tc>
        <w:tc>
          <w:tcPr>
            <w:tcW w:w="4210" w:type="dxa"/>
            <w:tcBorders>
              <w:top w:val="single" w:color="auto" w:sz="4" w:space="0"/>
              <w:bottom w:val="single" w:color="auto" w:sz="4" w:space="0"/>
            </w:tcBorders>
            <w:noWrap w:val="0"/>
            <w:vAlign w:val="center"/>
          </w:tcPr>
          <w:p>
            <w:pPr>
              <w:pStyle w:val="40"/>
              <w:spacing w:before="38" w:line="360" w:lineRule="auto"/>
              <w:ind w:left="104" w:leftChars="0"/>
              <w:jc w:val="center"/>
              <w:rPr>
                <w:rFonts w:hint="default" w:ascii="宋体" w:hAnsi="宋体" w:eastAsia="宋体" w:cs="宋体"/>
                <w:color w:val="auto"/>
                <w:kern w:val="0"/>
                <w:sz w:val="21"/>
                <w:szCs w:val="21"/>
                <w:highlight w:val="none"/>
                <w:lang w:val="en-US" w:eastAsia="zh-CN" w:bidi="ar-SA"/>
              </w:rPr>
            </w:pPr>
            <w:r>
              <w:rPr>
                <w:rFonts w:hint="eastAsia" w:cs="宋体"/>
                <w:color w:val="auto"/>
                <w:kern w:val="0"/>
                <w:sz w:val="21"/>
                <w:szCs w:val="21"/>
                <w:highlight w:val="none"/>
                <w:lang w:val="en-US" w:eastAsia="zh-CN" w:bidi="ar-SA"/>
              </w:rPr>
              <w:t>国家电投集团海南电力有限公司</w:t>
            </w:r>
          </w:p>
        </w:tc>
        <w:tc>
          <w:tcPr>
            <w:tcW w:w="2990" w:type="dxa"/>
            <w:tcBorders>
              <w:top w:val="single" w:color="auto" w:sz="4" w:space="0"/>
              <w:bottom w:val="single" w:color="auto" w:sz="4" w:space="0"/>
            </w:tcBorders>
            <w:noWrap w:val="0"/>
            <w:vAlign w:val="center"/>
          </w:tcPr>
          <w:p>
            <w:pPr>
              <w:pStyle w:val="40"/>
              <w:spacing w:before="38" w:line="360" w:lineRule="auto"/>
              <w:ind w:left="479" w:leftChars="0" w:right="479" w:righ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val="en-US" w:eastAsia="zh-CN"/>
              </w:rPr>
              <w:t>董事</w:t>
            </w:r>
          </w:p>
        </w:tc>
      </w:tr>
      <w:tr>
        <w:tblPrEx>
          <w:tblBorders>
            <w:top w:val="single" w:color="000000" w:sz="8" w:space="0"/>
            <w:left w:val="single" w:color="000000" w:sz="8"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exact"/>
        </w:trPr>
        <w:tc>
          <w:tcPr>
            <w:tcW w:w="1199" w:type="dxa"/>
            <w:vMerge w:val="continue"/>
            <w:tcBorders>
              <w:bottom w:val="single" w:color="auto" w:sz="4" w:space="0"/>
            </w:tcBorders>
            <w:noWrap w:val="0"/>
            <w:vAlign w:val="center"/>
          </w:tcPr>
          <w:p>
            <w:pPr>
              <w:pStyle w:val="40"/>
              <w:spacing w:before="38" w:line="360" w:lineRule="auto"/>
              <w:ind w:left="233" w:leftChars="0" w:right="234" w:rightChars="0"/>
              <w:jc w:val="center"/>
              <w:rPr>
                <w:rFonts w:hint="eastAsia" w:cs="宋体"/>
                <w:color w:val="auto"/>
                <w:kern w:val="0"/>
                <w:sz w:val="21"/>
                <w:szCs w:val="21"/>
                <w:highlight w:val="none"/>
                <w:lang w:val="en-US" w:eastAsia="zh-CN" w:bidi="ar-SA"/>
              </w:rPr>
            </w:pPr>
          </w:p>
        </w:tc>
        <w:tc>
          <w:tcPr>
            <w:tcW w:w="4210" w:type="dxa"/>
            <w:tcBorders>
              <w:top w:val="single" w:color="auto" w:sz="4" w:space="0"/>
              <w:bottom w:val="single" w:color="auto" w:sz="4" w:space="0"/>
            </w:tcBorders>
            <w:noWrap w:val="0"/>
            <w:vAlign w:val="center"/>
          </w:tcPr>
          <w:p>
            <w:pPr>
              <w:pStyle w:val="40"/>
              <w:spacing w:before="38" w:line="360" w:lineRule="auto"/>
              <w:ind w:left="104" w:leftChars="0"/>
              <w:jc w:val="center"/>
              <w:rPr>
                <w:rFonts w:hint="default" w:ascii="宋体" w:hAnsi="宋体" w:eastAsia="宋体" w:cs="宋体"/>
                <w:color w:val="auto"/>
                <w:kern w:val="0"/>
                <w:sz w:val="21"/>
                <w:szCs w:val="21"/>
                <w:highlight w:val="none"/>
                <w:lang w:val="en-US" w:eastAsia="zh-CN" w:bidi="ar-SA"/>
              </w:rPr>
            </w:pPr>
            <w:r>
              <w:rPr>
                <w:rFonts w:hint="eastAsia" w:cs="宋体"/>
                <w:color w:val="auto"/>
                <w:kern w:val="0"/>
                <w:sz w:val="21"/>
                <w:szCs w:val="21"/>
                <w:highlight w:val="none"/>
                <w:lang w:val="en-US" w:eastAsia="zh-CN" w:bidi="ar-SA"/>
              </w:rPr>
              <w:t>国家电投集团福建电力有限公司</w:t>
            </w:r>
          </w:p>
        </w:tc>
        <w:tc>
          <w:tcPr>
            <w:tcW w:w="2990" w:type="dxa"/>
            <w:tcBorders>
              <w:top w:val="single" w:color="auto" w:sz="4" w:space="0"/>
              <w:bottom w:val="single" w:color="auto" w:sz="4" w:space="0"/>
            </w:tcBorders>
            <w:noWrap w:val="0"/>
            <w:vAlign w:val="center"/>
          </w:tcPr>
          <w:p>
            <w:pPr>
              <w:pStyle w:val="40"/>
              <w:spacing w:before="38" w:line="360" w:lineRule="auto"/>
              <w:ind w:left="479" w:leftChars="0" w:right="479" w:righ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val="en-US" w:eastAsia="zh-CN"/>
              </w:rPr>
              <w:t>董事</w:t>
            </w:r>
          </w:p>
        </w:tc>
      </w:tr>
      <w:tr>
        <w:tblPrEx>
          <w:tblBorders>
            <w:top w:val="single" w:color="000000" w:sz="8" w:space="0"/>
            <w:left w:val="single" w:color="000000" w:sz="8"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6" w:hRule="exact"/>
        </w:trPr>
        <w:tc>
          <w:tcPr>
            <w:tcW w:w="1199" w:type="dxa"/>
            <w:vMerge w:val="restart"/>
            <w:tcBorders>
              <w:top w:val="single" w:color="auto" w:sz="4" w:space="0"/>
            </w:tcBorders>
            <w:noWrap w:val="0"/>
            <w:vAlign w:val="center"/>
          </w:tcPr>
          <w:p>
            <w:pPr>
              <w:pStyle w:val="40"/>
              <w:spacing w:before="38" w:line="360" w:lineRule="auto"/>
              <w:ind w:left="233" w:leftChars="0" w:right="234" w:rightChars="0"/>
              <w:jc w:val="center"/>
              <w:rPr>
                <w:rFonts w:hint="eastAsia"/>
                <w:color w:val="auto"/>
                <w:sz w:val="21"/>
                <w:szCs w:val="21"/>
                <w:highlight w:val="none"/>
                <w:lang w:eastAsia="zh-CN"/>
              </w:rPr>
            </w:pPr>
            <w:r>
              <w:rPr>
                <w:rFonts w:hint="eastAsia"/>
                <w:color w:val="auto"/>
                <w:sz w:val="21"/>
                <w:szCs w:val="21"/>
                <w:highlight w:val="none"/>
                <w:lang w:eastAsia="zh-CN"/>
              </w:rPr>
              <w:t>张  珂</w:t>
            </w:r>
          </w:p>
        </w:tc>
        <w:tc>
          <w:tcPr>
            <w:tcW w:w="4210" w:type="dxa"/>
            <w:tcBorders>
              <w:top w:val="single" w:color="auto" w:sz="4" w:space="0"/>
            </w:tcBorders>
            <w:noWrap w:val="0"/>
            <w:vAlign w:val="center"/>
          </w:tcPr>
          <w:p>
            <w:pPr>
              <w:pStyle w:val="40"/>
              <w:spacing w:before="38" w:line="360" w:lineRule="auto"/>
              <w:ind w:left="104" w:lef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eastAsia="zh-CN"/>
              </w:rPr>
              <w:t>贵州盘江电力投资有限公司</w:t>
            </w:r>
          </w:p>
        </w:tc>
        <w:tc>
          <w:tcPr>
            <w:tcW w:w="2990" w:type="dxa"/>
            <w:tcBorders>
              <w:top w:val="single" w:color="auto" w:sz="4" w:space="0"/>
            </w:tcBorders>
            <w:noWrap w:val="0"/>
            <w:vAlign w:val="center"/>
          </w:tcPr>
          <w:p>
            <w:pPr>
              <w:pStyle w:val="40"/>
              <w:spacing w:before="38" w:line="360" w:lineRule="auto"/>
              <w:ind w:left="479" w:leftChars="0" w:right="479" w:righ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eastAsia="zh-CN"/>
              </w:rPr>
              <w:t>董事兼总经理</w:t>
            </w:r>
          </w:p>
        </w:tc>
      </w:tr>
      <w:tr>
        <w:tblPrEx>
          <w:tblBorders>
            <w:top w:val="single" w:color="000000" w:sz="8" w:space="0"/>
            <w:left w:val="single" w:color="000000" w:sz="8"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exact"/>
        </w:trPr>
        <w:tc>
          <w:tcPr>
            <w:tcW w:w="1199" w:type="dxa"/>
            <w:vMerge w:val="continue"/>
            <w:tcBorders>
              <w:top w:val="single" w:color="auto" w:sz="4" w:space="0"/>
              <w:bottom w:val="single" w:color="auto" w:sz="4" w:space="0"/>
            </w:tcBorders>
            <w:noWrap w:val="0"/>
            <w:vAlign w:val="center"/>
          </w:tcPr>
          <w:p>
            <w:pPr>
              <w:pStyle w:val="40"/>
              <w:spacing w:before="38" w:line="360" w:lineRule="auto"/>
              <w:ind w:left="233" w:right="234"/>
              <w:jc w:val="center"/>
              <w:rPr>
                <w:rFonts w:hint="eastAsia"/>
                <w:color w:val="auto"/>
                <w:sz w:val="21"/>
                <w:szCs w:val="21"/>
                <w:highlight w:val="none"/>
                <w:lang w:eastAsia="zh-CN"/>
              </w:rPr>
            </w:pPr>
          </w:p>
        </w:tc>
        <w:tc>
          <w:tcPr>
            <w:tcW w:w="4210" w:type="dxa"/>
            <w:noWrap w:val="0"/>
            <w:vAlign w:val="center"/>
          </w:tcPr>
          <w:p>
            <w:pPr>
              <w:pStyle w:val="40"/>
              <w:spacing w:before="38" w:line="360" w:lineRule="auto"/>
              <w:ind w:left="104" w:lef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eastAsia="zh-CN"/>
              </w:rPr>
              <w:t>贵州盘江电投发电有限公司</w:t>
            </w:r>
          </w:p>
        </w:tc>
        <w:tc>
          <w:tcPr>
            <w:tcW w:w="2990" w:type="dxa"/>
            <w:noWrap w:val="0"/>
            <w:vAlign w:val="center"/>
          </w:tcPr>
          <w:p>
            <w:pPr>
              <w:pStyle w:val="40"/>
              <w:spacing w:before="38" w:line="360" w:lineRule="auto"/>
              <w:ind w:left="479" w:leftChars="0" w:right="479" w:righ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eastAsia="zh-CN"/>
              </w:rPr>
              <w:t>董事兼总经理</w:t>
            </w:r>
          </w:p>
        </w:tc>
      </w:tr>
      <w:tr>
        <w:tblPrEx>
          <w:tblBorders>
            <w:top w:val="single" w:color="000000" w:sz="8" w:space="0"/>
            <w:left w:val="single" w:color="000000" w:sz="8"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exact"/>
        </w:trPr>
        <w:tc>
          <w:tcPr>
            <w:tcW w:w="1199" w:type="dxa"/>
            <w:vMerge w:val="continue"/>
            <w:tcBorders>
              <w:top w:val="single" w:color="auto" w:sz="4" w:space="0"/>
              <w:bottom w:val="single" w:color="auto" w:sz="4" w:space="0"/>
            </w:tcBorders>
            <w:noWrap w:val="0"/>
            <w:vAlign w:val="center"/>
          </w:tcPr>
          <w:p>
            <w:pPr>
              <w:pStyle w:val="40"/>
              <w:spacing w:before="38" w:line="360" w:lineRule="auto"/>
              <w:ind w:left="233" w:right="234"/>
              <w:jc w:val="center"/>
              <w:rPr>
                <w:rFonts w:hint="eastAsia"/>
                <w:color w:val="auto"/>
                <w:sz w:val="21"/>
                <w:szCs w:val="21"/>
                <w:highlight w:val="none"/>
                <w:lang w:eastAsia="zh-CN"/>
              </w:rPr>
            </w:pPr>
          </w:p>
        </w:tc>
        <w:tc>
          <w:tcPr>
            <w:tcW w:w="4210" w:type="dxa"/>
            <w:noWrap w:val="0"/>
            <w:vAlign w:val="center"/>
          </w:tcPr>
          <w:p>
            <w:pPr>
              <w:pStyle w:val="40"/>
              <w:spacing w:before="38" w:line="360" w:lineRule="auto"/>
              <w:ind w:left="104" w:lef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eastAsia="zh-CN"/>
              </w:rPr>
              <w:t>贵州盘江力博装备制造有限公司</w:t>
            </w:r>
          </w:p>
        </w:tc>
        <w:tc>
          <w:tcPr>
            <w:tcW w:w="2990" w:type="dxa"/>
            <w:noWrap w:val="0"/>
            <w:vAlign w:val="center"/>
          </w:tcPr>
          <w:p>
            <w:pPr>
              <w:pStyle w:val="40"/>
              <w:spacing w:before="38" w:line="360" w:lineRule="auto"/>
              <w:ind w:left="479" w:leftChars="0" w:right="479" w:righ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eastAsia="zh-CN"/>
              </w:rPr>
              <w:t>董事</w:t>
            </w:r>
          </w:p>
        </w:tc>
      </w:tr>
      <w:tr>
        <w:tblPrEx>
          <w:tblBorders>
            <w:top w:val="single" w:color="000000" w:sz="8" w:space="0"/>
            <w:left w:val="single" w:color="000000" w:sz="8"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exact"/>
        </w:trPr>
        <w:tc>
          <w:tcPr>
            <w:tcW w:w="1199" w:type="dxa"/>
            <w:tcBorders>
              <w:top w:val="single" w:color="auto" w:sz="4" w:space="0"/>
            </w:tcBorders>
            <w:noWrap w:val="0"/>
            <w:vAlign w:val="center"/>
          </w:tcPr>
          <w:p>
            <w:pPr>
              <w:pStyle w:val="40"/>
              <w:spacing w:before="38" w:line="360" w:lineRule="auto"/>
              <w:ind w:left="233" w:leftChars="0" w:right="234" w:righ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val="en-US" w:eastAsia="zh-CN"/>
              </w:rPr>
              <w:t>赵华邦</w:t>
            </w:r>
          </w:p>
        </w:tc>
        <w:tc>
          <w:tcPr>
            <w:tcW w:w="4210" w:type="dxa"/>
            <w:tcBorders>
              <w:top w:val="single" w:color="auto" w:sz="4" w:space="0"/>
            </w:tcBorders>
            <w:noWrap w:val="0"/>
            <w:vAlign w:val="center"/>
          </w:tcPr>
          <w:p>
            <w:pPr>
              <w:pStyle w:val="40"/>
              <w:spacing w:before="38" w:line="360" w:lineRule="auto"/>
              <w:ind w:left="104" w:lef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val="en-US" w:eastAsia="zh-CN"/>
              </w:rPr>
              <w:t>贵州能源集团有限公司</w:t>
            </w:r>
          </w:p>
        </w:tc>
        <w:tc>
          <w:tcPr>
            <w:tcW w:w="2990" w:type="dxa"/>
            <w:tcBorders>
              <w:top w:val="single" w:color="auto" w:sz="4" w:space="0"/>
            </w:tcBorders>
            <w:noWrap w:val="0"/>
            <w:vAlign w:val="center"/>
          </w:tcPr>
          <w:p>
            <w:pPr>
              <w:pStyle w:val="40"/>
              <w:spacing w:before="38" w:line="360" w:lineRule="auto"/>
              <w:ind w:left="479" w:leftChars="0" w:right="479" w:righ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val="en-US" w:eastAsia="zh-CN"/>
              </w:rPr>
              <w:t>副总工程师</w:t>
            </w:r>
          </w:p>
        </w:tc>
      </w:tr>
      <w:tr>
        <w:tblPrEx>
          <w:tblBorders>
            <w:top w:val="single" w:color="000000" w:sz="8" w:space="0"/>
            <w:left w:val="single" w:color="000000" w:sz="8"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exact"/>
        </w:trPr>
        <w:tc>
          <w:tcPr>
            <w:tcW w:w="1199" w:type="dxa"/>
            <w:vMerge w:val="restart"/>
            <w:noWrap w:val="0"/>
            <w:vAlign w:val="center"/>
          </w:tcPr>
          <w:p>
            <w:pPr>
              <w:pStyle w:val="40"/>
              <w:spacing w:before="38" w:line="360" w:lineRule="auto"/>
              <w:ind w:left="233" w:leftChars="0" w:right="234" w:righ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eastAsia="zh-CN"/>
              </w:rPr>
              <w:t>葛斌峰</w:t>
            </w:r>
          </w:p>
        </w:tc>
        <w:tc>
          <w:tcPr>
            <w:tcW w:w="4210" w:type="dxa"/>
            <w:noWrap w:val="0"/>
            <w:vAlign w:val="center"/>
          </w:tcPr>
          <w:p>
            <w:pPr>
              <w:pStyle w:val="40"/>
              <w:spacing w:before="38" w:line="360" w:lineRule="auto"/>
              <w:ind w:left="104" w:lef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val="en-US" w:eastAsia="zh-CN"/>
              </w:rPr>
              <w:t>贵州金元织金清洁能源公司</w:t>
            </w:r>
          </w:p>
        </w:tc>
        <w:tc>
          <w:tcPr>
            <w:tcW w:w="2990" w:type="dxa"/>
            <w:noWrap w:val="0"/>
            <w:vAlign w:val="center"/>
          </w:tcPr>
          <w:p>
            <w:pPr>
              <w:pStyle w:val="40"/>
              <w:spacing w:before="38" w:line="360" w:lineRule="auto"/>
              <w:ind w:left="479" w:leftChars="0" w:right="479" w:righ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val="en-US" w:eastAsia="zh-CN"/>
              </w:rPr>
              <w:t>董事</w:t>
            </w:r>
          </w:p>
        </w:tc>
      </w:tr>
      <w:tr>
        <w:tblPrEx>
          <w:tblBorders>
            <w:top w:val="single" w:color="000000" w:sz="8" w:space="0"/>
            <w:left w:val="single" w:color="000000" w:sz="8"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exact"/>
        </w:trPr>
        <w:tc>
          <w:tcPr>
            <w:tcW w:w="1199" w:type="dxa"/>
            <w:vMerge w:val="continue"/>
            <w:noWrap w:val="0"/>
            <w:vAlign w:val="center"/>
          </w:tcPr>
          <w:p>
            <w:pPr>
              <w:pStyle w:val="40"/>
              <w:spacing w:before="38" w:line="360" w:lineRule="auto"/>
              <w:ind w:left="233" w:right="234"/>
              <w:jc w:val="center"/>
              <w:rPr>
                <w:rFonts w:hint="eastAsia"/>
                <w:color w:val="auto"/>
                <w:sz w:val="21"/>
                <w:szCs w:val="21"/>
                <w:highlight w:val="none"/>
                <w:lang w:eastAsia="zh-CN"/>
              </w:rPr>
            </w:pPr>
          </w:p>
        </w:tc>
        <w:tc>
          <w:tcPr>
            <w:tcW w:w="4210" w:type="dxa"/>
            <w:noWrap w:val="0"/>
            <w:vAlign w:val="center"/>
          </w:tcPr>
          <w:p>
            <w:pPr>
              <w:pStyle w:val="40"/>
              <w:spacing w:before="38" w:line="360" w:lineRule="auto"/>
              <w:ind w:left="104" w:lef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val="en-US" w:eastAsia="zh-CN"/>
              </w:rPr>
              <w:t>贵州金元蒙江水电</w:t>
            </w:r>
          </w:p>
        </w:tc>
        <w:tc>
          <w:tcPr>
            <w:tcW w:w="2990" w:type="dxa"/>
            <w:noWrap w:val="0"/>
            <w:vAlign w:val="center"/>
          </w:tcPr>
          <w:p>
            <w:pPr>
              <w:pStyle w:val="40"/>
              <w:spacing w:before="38" w:line="360" w:lineRule="auto"/>
              <w:ind w:left="479" w:leftChars="0" w:right="479" w:righ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eastAsia="zh-CN"/>
              </w:rPr>
              <w:t>董事</w:t>
            </w:r>
          </w:p>
        </w:tc>
      </w:tr>
      <w:tr>
        <w:tblPrEx>
          <w:tblBorders>
            <w:top w:val="single" w:color="000000" w:sz="8" w:space="0"/>
            <w:left w:val="single" w:color="000000" w:sz="8"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exact"/>
        </w:trPr>
        <w:tc>
          <w:tcPr>
            <w:tcW w:w="1199" w:type="dxa"/>
            <w:vMerge w:val="continue"/>
            <w:noWrap w:val="0"/>
            <w:vAlign w:val="center"/>
          </w:tcPr>
          <w:p>
            <w:pPr>
              <w:pStyle w:val="40"/>
              <w:spacing w:before="38" w:line="360" w:lineRule="auto"/>
              <w:ind w:left="233" w:right="234"/>
              <w:jc w:val="center"/>
              <w:rPr>
                <w:rFonts w:hint="eastAsia"/>
                <w:color w:val="auto"/>
                <w:sz w:val="21"/>
                <w:szCs w:val="21"/>
                <w:highlight w:val="none"/>
                <w:lang w:eastAsia="zh-CN"/>
              </w:rPr>
            </w:pPr>
          </w:p>
        </w:tc>
        <w:tc>
          <w:tcPr>
            <w:tcW w:w="4210" w:type="dxa"/>
            <w:noWrap w:val="0"/>
            <w:vAlign w:val="center"/>
          </w:tcPr>
          <w:p>
            <w:pPr>
              <w:pStyle w:val="40"/>
              <w:spacing w:before="38" w:line="360" w:lineRule="auto"/>
              <w:ind w:left="104" w:lef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eastAsia="zh-CN"/>
              </w:rPr>
              <w:t>贵州钟山野马</w:t>
            </w:r>
            <w:r>
              <w:rPr>
                <w:rFonts w:hint="eastAsia"/>
                <w:color w:val="auto"/>
                <w:sz w:val="21"/>
                <w:szCs w:val="21"/>
                <w:highlight w:val="none"/>
                <w:lang w:val="en-US" w:eastAsia="zh-CN"/>
              </w:rPr>
              <w:t>寨</w:t>
            </w:r>
            <w:r>
              <w:rPr>
                <w:rFonts w:hint="eastAsia"/>
                <w:color w:val="auto"/>
                <w:sz w:val="21"/>
                <w:szCs w:val="21"/>
                <w:highlight w:val="none"/>
                <w:lang w:eastAsia="zh-CN"/>
              </w:rPr>
              <w:t>热电有限公司</w:t>
            </w:r>
          </w:p>
        </w:tc>
        <w:tc>
          <w:tcPr>
            <w:tcW w:w="2990" w:type="dxa"/>
            <w:noWrap w:val="0"/>
            <w:vAlign w:val="center"/>
          </w:tcPr>
          <w:p>
            <w:pPr>
              <w:pStyle w:val="40"/>
              <w:spacing w:before="38" w:line="360" w:lineRule="auto"/>
              <w:ind w:left="479" w:leftChars="0" w:right="479" w:righ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eastAsia="zh-CN"/>
              </w:rPr>
              <w:t>董事</w:t>
            </w:r>
          </w:p>
        </w:tc>
      </w:tr>
      <w:tr>
        <w:tblPrEx>
          <w:tblBorders>
            <w:top w:val="single" w:color="000000" w:sz="8" w:space="0"/>
            <w:left w:val="single" w:color="000000" w:sz="8"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exact"/>
        </w:trPr>
        <w:tc>
          <w:tcPr>
            <w:tcW w:w="1199" w:type="dxa"/>
            <w:vMerge w:val="continue"/>
            <w:noWrap w:val="0"/>
            <w:vAlign w:val="center"/>
          </w:tcPr>
          <w:p>
            <w:pPr>
              <w:pStyle w:val="40"/>
              <w:spacing w:before="38" w:line="360" w:lineRule="auto"/>
              <w:ind w:left="233" w:right="234"/>
              <w:jc w:val="center"/>
              <w:rPr>
                <w:rFonts w:hint="eastAsia"/>
                <w:color w:val="auto"/>
                <w:sz w:val="21"/>
                <w:szCs w:val="21"/>
                <w:highlight w:val="none"/>
                <w:lang w:eastAsia="zh-CN"/>
              </w:rPr>
            </w:pPr>
          </w:p>
        </w:tc>
        <w:tc>
          <w:tcPr>
            <w:tcW w:w="4210" w:type="dxa"/>
            <w:noWrap w:val="0"/>
            <w:vAlign w:val="center"/>
          </w:tcPr>
          <w:p>
            <w:pPr>
              <w:pStyle w:val="40"/>
              <w:spacing w:before="38" w:line="360" w:lineRule="auto"/>
              <w:ind w:left="104" w:lef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val="en-US" w:eastAsia="zh-CN"/>
              </w:rPr>
              <w:t>贵州金元鸭溪发电</w:t>
            </w:r>
          </w:p>
        </w:tc>
        <w:tc>
          <w:tcPr>
            <w:tcW w:w="2990" w:type="dxa"/>
            <w:noWrap w:val="0"/>
            <w:vAlign w:val="center"/>
          </w:tcPr>
          <w:p>
            <w:pPr>
              <w:pStyle w:val="40"/>
              <w:spacing w:before="38" w:line="360" w:lineRule="auto"/>
              <w:ind w:left="479" w:leftChars="0" w:right="479" w:righ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val="en-US" w:eastAsia="zh-CN"/>
              </w:rPr>
              <w:t>监事</w:t>
            </w:r>
          </w:p>
        </w:tc>
      </w:tr>
      <w:tr>
        <w:tblPrEx>
          <w:tblBorders>
            <w:top w:val="single" w:color="000000" w:sz="8" w:space="0"/>
            <w:left w:val="single" w:color="000000" w:sz="8"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exact"/>
        </w:trPr>
        <w:tc>
          <w:tcPr>
            <w:tcW w:w="1199" w:type="dxa"/>
            <w:vMerge w:val="restart"/>
            <w:vAlign w:val="center"/>
          </w:tcPr>
          <w:p>
            <w:pPr>
              <w:pStyle w:val="40"/>
              <w:spacing w:before="38" w:line="360" w:lineRule="auto"/>
              <w:ind w:left="233" w:leftChars="0" w:right="234" w:righ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eastAsia="zh-CN"/>
              </w:rPr>
              <w:t>方德亚</w:t>
            </w:r>
          </w:p>
        </w:tc>
        <w:tc>
          <w:tcPr>
            <w:tcW w:w="4210" w:type="dxa"/>
            <w:vAlign w:val="center"/>
          </w:tcPr>
          <w:p>
            <w:pPr>
              <w:pStyle w:val="40"/>
              <w:spacing w:before="38" w:line="360" w:lineRule="auto"/>
              <w:ind w:left="104" w:lef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eastAsia="zh-CN"/>
              </w:rPr>
              <w:t>贵州</w:t>
            </w:r>
            <w:r>
              <w:rPr>
                <w:rFonts w:hint="eastAsia"/>
                <w:color w:val="auto"/>
                <w:sz w:val="21"/>
                <w:szCs w:val="21"/>
                <w:highlight w:val="none"/>
                <w:lang w:val="en-US" w:eastAsia="zh-CN"/>
              </w:rPr>
              <w:t>能源资产管理有限公司</w:t>
            </w:r>
          </w:p>
        </w:tc>
        <w:tc>
          <w:tcPr>
            <w:tcW w:w="2990" w:type="dxa"/>
            <w:vAlign w:val="center"/>
          </w:tcPr>
          <w:p>
            <w:pPr>
              <w:pStyle w:val="40"/>
              <w:spacing w:before="38" w:line="360" w:lineRule="auto"/>
              <w:ind w:left="479" w:leftChars="0" w:right="479" w:righ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val="en-US" w:eastAsia="zh-CN"/>
              </w:rPr>
              <w:t>党委书记、董事长</w:t>
            </w:r>
          </w:p>
        </w:tc>
      </w:tr>
      <w:tr>
        <w:tblPrEx>
          <w:tblBorders>
            <w:top w:val="single" w:color="000000" w:sz="8" w:space="0"/>
            <w:left w:val="single" w:color="000000" w:sz="8"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exact"/>
        </w:trPr>
        <w:tc>
          <w:tcPr>
            <w:tcW w:w="1199" w:type="dxa"/>
            <w:vMerge w:val="continue"/>
          </w:tcPr>
          <w:p>
            <w:pPr>
              <w:pStyle w:val="40"/>
              <w:spacing w:before="38" w:line="360" w:lineRule="auto"/>
              <w:ind w:left="233" w:right="234"/>
              <w:jc w:val="center"/>
              <w:rPr>
                <w:rFonts w:hint="eastAsia"/>
                <w:color w:val="auto"/>
                <w:sz w:val="21"/>
                <w:szCs w:val="21"/>
                <w:highlight w:val="none"/>
                <w:lang w:eastAsia="zh-CN"/>
              </w:rPr>
            </w:pPr>
          </w:p>
        </w:tc>
        <w:tc>
          <w:tcPr>
            <w:tcW w:w="4210" w:type="dxa"/>
            <w:vAlign w:val="center"/>
          </w:tcPr>
          <w:p>
            <w:pPr>
              <w:pStyle w:val="40"/>
              <w:spacing w:before="38" w:line="360" w:lineRule="auto"/>
              <w:ind w:left="104" w:lef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val="en-US" w:eastAsia="zh-CN"/>
              </w:rPr>
              <w:t>贵州能源集团电力投资有限公司</w:t>
            </w:r>
          </w:p>
        </w:tc>
        <w:tc>
          <w:tcPr>
            <w:tcW w:w="2990" w:type="dxa"/>
            <w:vAlign w:val="center"/>
          </w:tcPr>
          <w:p>
            <w:pPr>
              <w:pStyle w:val="40"/>
              <w:spacing w:before="38" w:line="360" w:lineRule="auto"/>
              <w:ind w:left="479" w:leftChars="0" w:right="479" w:righ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eastAsia="zh-CN"/>
              </w:rPr>
              <w:t>监事会主席</w:t>
            </w:r>
          </w:p>
        </w:tc>
      </w:tr>
      <w:tr>
        <w:tblPrEx>
          <w:tblBorders>
            <w:top w:val="single" w:color="000000" w:sz="8" w:space="0"/>
            <w:left w:val="single" w:color="000000" w:sz="8"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exact"/>
        </w:trPr>
        <w:tc>
          <w:tcPr>
            <w:tcW w:w="1199" w:type="dxa"/>
            <w:vMerge w:val="continue"/>
          </w:tcPr>
          <w:p>
            <w:pPr>
              <w:pStyle w:val="40"/>
              <w:spacing w:before="38" w:line="360" w:lineRule="auto"/>
              <w:ind w:left="233" w:right="234"/>
              <w:jc w:val="center"/>
              <w:rPr>
                <w:rFonts w:hint="eastAsia"/>
                <w:color w:val="auto"/>
                <w:sz w:val="21"/>
                <w:szCs w:val="21"/>
                <w:highlight w:val="none"/>
                <w:lang w:eastAsia="zh-CN"/>
              </w:rPr>
            </w:pPr>
          </w:p>
        </w:tc>
        <w:tc>
          <w:tcPr>
            <w:tcW w:w="4210" w:type="dxa"/>
            <w:vAlign w:val="center"/>
          </w:tcPr>
          <w:p>
            <w:pPr>
              <w:pStyle w:val="40"/>
              <w:spacing w:before="38" w:line="360" w:lineRule="auto"/>
              <w:ind w:left="104" w:lef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eastAsia="zh-CN"/>
              </w:rPr>
              <w:t>六枝工矿（集团）有限责任公司</w:t>
            </w:r>
          </w:p>
        </w:tc>
        <w:tc>
          <w:tcPr>
            <w:tcW w:w="2990" w:type="dxa"/>
            <w:vAlign w:val="center"/>
          </w:tcPr>
          <w:p>
            <w:pPr>
              <w:pStyle w:val="40"/>
              <w:spacing w:before="38" w:line="360" w:lineRule="auto"/>
              <w:ind w:left="479" w:leftChars="0" w:right="479" w:righ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eastAsia="zh-CN"/>
              </w:rPr>
              <w:t>监事会主席</w:t>
            </w:r>
          </w:p>
        </w:tc>
      </w:tr>
      <w:tr>
        <w:tblPrEx>
          <w:tblBorders>
            <w:top w:val="single" w:color="000000" w:sz="8" w:space="0"/>
            <w:left w:val="single" w:color="000000" w:sz="8"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exact"/>
        </w:trPr>
        <w:tc>
          <w:tcPr>
            <w:tcW w:w="1199" w:type="dxa"/>
            <w:vMerge w:val="restart"/>
            <w:vAlign w:val="center"/>
          </w:tcPr>
          <w:p>
            <w:pPr>
              <w:pStyle w:val="40"/>
              <w:spacing w:before="38" w:line="360" w:lineRule="auto"/>
              <w:ind w:left="233" w:right="234"/>
              <w:jc w:val="center"/>
              <w:rPr>
                <w:rFonts w:hint="default"/>
                <w:color w:val="auto"/>
                <w:sz w:val="21"/>
                <w:szCs w:val="21"/>
                <w:highlight w:val="none"/>
                <w:lang w:val="en-US" w:eastAsia="zh-CN"/>
              </w:rPr>
            </w:pPr>
            <w:r>
              <w:rPr>
                <w:rFonts w:hint="eastAsia"/>
                <w:color w:val="auto"/>
                <w:sz w:val="21"/>
                <w:szCs w:val="21"/>
                <w:highlight w:val="none"/>
                <w:lang w:val="en-US" w:eastAsia="zh-CN"/>
              </w:rPr>
              <w:t>付  洁</w:t>
            </w:r>
          </w:p>
        </w:tc>
        <w:tc>
          <w:tcPr>
            <w:tcW w:w="4210" w:type="dxa"/>
            <w:vAlign w:val="center"/>
          </w:tcPr>
          <w:p>
            <w:pPr>
              <w:pStyle w:val="40"/>
              <w:spacing w:before="38" w:line="360" w:lineRule="auto"/>
              <w:ind w:left="104" w:leftChars="0"/>
              <w:jc w:val="center"/>
              <w:rPr>
                <w:rFonts w:hint="default"/>
                <w:color w:val="auto"/>
                <w:sz w:val="21"/>
                <w:szCs w:val="21"/>
                <w:highlight w:val="none"/>
                <w:lang w:val="en-US" w:eastAsia="zh-CN"/>
              </w:rPr>
            </w:pPr>
            <w:r>
              <w:rPr>
                <w:rFonts w:hint="eastAsia"/>
                <w:color w:val="auto"/>
                <w:sz w:val="21"/>
                <w:szCs w:val="21"/>
                <w:highlight w:val="none"/>
                <w:lang w:val="en-US" w:eastAsia="zh-CN"/>
              </w:rPr>
              <w:t>贵州能源集团有限公司</w:t>
            </w:r>
          </w:p>
        </w:tc>
        <w:tc>
          <w:tcPr>
            <w:tcW w:w="2990" w:type="dxa"/>
            <w:vAlign w:val="center"/>
          </w:tcPr>
          <w:p>
            <w:pPr>
              <w:pStyle w:val="40"/>
              <w:spacing w:before="38" w:line="360" w:lineRule="auto"/>
              <w:ind w:left="479" w:leftChars="0" w:right="479" w:rightChars="0"/>
              <w:jc w:val="center"/>
              <w:rPr>
                <w:rFonts w:hint="default"/>
                <w:color w:val="auto"/>
                <w:sz w:val="21"/>
                <w:szCs w:val="21"/>
                <w:highlight w:val="none"/>
                <w:lang w:val="en-US" w:eastAsia="zh-CN"/>
              </w:rPr>
            </w:pPr>
            <w:r>
              <w:rPr>
                <w:rFonts w:hint="eastAsia"/>
                <w:color w:val="auto"/>
                <w:sz w:val="21"/>
                <w:szCs w:val="21"/>
                <w:highlight w:val="none"/>
                <w:lang w:val="en-US" w:eastAsia="zh-CN"/>
              </w:rPr>
              <w:t>审计部部长</w:t>
            </w:r>
          </w:p>
        </w:tc>
      </w:tr>
      <w:tr>
        <w:tblPrEx>
          <w:tblBorders>
            <w:top w:val="single" w:color="000000" w:sz="8" w:space="0"/>
            <w:left w:val="single" w:color="000000" w:sz="8"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exact"/>
        </w:trPr>
        <w:tc>
          <w:tcPr>
            <w:tcW w:w="1199" w:type="dxa"/>
            <w:vMerge w:val="continue"/>
          </w:tcPr>
          <w:p>
            <w:pPr>
              <w:pStyle w:val="40"/>
              <w:spacing w:before="38" w:line="360" w:lineRule="auto"/>
              <w:ind w:left="233" w:right="234"/>
              <w:jc w:val="center"/>
              <w:rPr>
                <w:rFonts w:hint="eastAsia"/>
                <w:color w:val="auto"/>
                <w:sz w:val="21"/>
                <w:szCs w:val="21"/>
                <w:highlight w:val="none"/>
                <w:lang w:eastAsia="zh-CN"/>
              </w:rPr>
            </w:pPr>
          </w:p>
        </w:tc>
        <w:tc>
          <w:tcPr>
            <w:tcW w:w="4210" w:type="dxa"/>
            <w:vAlign w:val="center"/>
          </w:tcPr>
          <w:p>
            <w:pPr>
              <w:pStyle w:val="40"/>
              <w:spacing w:before="38" w:line="360" w:lineRule="auto"/>
              <w:ind w:left="104" w:leftChars="0"/>
              <w:jc w:val="center"/>
              <w:rPr>
                <w:rFonts w:hint="default"/>
                <w:color w:val="auto"/>
                <w:sz w:val="21"/>
                <w:szCs w:val="21"/>
                <w:highlight w:val="none"/>
                <w:lang w:val="en-US" w:eastAsia="zh-CN"/>
              </w:rPr>
            </w:pPr>
            <w:r>
              <w:rPr>
                <w:rFonts w:hint="eastAsia"/>
                <w:color w:val="auto"/>
                <w:sz w:val="21"/>
                <w:szCs w:val="21"/>
                <w:highlight w:val="none"/>
                <w:lang w:val="en-US" w:eastAsia="zh-CN"/>
              </w:rPr>
              <w:t>贵州页岩气勘探开发有限责任公司</w:t>
            </w:r>
          </w:p>
        </w:tc>
        <w:tc>
          <w:tcPr>
            <w:tcW w:w="2990" w:type="dxa"/>
            <w:vAlign w:val="center"/>
          </w:tcPr>
          <w:p>
            <w:pPr>
              <w:pStyle w:val="40"/>
              <w:spacing w:before="38" w:line="360" w:lineRule="auto"/>
              <w:ind w:left="479" w:leftChars="0" w:right="479" w:rightChars="0"/>
              <w:jc w:val="center"/>
              <w:rPr>
                <w:rFonts w:hint="default"/>
                <w:color w:val="auto"/>
                <w:sz w:val="21"/>
                <w:szCs w:val="21"/>
                <w:highlight w:val="none"/>
                <w:lang w:val="en-US" w:eastAsia="zh-CN"/>
              </w:rPr>
            </w:pPr>
            <w:r>
              <w:rPr>
                <w:rFonts w:hint="eastAsia"/>
                <w:color w:val="auto"/>
                <w:sz w:val="21"/>
                <w:szCs w:val="21"/>
                <w:highlight w:val="none"/>
                <w:lang w:val="en-US" w:eastAsia="zh-CN"/>
              </w:rPr>
              <w:t>总会计师</w:t>
            </w:r>
          </w:p>
        </w:tc>
      </w:tr>
    </w:tbl>
    <w:p>
      <w:pPr>
        <w:spacing w:line="360" w:lineRule="auto"/>
        <w:ind w:firstLine="482" w:firstLineChars="20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zh-CN" w:eastAsia="zh-CN"/>
        </w:rPr>
        <w:t>四、外部监事在除本公司以外单位任职的情况</w:t>
      </w:r>
    </w:p>
    <w:tbl>
      <w:tblPr>
        <w:tblStyle w:val="22"/>
        <w:tblW w:w="8399" w:type="dxa"/>
        <w:tblInd w:w="-11" w:type="dxa"/>
        <w:tblBorders>
          <w:top w:val="single" w:color="000000" w:sz="8" w:space="0"/>
          <w:left w:val="single" w:color="000000" w:sz="8" w:space="0"/>
          <w:bottom w:val="single" w:color="000000" w:sz="8"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9"/>
        <w:gridCol w:w="4210"/>
        <w:gridCol w:w="2990"/>
      </w:tblGrid>
      <w:tr>
        <w:tblPrEx>
          <w:tblBorders>
            <w:top w:val="single" w:color="000000" w:sz="8" w:space="0"/>
            <w:left w:val="single" w:color="000000" w:sz="8"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exact"/>
        </w:trPr>
        <w:tc>
          <w:tcPr>
            <w:tcW w:w="1199" w:type="dxa"/>
            <w:tcBorders>
              <w:bottom w:val="single" w:color="auto" w:sz="4" w:space="0"/>
            </w:tcBorders>
            <w:vAlign w:val="center"/>
          </w:tcPr>
          <w:p>
            <w:pPr>
              <w:pStyle w:val="40"/>
              <w:spacing w:before="4" w:line="360" w:lineRule="auto"/>
              <w:ind w:left="233" w:leftChars="0" w:right="234" w:rightChars="0"/>
              <w:jc w:val="center"/>
              <w:rPr>
                <w:rFonts w:hint="eastAsia" w:ascii="宋体" w:hAnsi="宋体" w:eastAsia="宋体" w:cs="宋体"/>
                <w:b/>
                <w:bCs/>
                <w:color w:val="auto"/>
                <w:kern w:val="0"/>
                <w:sz w:val="21"/>
                <w:szCs w:val="21"/>
                <w:highlight w:val="none"/>
                <w:lang w:val="en-US" w:eastAsia="zh-CN" w:bidi="ar-SA"/>
              </w:rPr>
            </w:pPr>
            <w:r>
              <w:rPr>
                <w:rFonts w:hint="eastAsia"/>
                <w:b/>
                <w:bCs/>
                <w:color w:val="auto"/>
                <w:sz w:val="21"/>
                <w:szCs w:val="21"/>
                <w:highlight w:val="none"/>
              </w:rPr>
              <w:t>姓名</w:t>
            </w:r>
          </w:p>
        </w:tc>
        <w:tc>
          <w:tcPr>
            <w:tcW w:w="4210" w:type="dxa"/>
            <w:tcBorders>
              <w:bottom w:val="single" w:color="auto" w:sz="4" w:space="0"/>
            </w:tcBorders>
            <w:vAlign w:val="center"/>
          </w:tcPr>
          <w:p>
            <w:pPr>
              <w:pStyle w:val="40"/>
              <w:spacing w:before="4" w:line="360" w:lineRule="auto"/>
              <w:jc w:val="center"/>
              <w:rPr>
                <w:rFonts w:hint="eastAsia" w:ascii="宋体" w:hAnsi="宋体" w:eastAsia="宋体" w:cs="宋体"/>
                <w:b/>
                <w:bCs/>
                <w:color w:val="auto"/>
                <w:kern w:val="0"/>
                <w:sz w:val="21"/>
                <w:szCs w:val="21"/>
                <w:highlight w:val="none"/>
                <w:lang w:val="en-US" w:eastAsia="zh-CN" w:bidi="ar-SA"/>
              </w:rPr>
            </w:pPr>
            <w:r>
              <w:rPr>
                <w:rFonts w:hint="eastAsia"/>
                <w:b/>
                <w:bCs/>
                <w:color w:val="auto"/>
                <w:sz w:val="21"/>
                <w:szCs w:val="21"/>
                <w:highlight w:val="none"/>
              </w:rPr>
              <w:t>任职单位名称</w:t>
            </w:r>
          </w:p>
        </w:tc>
        <w:tc>
          <w:tcPr>
            <w:tcW w:w="2990" w:type="dxa"/>
            <w:tcBorders>
              <w:bottom w:val="single" w:color="auto" w:sz="4" w:space="0"/>
            </w:tcBorders>
            <w:vAlign w:val="center"/>
          </w:tcPr>
          <w:p>
            <w:pPr>
              <w:pStyle w:val="40"/>
              <w:spacing w:before="4" w:line="360" w:lineRule="auto"/>
              <w:ind w:left="479" w:leftChars="0" w:right="479" w:rightChars="0"/>
              <w:jc w:val="center"/>
              <w:rPr>
                <w:rFonts w:hint="eastAsia" w:ascii="宋体" w:hAnsi="宋体" w:eastAsia="宋体" w:cs="宋体"/>
                <w:b/>
                <w:bCs/>
                <w:color w:val="auto"/>
                <w:kern w:val="0"/>
                <w:sz w:val="21"/>
                <w:szCs w:val="21"/>
                <w:highlight w:val="none"/>
                <w:lang w:val="en-US" w:eastAsia="zh-CN" w:bidi="ar-SA"/>
              </w:rPr>
            </w:pPr>
            <w:r>
              <w:rPr>
                <w:rFonts w:hint="eastAsia"/>
                <w:b/>
                <w:bCs/>
                <w:color w:val="auto"/>
                <w:sz w:val="21"/>
                <w:szCs w:val="21"/>
                <w:highlight w:val="none"/>
              </w:rPr>
              <w:t>担任的职务</w:t>
            </w:r>
          </w:p>
        </w:tc>
      </w:tr>
      <w:tr>
        <w:tblPrEx>
          <w:tblBorders>
            <w:top w:val="single" w:color="000000" w:sz="8" w:space="0"/>
            <w:left w:val="single" w:color="000000" w:sz="8"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exact"/>
        </w:trPr>
        <w:tc>
          <w:tcPr>
            <w:tcW w:w="1199" w:type="dxa"/>
            <w:vMerge w:val="restart"/>
            <w:tcBorders>
              <w:top w:val="single" w:color="auto" w:sz="4" w:space="0"/>
            </w:tcBorders>
            <w:vAlign w:val="center"/>
          </w:tcPr>
          <w:p>
            <w:pPr>
              <w:pStyle w:val="40"/>
              <w:spacing w:before="38" w:line="360" w:lineRule="auto"/>
              <w:ind w:left="233" w:leftChars="0" w:right="234" w:rightChars="0"/>
              <w:jc w:val="center"/>
              <w:rPr>
                <w:rFonts w:hint="eastAsia"/>
                <w:color w:val="auto"/>
                <w:sz w:val="21"/>
                <w:szCs w:val="21"/>
                <w:highlight w:val="none"/>
                <w:lang w:eastAsia="zh-CN"/>
              </w:rPr>
            </w:pPr>
            <w:r>
              <w:rPr>
                <w:rFonts w:hint="eastAsia"/>
                <w:color w:val="auto"/>
                <w:sz w:val="21"/>
                <w:szCs w:val="21"/>
                <w:highlight w:val="none"/>
                <w:lang w:eastAsia="zh-CN"/>
              </w:rPr>
              <w:t>方德亚</w:t>
            </w:r>
          </w:p>
        </w:tc>
        <w:tc>
          <w:tcPr>
            <w:tcW w:w="4210" w:type="dxa"/>
            <w:tcBorders>
              <w:top w:val="single" w:color="auto" w:sz="4" w:space="0"/>
            </w:tcBorders>
            <w:vAlign w:val="center"/>
          </w:tcPr>
          <w:p>
            <w:pPr>
              <w:pStyle w:val="40"/>
              <w:spacing w:before="38" w:line="360" w:lineRule="auto"/>
              <w:ind w:left="104" w:lef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eastAsia="zh-CN"/>
              </w:rPr>
              <w:t>贵州</w:t>
            </w:r>
            <w:r>
              <w:rPr>
                <w:rFonts w:hint="eastAsia"/>
                <w:color w:val="auto"/>
                <w:sz w:val="21"/>
                <w:szCs w:val="21"/>
                <w:highlight w:val="none"/>
                <w:lang w:val="en-US" w:eastAsia="zh-CN"/>
              </w:rPr>
              <w:t>能源资产管理有限公司</w:t>
            </w:r>
          </w:p>
        </w:tc>
        <w:tc>
          <w:tcPr>
            <w:tcW w:w="2990" w:type="dxa"/>
            <w:tcBorders>
              <w:top w:val="single" w:color="auto" w:sz="4" w:space="0"/>
            </w:tcBorders>
            <w:vAlign w:val="center"/>
          </w:tcPr>
          <w:p>
            <w:pPr>
              <w:pStyle w:val="40"/>
              <w:spacing w:before="38" w:line="360" w:lineRule="auto"/>
              <w:ind w:left="479" w:leftChars="0" w:right="479" w:righ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val="en-US" w:eastAsia="zh-CN"/>
              </w:rPr>
              <w:t>党委书记、董事长</w:t>
            </w:r>
          </w:p>
        </w:tc>
      </w:tr>
      <w:tr>
        <w:tblPrEx>
          <w:tblBorders>
            <w:top w:val="single" w:color="000000" w:sz="8" w:space="0"/>
            <w:left w:val="single" w:color="000000" w:sz="8"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exact"/>
        </w:trPr>
        <w:tc>
          <w:tcPr>
            <w:tcW w:w="1199" w:type="dxa"/>
            <w:vMerge w:val="continue"/>
          </w:tcPr>
          <w:p>
            <w:pPr>
              <w:pStyle w:val="40"/>
              <w:spacing w:before="38" w:line="360" w:lineRule="auto"/>
              <w:ind w:left="233" w:right="234"/>
              <w:jc w:val="center"/>
              <w:rPr>
                <w:rFonts w:hint="eastAsia"/>
                <w:color w:val="auto"/>
                <w:sz w:val="21"/>
                <w:szCs w:val="21"/>
                <w:highlight w:val="none"/>
                <w:lang w:eastAsia="zh-CN"/>
              </w:rPr>
            </w:pPr>
          </w:p>
        </w:tc>
        <w:tc>
          <w:tcPr>
            <w:tcW w:w="4210" w:type="dxa"/>
            <w:vAlign w:val="center"/>
          </w:tcPr>
          <w:p>
            <w:pPr>
              <w:pStyle w:val="40"/>
              <w:spacing w:before="38" w:line="360" w:lineRule="auto"/>
              <w:ind w:left="104" w:lef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val="en-US" w:eastAsia="zh-CN"/>
              </w:rPr>
              <w:t>贵州能源集团电力投资有限公司</w:t>
            </w:r>
          </w:p>
        </w:tc>
        <w:tc>
          <w:tcPr>
            <w:tcW w:w="2990" w:type="dxa"/>
            <w:vAlign w:val="center"/>
          </w:tcPr>
          <w:p>
            <w:pPr>
              <w:pStyle w:val="40"/>
              <w:spacing w:before="38" w:line="360" w:lineRule="auto"/>
              <w:ind w:left="479" w:leftChars="0" w:right="479" w:righ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eastAsia="zh-CN"/>
              </w:rPr>
              <w:t>监事会主席</w:t>
            </w:r>
          </w:p>
        </w:tc>
      </w:tr>
      <w:tr>
        <w:tblPrEx>
          <w:tblBorders>
            <w:top w:val="single" w:color="000000" w:sz="8" w:space="0"/>
            <w:left w:val="single" w:color="000000" w:sz="8"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exact"/>
        </w:trPr>
        <w:tc>
          <w:tcPr>
            <w:tcW w:w="1199" w:type="dxa"/>
            <w:vMerge w:val="continue"/>
          </w:tcPr>
          <w:p>
            <w:pPr>
              <w:pStyle w:val="40"/>
              <w:spacing w:before="38" w:line="360" w:lineRule="auto"/>
              <w:ind w:left="233" w:right="234"/>
              <w:jc w:val="center"/>
              <w:rPr>
                <w:rFonts w:hint="eastAsia"/>
                <w:color w:val="auto"/>
                <w:sz w:val="21"/>
                <w:szCs w:val="21"/>
                <w:highlight w:val="none"/>
                <w:lang w:eastAsia="zh-CN"/>
              </w:rPr>
            </w:pPr>
          </w:p>
        </w:tc>
        <w:tc>
          <w:tcPr>
            <w:tcW w:w="4210" w:type="dxa"/>
            <w:vAlign w:val="center"/>
          </w:tcPr>
          <w:p>
            <w:pPr>
              <w:pStyle w:val="40"/>
              <w:spacing w:before="38" w:line="360" w:lineRule="auto"/>
              <w:ind w:left="104" w:lef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eastAsia="zh-CN"/>
              </w:rPr>
              <w:t>六枝工矿（集团）有限责任公司</w:t>
            </w:r>
          </w:p>
        </w:tc>
        <w:tc>
          <w:tcPr>
            <w:tcW w:w="2990" w:type="dxa"/>
            <w:vAlign w:val="center"/>
          </w:tcPr>
          <w:p>
            <w:pPr>
              <w:pStyle w:val="40"/>
              <w:spacing w:before="38" w:line="360" w:lineRule="auto"/>
              <w:ind w:left="479" w:leftChars="0" w:right="479" w:rightChars="0"/>
              <w:jc w:val="center"/>
              <w:rPr>
                <w:rFonts w:hint="eastAsia" w:ascii="宋体" w:hAnsi="宋体" w:eastAsia="宋体" w:cs="宋体"/>
                <w:color w:val="auto"/>
                <w:kern w:val="0"/>
                <w:sz w:val="21"/>
                <w:szCs w:val="21"/>
                <w:highlight w:val="none"/>
                <w:lang w:val="en-US" w:eastAsia="zh-CN" w:bidi="ar-SA"/>
              </w:rPr>
            </w:pPr>
            <w:r>
              <w:rPr>
                <w:rFonts w:hint="eastAsia"/>
                <w:color w:val="auto"/>
                <w:sz w:val="21"/>
                <w:szCs w:val="21"/>
                <w:highlight w:val="none"/>
                <w:lang w:eastAsia="zh-CN"/>
              </w:rPr>
              <w:t>监事会主席</w:t>
            </w:r>
          </w:p>
        </w:tc>
      </w:tr>
      <w:tr>
        <w:tblPrEx>
          <w:tblBorders>
            <w:top w:val="single" w:color="000000" w:sz="8" w:space="0"/>
            <w:left w:val="single" w:color="000000" w:sz="8"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exact"/>
        </w:trPr>
        <w:tc>
          <w:tcPr>
            <w:tcW w:w="1199" w:type="dxa"/>
            <w:vMerge w:val="restart"/>
            <w:vAlign w:val="center"/>
          </w:tcPr>
          <w:p>
            <w:pPr>
              <w:pStyle w:val="40"/>
              <w:spacing w:before="38" w:line="360" w:lineRule="auto"/>
              <w:ind w:left="233" w:right="234"/>
              <w:jc w:val="center"/>
              <w:rPr>
                <w:rFonts w:hint="default"/>
                <w:color w:val="auto"/>
                <w:sz w:val="21"/>
                <w:szCs w:val="21"/>
                <w:highlight w:val="none"/>
                <w:lang w:val="en-US" w:eastAsia="zh-CN"/>
              </w:rPr>
            </w:pPr>
            <w:r>
              <w:rPr>
                <w:rFonts w:hint="eastAsia"/>
                <w:color w:val="auto"/>
                <w:sz w:val="21"/>
                <w:szCs w:val="21"/>
                <w:highlight w:val="none"/>
                <w:lang w:val="en-US" w:eastAsia="zh-CN"/>
              </w:rPr>
              <w:t>付  洁</w:t>
            </w:r>
          </w:p>
        </w:tc>
        <w:tc>
          <w:tcPr>
            <w:tcW w:w="4210" w:type="dxa"/>
            <w:vAlign w:val="center"/>
          </w:tcPr>
          <w:p>
            <w:pPr>
              <w:pStyle w:val="40"/>
              <w:spacing w:before="38" w:line="360" w:lineRule="auto"/>
              <w:ind w:left="104" w:leftChars="0"/>
              <w:jc w:val="center"/>
              <w:rPr>
                <w:rFonts w:hint="default"/>
                <w:color w:val="auto"/>
                <w:sz w:val="21"/>
                <w:szCs w:val="21"/>
                <w:highlight w:val="none"/>
                <w:lang w:val="en-US" w:eastAsia="zh-CN"/>
              </w:rPr>
            </w:pPr>
            <w:r>
              <w:rPr>
                <w:rFonts w:hint="eastAsia"/>
                <w:color w:val="auto"/>
                <w:sz w:val="21"/>
                <w:szCs w:val="21"/>
                <w:highlight w:val="none"/>
                <w:lang w:val="en-US" w:eastAsia="zh-CN"/>
              </w:rPr>
              <w:t>贵州能源集团有限公司</w:t>
            </w:r>
          </w:p>
        </w:tc>
        <w:tc>
          <w:tcPr>
            <w:tcW w:w="2990" w:type="dxa"/>
            <w:vAlign w:val="center"/>
          </w:tcPr>
          <w:p>
            <w:pPr>
              <w:pStyle w:val="40"/>
              <w:spacing w:before="38" w:line="360" w:lineRule="auto"/>
              <w:ind w:left="479" w:leftChars="0" w:right="479" w:rightChars="0"/>
              <w:jc w:val="center"/>
              <w:rPr>
                <w:rFonts w:hint="default"/>
                <w:color w:val="auto"/>
                <w:sz w:val="21"/>
                <w:szCs w:val="21"/>
                <w:highlight w:val="none"/>
                <w:lang w:val="en-US" w:eastAsia="zh-CN"/>
              </w:rPr>
            </w:pPr>
            <w:r>
              <w:rPr>
                <w:rFonts w:hint="eastAsia"/>
                <w:color w:val="auto"/>
                <w:sz w:val="21"/>
                <w:szCs w:val="21"/>
                <w:highlight w:val="none"/>
                <w:lang w:val="en-US" w:eastAsia="zh-CN"/>
              </w:rPr>
              <w:t>审计部部长</w:t>
            </w:r>
          </w:p>
        </w:tc>
      </w:tr>
      <w:tr>
        <w:tblPrEx>
          <w:tblBorders>
            <w:top w:val="single" w:color="000000" w:sz="8" w:space="0"/>
            <w:left w:val="single" w:color="000000" w:sz="8"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exact"/>
        </w:trPr>
        <w:tc>
          <w:tcPr>
            <w:tcW w:w="1199" w:type="dxa"/>
            <w:vMerge w:val="continue"/>
          </w:tcPr>
          <w:p>
            <w:pPr>
              <w:pStyle w:val="40"/>
              <w:spacing w:before="38" w:line="360" w:lineRule="auto"/>
              <w:ind w:left="233" w:right="234"/>
              <w:jc w:val="center"/>
              <w:rPr>
                <w:rFonts w:hint="eastAsia"/>
                <w:color w:val="auto"/>
                <w:sz w:val="21"/>
                <w:szCs w:val="21"/>
                <w:highlight w:val="none"/>
                <w:lang w:eastAsia="zh-CN"/>
              </w:rPr>
            </w:pPr>
          </w:p>
        </w:tc>
        <w:tc>
          <w:tcPr>
            <w:tcW w:w="4210" w:type="dxa"/>
            <w:vAlign w:val="center"/>
          </w:tcPr>
          <w:p>
            <w:pPr>
              <w:pStyle w:val="40"/>
              <w:spacing w:before="38" w:line="360" w:lineRule="auto"/>
              <w:ind w:left="104" w:leftChars="0"/>
              <w:jc w:val="center"/>
              <w:rPr>
                <w:rFonts w:hint="default"/>
                <w:color w:val="auto"/>
                <w:sz w:val="21"/>
                <w:szCs w:val="21"/>
                <w:highlight w:val="none"/>
                <w:lang w:val="en-US" w:eastAsia="zh-CN"/>
              </w:rPr>
            </w:pPr>
            <w:r>
              <w:rPr>
                <w:rFonts w:hint="eastAsia"/>
                <w:color w:val="auto"/>
                <w:sz w:val="21"/>
                <w:szCs w:val="21"/>
                <w:highlight w:val="none"/>
                <w:lang w:val="en-US" w:eastAsia="zh-CN"/>
              </w:rPr>
              <w:t>贵州页岩气勘探开发有限责任公司</w:t>
            </w:r>
          </w:p>
        </w:tc>
        <w:tc>
          <w:tcPr>
            <w:tcW w:w="2990" w:type="dxa"/>
            <w:vAlign w:val="center"/>
          </w:tcPr>
          <w:p>
            <w:pPr>
              <w:pStyle w:val="40"/>
              <w:spacing w:before="38" w:line="360" w:lineRule="auto"/>
              <w:ind w:left="479" w:leftChars="0" w:right="479" w:rightChars="0"/>
              <w:jc w:val="center"/>
              <w:rPr>
                <w:rFonts w:hint="default"/>
                <w:color w:val="auto"/>
                <w:sz w:val="21"/>
                <w:szCs w:val="21"/>
                <w:highlight w:val="none"/>
                <w:lang w:val="en-US" w:eastAsia="zh-CN"/>
              </w:rPr>
            </w:pPr>
            <w:r>
              <w:rPr>
                <w:rFonts w:hint="eastAsia"/>
                <w:color w:val="auto"/>
                <w:sz w:val="21"/>
                <w:szCs w:val="21"/>
                <w:highlight w:val="none"/>
                <w:lang w:val="en-US" w:eastAsia="zh-CN"/>
              </w:rPr>
              <w:t>总会计师</w:t>
            </w:r>
          </w:p>
        </w:tc>
      </w:tr>
    </w:tbl>
    <w:p>
      <w:pPr>
        <w:numPr>
          <w:ilvl w:val="0"/>
          <w:numId w:val="11"/>
        </w:numPr>
        <w:spacing w:line="360" w:lineRule="auto"/>
        <w:ind w:firstLine="482" w:firstLineChars="200"/>
        <w:rPr>
          <w:rFonts w:hint="eastAsia" w:ascii="宋体" w:hAnsi="宋体" w:eastAsia="宋体" w:cs="宋体"/>
          <w:b/>
          <w:bCs/>
          <w:color w:val="auto"/>
          <w:sz w:val="24"/>
          <w:szCs w:val="24"/>
          <w:highlight w:val="none"/>
          <w:lang w:val="zh-CN" w:eastAsia="zh-CN"/>
        </w:rPr>
      </w:pPr>
      <w:r>
        <w:rPr>
          <w:rFonts w:hint="eastAsia" w:ascii="宋体" w:hAnsi="宋体" w:eastAsia="宋体" w:cs="宋体"/>
          <w:b/>
          <w:bCs/>
          <w:color w:val="auto"/>
          <w:sz w:val="24"/>
          <w:szCs w:val="24"/>
          <w:highlight w:val="none"/>
          <w:lang w:val="zh-CN" w:eastAsia="zh-CN"/>
        </w:rPr>
        <w:t>董事、监事、高管变动情况</w:t>
      </w:r>
    </w:p>
    <w:tbl>
      <w:tblPr>
        <w:tblStyle w:val="22"/>
        <w:tblW w:w="0" w:type="auto"/>
        <w:tblInd w:w="0"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1486"/>
        <w:gridCol w:w="2064"/>
        <w:gridCol w:w="1836"/>
        <w:gridCol w:w="3084"/>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c>
          <w:tcPr>
            <w:tcW w:w="1486" w:type="dxa"/>
            <w:noWrap w:val="0"/>
            <w:vAlign w:val="center"/>
          </w:tcPr>
          <w:p>
            <w:pPr>
              <w:jc w:val="center"/>
              <w:rPr>
                <w:b/>
                <w:bCs/>
                <w:color w:val="auto"/>
                <w:highlight w:val="none"/>
              </w:rPr>
            </w:pPr>
            <w:r>
              <w:rPr>
                <w:b/>
                <w:bCs/>
                <w:color w:val="auto"/>
                <w:highlight w:val="none"/>
              </w:rPr>
              <w:t>姓</w:t>
            </w:r>
            <w:r>
              <w:rPr>
                <w:rFonts w:hint="eastAsia"/>
                <w:b/>
                <w:bCs/>
                <w:color w:val="auto"/>
                <w:highlight w:val="none"/>
                <w:lang w:val="en-US" w:eastAsia="zh-CN"/>
              </w:rPr>
              <w:t xml:space="preserve">  </w:t>
            </w:r>
            <w:r>
              <w:rPr>
                <w:b/>
                <w:bCs/>
                <w:color w:val="auto"/>
                <w:highlight w:val="none"/>
              </w:rPr>
              <w:t>名</w:t>
            </w:r>
          </w:p>
        </w:tc>
        <w:tc>
          <w:tcPr>
            <w:tcW w:w="2064" w:type="dxa"/>
            <w:noWrap w:val="0"/>
            <w:vAlign w:val="center"/>
          </w:tcPr>
          <w:p>
            <w:pPr>
              <w:jc w:val="center"/>
              <w:rPr>
                <w:b/>
                <w:bCs/>
                <w:color w:val="auto"/>
                <w:highlight w:val="none"/>
              </w:rPr>
            </w:pPr>
            <w:r>
              <w:rPr>
                <w:b/>
                <w:bCs/>
                <w:color w:val="auto"/>
                <w:highlight w:val="none"/>
              </w:rPr>
              <w:t>担任职务</w:t>
            </w:r>
          </w:p>
        </w:tc>
        <w:tc>
          <w:tcPr>
            <w:tcW w:w="1836" w:type="dxa"/>
            <w:noWrap w:val="0"/>
            <w:vAlign w:val="center"/>
          </w:tcPr>
          <w:p>
            <w:pPr>
              <w:jc w:val="center"/>
              <w:rPr>
                <w:b/>
                <w:bCs/>
                <w:color w:val="auto"/>
                <w:highlight w:val="none"/>
              </w:rPr>
            </w:pPr>
            <w:r>
              <w:rPr>
                <w:b/>
                <w:bCs/>
                <w:color w:val="auto"/>
                <w:highlight w:val="none"/>
              </w:rPr>
              <w:t>变动类型</w:t>
            </w:r>
          </w:p>
        </w:tc>
        <w:tc>
          <w:tcPr>
            <w:tcW w:w="3084" w:type="dxa"/>
            <w:noWrap w:val="0"/>
            <w:vAlign w:val="center"/>
          </w:tcPr>
          <w:p>
            <w:pPr>
              <w:jc w:val="center"/>
              <w:rPr>
                <w:b/>
                <w:bCs/>
                <w:color w:val="auto"/>
                <w:highlight w:val="none"/>
              </w:rPr>
            </w:pPr>
            <w:r>
              <w:rPr>
                <w:b/>
                <w:bCs/>
                <w:color w:val="auto"/>
                <w:highlight w:val="none"/>
              </w:rPr>
              <w:t>变动原因</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c>
          <w:tcPr>
            <w:tcW w:w="1486" w:type="dxa"/>
            <w:noWrap w:val="0"/>
            <w:vAlign w:val="center"/>
          </w:tcPr>
          <w:p>
            <w:pPr>
              <w:jc w:val="center"/>
              <w:rPr>
                <w:rFonts w:hint="eastAsia" w:ascii="Times New Roman" w:hAnsi="Times New Roman" w:eastAsia="宋体" w:cs="Times New Roman"/>
                <w:color w:val="auto"/>
                <w:kern w:val="2"/>
                <w:sz w:val="21"/>
                <w:szCs w:val="24"/>
                <w:highlight w:val="none"/>
                <w:lang w:val="en-US" w:eastAsia="zh-CN" w:bidi="ar-SA"/>
              </w:rPr>
            </w:pPr>
            <w:r>
              <w:rPr>
                <w:rFonts w:hint="eastAsia" w:eastAsia="宋体"/>
                <w:color w:val="auto"/>
                <w:highlight w:val="none"/>
                <w:lang w:val="en-US" w:eastAsia="zh-CN"/>
              </w:rPr>
              <w:t>郭厚亮</w:t>
            </w:r>
          </w:p>
        </w:tc>
        <w:tc>
          <w:tcPr>
            <w:tcW w:w="2064" w:type="dxa"/>
            <w:noWrap w:val="0"/>
            <w:vAlign w:val="center"/>
          </w:tcPr>
          <w:p>
            <w:pPr>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副董事长</w:t>
            </w:r>
          </w:p>
        </w:tc>
        <w:tc>
          <w:tcPr>
            <w:tcW w:w="1836" w:type="dxa"/>
            <w:noWrap w:val="0"/>
            <w:vAlign w:val="center"/>
          </w:tcPr>
          <w:p>
            <w:pPr>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聘任</w:t>
            </w:r>
          </w:p>
        </w:tc>
        <w:tc>
          <w:tcPr>
            <w:tcW w:w="3084" w:type="dxa"/>
            <w:noWrap w:val="0"/>
            <w:vAlign w:val="center"/>
          </w:tcPr>
          <w:p>
            <w:pPr>
              <w:jc w:val="center"/>
              <w:rPr>
                <w:rFonts w:ascii="Times New Roman" w:hAnsi="Times New Roman" w:eastAsia="宋体" w:cs="Times New Roman"/>
                <w:color w:val="auto"/>
                <w:kern w:val="2"/>
                <w:sz w:val="21"/>
                <w:szCs w:val="24"/>
                <w:highlight w:val="none"/>
                <w:lang w:val="en-US" w:eastAsia="zh-CN" w:bidi="ar-SA"/>
              </w:rPr>
            </w:pPr>
            <w:r>
              <w:rPr>
                <w:color w:val="auto"/>
                <w:highlight w:val="none"/>
              </w:rPr>
              <w:t>董事调整</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c>
          <w:tcPr>
            <w:tcW w:w="1486" w:type="dxa"/>
            <w:noWrap w:val="0"/>
            <w:vAlign w:val="center"/>
          </w:tcPr>
          <w:p>
            <w:pPr>
              <w:jc w:val="center"/>
              <w:rPr>
                <w:rFonts w:hint="default"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王  浩</w:t>
            </w:r>
          </w:p>
        </w:tc>
        <w:tc>
          <w:tcPr>
            <w:tcW w:w="2064" w:type="dxa"/>
            <w:noWrap w:val="0"/>
            <w:vAlign w:val="center"/>
          </w:tcPr>
          <w:p>
            <w:pPr>
              <w:jc w:val="center"/>
              <w:rPr>
                <w:rFonts w:hint="eastAsia" w:ascii="Times New Roman" w:hAnsi="Times New Roman" w:eastAsia="宋体" w:cs="Times New Roman"/>
                <w:color w:val="auto"/>
                <w:kern w:val="2"/>
                <w:sz w:val="21"/>
                <w:szCs w:val="24"/>
                <w:highlight w:val="none"/>
                <w:lang w:val="en-US" w:eastAsia="zh-CN" w:bidi="ar-SA"/>
              </w:rPr>
            </w:pPr>
            <w:r>
              <w:rPr>
                <w:color w:val="auto"/>
                <w:highlight w:val="none"/>
              </w:rPr>
              <w:t>董</w:t>
            </w:r>
            <w:r>
              <w:rPr>
                <w:rFonts w:hint="eastAsia"/>
                <w:color w:val="auto"/>
                <w:highlight w:val="none"/>
                <w:lang w:val="en-US" w:eastAsia="zh-CN"/>
              </w:rPr>
              <w:t xml:space="preserve">    </w:t>
            </w:r>
            <w:r>
              <w:rPr>
                <w:color w:val="auto"/>
                <w:highlight w:val="none"/>
              </w:rPr>
              <w:t>事</w:t>
            </w:r>
          </w:p>
        </w:tc>
        <w:tc>
          <w:tcPr>
            <w:tcW w:w="1836" w:type="dxa"/>
            <w:noWrap w:val="0"/>
            <w:vAlign w:val="center"/>
          </w:tcPr>
          <w:p>
            <w:pPr>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聘任</w:t>
            </w:r>
          </w:p>
        </w:tc>
        <w:tc>
          <w:tcPr>
            <w:tcW w:w="3084" w:type="dxa"/>
            <w:noWrap w:val="0"/>
            <w:vAlign w:val="center"/>
          </w:tcPr>
          <w:p>
            <w:pPr>
              <w:jc w:val="center"/>
              <w:rPr>
                <w:rFonts w:hint="eastAsia" w:ascii="Times New Roman" w:hAnsi="Times New Roman" w:eastAsia="宋体" w:cs="Times New Roman"/>
                <w:color w:val="auto"/>
                <w:kern w:val="2"/>
                <w:sz w:val="21"/>
                <w:szCs w:val="24"/>
                <w:highlight w:val="none"/>
                <w:lang w:val="en-US" w:eastAsia="zh-CN" w:bidi="ar-SA"/>
              </w:rPr>
            </w:pPr>
            <w:r>
              <w:rPr>
                <w:color w:val="auto"/>
                <w:highlight w:val="none"/>
              </w:rPr>
              <w:t>董事调整</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c>
          <w:tcPr>
            <w:tcW w:w="1486" w:type="dxa"/>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eastAsia" w:eastAsia="宋体" w:cs="Times New Roman"/>
                <w:color w:val="auto"/>
                <w:kern w:val="2"/>
                <w:sz w:val="21"/>
                <w:szCs w:val="21"/>
                <w:highlight w:val="none"/>
                <w:lang w:val="en-US" w:eastAsia="zh-CN" w:bidi="ar-SA"/>
              </w:rPr>
              <w:t>陈可均</w:t>
            </w:r>
          </w:p>
        </w:tc>
        <w:tc>
          <w:tcPr>
            <w:tcW w:w="2064" w:type="dxa"/>
            <w:noWrap w:val="0"/>
            <w:vAlign w:val="center"/>
          </w:tcPr>
          <w:p>
            <w:pPr>
              <w:jc w:val="center"/>
              <w:rPr>
                <w:rFonts w:hint="default" w:eastAsia="宋体"/>
                <w:color w:val="auto"/>
                <w:highlight w:val="none"/>
                <w:lang w:val="en-US" w:eastAsia="zh-CN"/>
              </w:rPr>
            </w:pPr>
            <w:r>
              <w:rPr>
                <w:rFonts w:hint="eastAsia" w:eastAsia="宋体"/>
                <w:color w:val="auto"/>
                <w:highlight w:val="none"/>
                <w:lang w:val="en-US" w:eastAsia="zh-CN"/>
              </w:rPr>
              <w:t>职工董事</w:t>
            </w:r>
          </w:p>
        </w:tc>
        <w:tc>
          <w:tcPr>
            <w:tcW w:w="1836" w:type="dxa"/>
            <w:noWrap w:val="0"/>
            <w:vAlign w:val="center"/>
          </w:tcPr>
          <w:p>
            <w:pPr>
              <w:jc w:val="center"/>
              <w:rPr>
                <w:rFonts w:hint="eastAsia" w:eastAsia="宋体"/>
                <w:color w:val="auto"/>
                <w:highlight w:val="none"/>
                <w:lang w:val="en-US" w:eastAsia="zh-CN"/>
              </w:rPr>
            </w:pPr>
            <w:r>
              <w:rPr>
                <w:rFonts w:hint="eastAsia"/>
                <w:color w:val="auto"/>
                <w:highlight w:val="none"/>
                <w:lang w:val="en-US" w:eastAsia="zh-CN"/>
              </w:rPr>
              <w:t>选举</w:t>
            </w:r>
          </w:p>
        </w:tc>
        <w:tc>
          <w:tcPr>
            <w:tcW w:w="3084" w:type="dxa"/>
            <w:noWrap w:val="0"/>
            <w:vAlign w:val="center"/>
          </w:tcPr>
          <w:p>
            <w:pPr>
              <w:jc w:val="center"/>
              <w:rPr>
                <w:rFonts w:hint="default" w:eastAsia="宋体"/>
                <w:color w:val="auto"/>
                <w:highlight w:val="none"/>
                <w:lang w:val="en-US" w:eastAsia="zh-CN"/>
              </w:rPr>
            </w:pPr>
            <w:r>
              <w:rPr>
                <w:rFonts w:hint="eastAsia"/>
                <w:color w:val="auto"/>
                <w:highlight w:val="none"/>
                <w:lang w:val="en-US" w:eastAsia="zh-CN"/>
              </w:rPr>
              <w:t>职工</w:t>
            </w:r>
            <w:r>
              <w:rPr>
                <w:color w:val="auto"/>
                <w:highlight w:val="none"/>
              </w:rPr>
              <w:t>董事</w:t>
            </w:r>
            <w:r>
              <w:rPr>
                <w:rFonts w:hint="eastAsia"/>
                <w:color w:val="auto"/>
                <w:highlight w:val="none"/>
                <w:lang w:val="en-US" w:eastAsia="zh-CN"/>
              </w:rPr>
              <w:t>选举</w:t>
            </w:r>
            <w:r>
              <w:rPr>
                <w:color w:val="auto"/>
                <w:highlight w:val="none"/>
              </w:rPr>
              <w:t>调整</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c>
          <w:tcPr>
            <w:tcW w:w="1486" w:type="dxa"/>
            <w:noWrap w:val="0"/>
            <w:vAlign w:val="center"/>
          </w:tcPr>
          <w:p>
            <w:pP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马梦萧</w:t>
            </w:r>
          </w:p>
        </w:tc>
        <w:tc>
          <w:tcPr>
            <w:tcW w:w="2064" w:type="dxa"/>
            <w:noWrap w:val="0"/>
            <w:vAlign w:val="center"/>
          </w:tcPr>
          <w:p>
            <w:pPr>
              <w:jc w:val="center"/>
              <w:rPr>
                <w:rFonts w:hint="default"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总会计师</w:t>
            </w:r>
          </w:p>
        </w:tc>
        <w:tc>
          <w:tcPr>
            <w:tcW w:w="1836" w:type="dxa"/>
            <w:noWrap w:val="0"/>
            <w:vAlign w:val="center"/>
          </w:tcPr>
          <w:p>
            <w:pPr>
              <w:jc w:val="center"/>
              <w:rPr>
                <w:rFonts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聘任</w:t>
            </w:r>
          </w:p>
        </w:tc>
        <w:tc>
          <w:tcPr>
            <w:tcW w:w="3084" w:type="dxa"/>
            <w:noWrap w:val="0"/>
            <w:vAlign w:val="center"/>
          </w:tcPr>
          <w:p>
            <w:pPr>
              <w:jc w:val="center"/>
              <w:rPr>
                <w:rFonts w:hint="default"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工作需要</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c>
          <w:tcPr>
            <w:tcW w:w="1486" w:type="dxa"/>
            <w:noWrap w:val="0"/>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付  洁</w:t>
            </w:r>
          </w:p>
        </w:tc>
        <w:tc>
          <w:tcPr>
            <w:tcW w:w="2064" w:type="dxa"/>
            <w:noWrap w:val="0"/>
            <w:vAlign w:val="center"/>
          </w:tcPr>
          <w:p>
            <w:pPr>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监事会主席</w:t>
            </w:r>
          </w:p>
        </w:tc>
        <w:tc>
          <w:tcPr>
            <w:tcW w:w="1836" w:type="dxa"/>
            <w:noWrap w:val="0"/>
            <w:vAlign w:val="center"/>
          </w:tcPr>
          <w:p>
            <w:pPr>
              <w:jc w:val="center"/>
              <w:rPr>
                <w:rFonts w:hint="eastAsia"/>
                <w:color w:val="auto"/>
                <w:highlight w:val="none"/>
                <w:lang w:val="en-US" w:eastAsia="zh-CN"/>
              </w:rPr>
            </w:pPr>
            <w:r>
              <w:rPr>
                <w:rFonts w:hint="eastAsia"/>
                <w:color w:val="auto"/>
                <w:highlight w:val="none"/>
                <w:lang w:val="en-US" w:eastAsia="zh-CN"/>
              </w:rPr>
              <w:t>聘任（9月）</w:t>
            </w:r>
          </w:p>
          <w:p>
            <w:pPr>
              <w:jc w:val="center"/>
              <w:rPr>
                <w:rFonts w:hint="default"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解聘（12月）</w:t>
            </w:r>
          </w:p>
        </w:tc>
        <w:tc>
          <w:tcPr>
            <w:tcW w:w="3084" w:type="dxa"/>
            <w:noWrap w:val="0"/>
            <w:vAlign w:val="center"/>
          </w:tcPr>
          <w:p>
            <w:pPr>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工作需要</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c>
          <w:tcPr>
            <w:tcW w:w="1486" w:type="dxa"/>
            <w:noWrap w:val="0"/>
            <w:vAlign w:val="center"/>
          </w:tcPr>
          <w:p>
            <w:pPr>
              <w:jc w:val="center"/>
              <w:rPr>
                <w:rFonts w:hint="default" w:ascii="Times New Roman" w:hAnsi="Times New Roman" w:eastAsia="宋体" w:cs="Times New Roman"/>
                <w:color w:val="auto"/>
                <w:kern w:val="2"/>
                <w:sz w:val="21"/>
                <w:szCs w:val="24"/>
                <w:highlight w:val="none"/>
                <w:lang w:val="en-US" w:eastAsia="zh-CN" w:bidi="ar-SA"/>
              </w:rPr>
            </w:pPr>
            <w:r>
              <w:rPr>
                <w:rFonts w:hint="eastAsia" w:eastAsia="宋体" w:cs="Times New Roman"/>
                <w:color w:val="auto"/>
                <w:kern w:val="2"/>
                <w:sz w:val="21"/>
                <w:szCs w:val="24"/>
                <w:highlight w:val="none"/>
                <w:lang w:val="en-US" w:eastAsia="zh-CN" w:bidi="ar-SA"/>
              </w:rPr>
              <w:t>闫祉宇</w:t>
            </w:r>
          </w:p>
        </w:tc>
        <w:tc>
          <w:tcPr>
            <w:tcW w:w="2064" w:type="dxa"/>
            <w:noWrap w:val="0"/>
            <w:vAlign w:val="center"/>
          </w:tcPr>
          <w:p>
            <w:pPr>
              <w:jc w:val="center"/>
              <w:rPr>
                <w:rFonts w:hint="default"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监    事</w:t>
            </w:r>
          </w:p>
        </w:tc>
        <w:tc>
          <w:tcPr>
            <w:tcW w:w="1836" w:type="dxa"/>
            <w:noWrap w:val="0"/>
            <w:vAlign w:val="center"/>
          </w:tcPr>
          <w:p>
            <w:pPr>
              <w:jc w:val="center"/>
              <w:rPr>
                <w:rFonts w:hint="default" w:ascii="Times New Roman" w:hAnsi="Times New Roman" w:eastAsia="宋体" w:cs="Times New Roman"/>
                <w:color w:val="auto"/>
                <w:kern w:val="2"/>
                <w:sz w:val="21"/>
                <w:szCs w:val="24"/>
                <w:highlight w:val="none"/>
                <w:lang w:val="en-US" w:eastAsia="zh-CN" w:bidi="ar-SA"/>
              </w:rPr>
            </w:pPr>
            <w:r>
              <w:rPr>
                <w:rFonts w:hint="eastAsia" w:eastAsia="宋体" w:cs="Times New Roman"/>
                <w:color w:val="auto"/>
                <w:kern w:val="2"/>
                <w:sz w:val="21"/>
                <w:szCs w:val="24"/>
                <w:highlight w:val="none"/>
                <w:lang w:val="en-US" w:eastAsia="zh-CN" w:bidi="ar-SA"/>
              </w:rPr>
              <w:t>解聘</w:t>
            </w:r>
          </w:p>
        </w:tc>
        <w:tc>
          <w:tcPr>
            <w:tcW w:w="3084" w:type="dxa"/>
            <w:noWrap w:val="0"/>
            <w:vAlign w:val="center"/>
          </w:tcPr>
          <w:p>
            <w:pPr>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工作需要</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c>
          <w:tcPr>
            <w:tcW w:w="1486" w:type="dxa"/>
            <w:noWrap w:val="0"/>
            <w:vAlign w:val="center"/>
          </w:tcPr>
          <w:p>
            <w:pPr>
              <w:jc w:val="center"/>
              <w:rPr>
                <w:rFonts w:hint="eastAsia" w:ascii="Times New Roman" w:hAnsi="Times New Roman" w:eastAsia="宋体" w:cs="Times New Roman"/>
                <w:color w:val="auto"/>
                <w:kern w:val="2"/>
                <w:sz w:val="21"/>
                <w:szCs w:val="24"/>
                <w:highlight w:val="none"/>
                <w:lang w:val="en-US" w:eastAsia="zh-CN" w:bidi="ar-SA"/>
              </w:rPr>
            </w:pPr>
            <w:r>
              <w:rPr>
                <w:rFonts w:hint="eastAsia" w:eastAsia="宋体" w:cs="Times New Roman"/>
                <w:color w:val="auto"/>
                <w:kern w:val="2"/>
                <w:sz w:val="21"/>
                <w:szCs w:val="24"/>
                <w:highlight w:val="none"/>
                <w:lang w:val="en-US" w:eastAsia="zh-CN" w:bidi="ar-SA"/>
              </w:rPr>
              <w:t>范德胜</w:t>
            </w:r>
          </w:p>
        </w:tc>
        <w:tc>
          <w:tcPr>
            <w:tcW w:w="2064" w:type="dxa"/>
            <w:noWrap w:val="0"/>
            <w:vAlign w:val="center"/>
          </w:tcPr>
          <w:p>
            <w:pPr>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监    事</w:t>
            </w:r>
          </w:p>
        </w:tc>
        <w:tc>
          <w:tcPr>
            <w:tcW w:w="1836" w:type="dxa"/>
            <w:noWrap w:val="0"/>
            <w:vAlign w:val="center"/>
          </w:tcPr>
          <w:p>
            <w:pPr>
              <w:jc w:val="center"/>
              <w:rPr>
                <w:rFonts w:hint="eastAsia" w:ascii="Times New Roman" w:hAnsi="Times New Roman" w:eastAsia="宋体" w:cs="Times New Roman"/>
                <w:color w:val="auto"/>
                <w:kern w:val="2"/>
                <w:sz w:val="21"/>
                <w:szCs w:val="24"/>
                <w:highlight w:val="none"/>
                <w:lang w:val="en-US" w:eastAsia="zh-CN" w:bidi="ar-SA"/>
              </w:rPr>
            </w:pPr>
            <w:r>
              <w:rPr>
                <w:rFonts w:hint="eastAsia" w:eastAsia="宋体" w:cs="Times New Roman"/>
                <w:color w:val="auto"/>
                <w:kern w:val="2"/>
                <w:sz w:val="21"/>
                <w:szCs w:val="24"/>
                <w:highlight w:val="none"/>
                <w:lang w:val="en-US" w:eastAsia="zh-CN" w:bidi="ar-SA"/>
              </w:rPr>
              <w:t>解聘</w:t>
            </w:r>
          </w:p>
        </w:tc>
        <w:tc>
          <w:tcPr>
            <w:tcW w:w="3084" w:type="dxa"/>
            <w:noWrap w:val="0"/>
            <w:vAlign w:val="center"/>
          </w:tcPr>
          <w:p>
            <w:pPr>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工作需要</w:t>
            </w:r>
          </w:p>
        </w:tc>
      </w:tr>
    </w:tbl>
    <w:p>
      <w:pPr>
        <w:pStyle w:val="6"/>
        <w:spacing w:before="120" w:line="360" w:lineRule="auto"/>
        <w:ind w:left="0"/>
        <w:jc w:val="both"/>
        <w:outlineLvl w:val="0"/>
        <w:rPr>
          <w:rFonts w:hint="eastAsia" w:cs="宋体"/>
          <w:b/>
          <w:bCs/>
          <w:color w:val="auto"/>
          <w:highlight w:val="none"/>
          <w:lang w:eastAsia="zh-CN"/>
        </w:rPr>
        <w:sectPr>
          <w:headerReference r:id="rId7" w:type="first"/>
          <w:footerReference r:id="rId10" w:type="first"/>
          <w:headerReference r:id="rId5" w:type="default"/>
          <w:footerReference r:id="rId8" w:type="default"/>
          <w:headerReference r:id="rId6" w:type="even"/>
          <w:footerReference r:id="rId9" w:type="even"/>
          <w:pgSz w:w="11907" w:h="16839"/>
          <w:pgMar w:top="1440" w:right="1797" w:bottom="1440" w:left="1797" w:header="680" w:footer="992" w:gutter="0"/>
          <w:pgNumType w:fmt="decimal" w:start="1"/>
          <w:cols w:space="425" w:num="1"/>
          <w:docGrid w:linePitch="398" w:charSpace="0"/>
        </w:sectPr>
      </w:pPr>
      <w:bookmarkStart w:id="44" w:name="_Toc21854"/>
      <w:bookmarkStart w:id="45" w:name="_Toc23611"/>
      <w:bookmarkStart w:id="46" w:name="_Toc9962"/>
      <w:bookmarkStart w:id="47" w:name="_Toc129711705"/>
      <w:bookmarkStart w:id="48" w:name="_Toc27010"/>
      <w:bookmarkStart w:id="49" w:name="_Toc1396"/>
    </w:p>
    <w:p>
      <w:pPr>
        <w:pStyle w:val="6"/>
        <w:spacing w:before="120" w:line="360" w:lineRule="auto"/>
        <w:ind w:left="0"/>
        <w:jc w:val="center"/>
        <w:outlineLvl w:val="0"/>
        <w:rPr>
          <w:rFonts w:hint="eastAsia" w:ascii="黑体" w:hAnsi="黑体" w:eastAsia="黑体" w:cs="黑体"/>
          <w:b/>
          <w:bCs/>
          <w:color w:val="auto"/>
          <w:sz w:val="28"/>
          <w:szCs w:val="28"/>
          <w:highlight w:val="none"/>
          <w:lang w:eastAsia="zh-CN"/>
        </w:rPr>
      </w:pPr>
      <w:r>
        <w:rPr>
          <w:rFonts w:hint="eastAsia" w:ascii="黑体" w:hAnsi="黑体" w:eastAsia="黑体" w:cs="黑体"/>
          <w:b/>
          <w:bCs/>
          <w:color w:val="auto"/>
          <w:sz w:val="28"/>
          <w:szCs w:val="28"/>
          <w:highlight w:val="none"/>
          <w:lang w:eastAsia="zh-CN"/>
        </w:rPr>
        <w:t>第五节 公司治理、内部控制和投资者保护</w:t>
      </w:r>
      <w:bookmarkEnd w:id="44"/>
      <w:bookmarkEnd w:id="45"/>
      <w:bookmarkEnd w:id="46"/>
      <w:bookmarkEnd w:id="47"/>
      <w:bookmarkEnd w:id="48"/>
      <w:bookmarkEnd w:id="49"/>
    </w:p>
    <w:tbl>
      <w:tblPr>
        <w:tblStyle w:val="22"/>
        <w:tblW w:w="0" w:type="auto"/>
        <w:tblInd w:w="0"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7187"/>
        <w:gridCol w:w="1340"/>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88" w:hRule="atLeast"/>
        </w:trPr>
        <w:tc>
          <w:tcPr>
            <w:tcW w:w="7187" w:type="dxa"/>
            <w:noWrap w:val="0"/>
            <w:vAlign w:val="center"/>
          </w:tcPr>
          <w:p>
            <w:pPr>
              <w:jc w:val="center"/>
              <w:rPr>
                <w:rFonts w:hint="eastAsia" w:ascii="宋体" w:hAnsi="宋体" w:cs="宋体"/>
                <w:b/>
                <w:bCs/>
                <w:color w:val="auto"/>
                <w:kern w:val="0"/>
                <w:highlight w:val="none"/>
              </w:rPr>
            </w:pPr>
            <w:r>
              <w:rPr>
                <w:rFonts w:hint="eastAsia" w:ascii="宋体" w:hAnsi="宋体" w:cs="宋体"/>
                <w:b/>
                <w:bCs/>
                <w:color w:val="auto"/>
                <w:kern w:val="0"/>
                <w:highlight w:val="none"/>
              </w:rPr>
              <w:t>事项</w:t>
            </w:r>
          </w:p>
        </w:tc>
        <w:tc>
          <w:tcPr>
            <w:tcW w:w="1340" w:type="dxa"/>
            <w:noWrap w:val="0"/>
            <w:vAlign w:val="center"/>
          </w:tcPr>
          <w:p>
            <w:pPr>
              <w:jc w:val="center"/>
              <w:rPr>
                <w:rFonts w:hint="eastAsia" w:ascii="宋体" w:hAnsi="宋体" w:cs="宋体"/>
                <w:b/>
                <w:bCs/>
                <w:color w:val="auto"/>
                <w:kern w:val="0"/>
                <w:highlight w:val="none"/>
              </w:rPr>
            </w:pPr>
            <w:r>
              <w:rPr>
                <w:rFonts w:hint="eastAsia" w:ascii="宋体" w:hAnsi="宋体" w:cs="宋体"/>
                <w:b/>
                <w:bCs/>
                <w:color w:val="auto"/>
                <w:kern w:val="0"/>
                <w:highlight w:val="none"/>
              </w:rPr>
              <w:t>是或否</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08" w:hRule="atLeast"/>
        </w:trPr>
        <w:tc>
          <w:tcPr>
            <w:tcW w:w="7187" w:type="dxa"/>
            <w:noWrap w:val="0"/>
            <w:vAlign w:val="top"/>
          </w:tcPr>
          <w:p>
            <w:pPr>
              <w:rPr>
                <w:rFonts w:hint="eastAsia" w:ascii="宋体" w:hAnsi="宋体" w:cs="宋体"/>
                <w:color w:val="auto"/>
                <w:kern w:val="0"/>
                <w:highlight w:val="none"/>
              </w:rPr>
            </w:pPr>
            <w:r>
              <w:rPr>
                <w:rFonts w:hint="eastAsia" w:ascii="宋体" w:hAnsi="宋体" w:cs="宋体"/>
                <w:color w:val="auto"/>
                <w:spacing w:val="-5"/>
                <w:kern w:val="0"/>
                <w:highlight w:val="none"/>
              </w:rPr>
              <w:t>年度内是否建立新的公司治理制度</w:t>
            </w:r>
          </w:p>
        </w:tc>
        <w:tc>
          <w:tcPr>
            <w:tcW w:w="1340" w:type="dxa"/>
            <w:noWrap w:val="0"/>
            <w:vAlign w:val="top"/>
          </w:tcPr>
          <w:p>
            <w:pPr>
              <w:jc w:val="center"/>
              <w:rPr>
                <w:rFonts w:hint="eastAsia" w:ascii="宋体" w:hAnsi="宋体" w:cs="宋体"/>
                <w:color w:val="auto"/>
                <w:kern w:val="0"/>
                <w:highlight w:val="none"/>
              </w:rPr>
            </w:pPr>
            <w:r>
              <w:rPr>
                <w:rFonts w:hint="eastAsia" w:ascii="宋体" w:hAnsi="宋体" w:cs="宋体"/>
                <w:color w:val="auto"/>
                <w:kern w:val="0"/>
                <w:highlight w:val="none"/>
              </w:rPr>
              <w:fldChar w:fldCharType="begin"/>
            </w:r>
            <w:r>
              <w:rPr>
                <w:rFonts w:hint="eastAsia" w:ascii="宋体" w:hAnsi="宋体" w:cs="宋体"/>
                <w:color w:val="auto"/>
                <w:kern w:val="0"/>
                <w:highlight w:val="none"/>
              </w:rPr>
              <w:instrText xml:space="preserve"> MACROBUTTON  SnrToggleCheckbox □是 </w:instrText>
            </w:r>
            <w:r>
              <w:rPr>
                <w:rFonts w:hint="eastAsia" w:ascii="宋体" w:hAnsi="宋体" w:cs="宋体"/>
                <w:color w:val="auto"/>
                <w:kern w:val="0"/>
                <w:highlight w:val="none"/>
              </w:rPr>
              <w:fldChar w:fldCharType="end"/>
            </w:r>
            <w:r>
              <w:rPr>
                <w:rFonts w:hint="eastAsia" w:ascii="宋体" w:hAnsi="宋体" w:cs="宋体"/>
                <w:color w:val="auto"/>
                <w:kern w:val="0"/>
                <w:highlight w:val="none"/>
              </w:rPr>
              <w:fldChar w:fldCharType="begin"/>
            </w:r>
            <w:r>
              <w:rPr>
                <w:rFonts w:hint="eastAsia" w:ascii="宋体" w:hAnsi="宋体" w:cs="宋体"/>
                <w:color w:val="auto"/>
                <w:kern w:val="0"/>
                <w:highlight w:val="none"/>
              </w:rPr>
              <w:instrText xml:space="preserve"> MACROBUTTON  SnrToggleCheckbox √否 </w:instrText>
            </w:r>
            <w:r>
              <w:rPr>
                <w:rFonts w:hint="eastAsia" w:ascii="宋体" w:hAnsi="宋体" w:cs="宋体"/>
                <w:color w:val="auto"/>
                <w:kern w:val="0"/>
                <w:highlight w:val="none"/>
              </w:rPr>
              <w:fldChar w:fldCharType="end"/>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21" w:hRule="atLeast"/>
        </w:trPr>
        <w:tc>
          <w:tcPr>
            <w:tcW w:w="7187" w:type="dxa"/>
            <w:noWrap w:val="0"/>
            <w:vAlign w:val="top"/>
          </w:tcPr>
          <w:p>
            <w:pPr>
              <w:rPr>
                <w:rFonts w:hint="eastAsia" w:ascii="宋体" w:hAnsi="宋体" w:cs="宋体"/>
                <w:color w:val="auto"/>
                <w:kern w:val="0"/>
                <w:highlight w:val="none"/>
              </w:rPr>
            </w:pPr>
            <w:r>
              <w:rPr>
                <w:rFonts w:hint="eastAsia" w:ascii="宋体" w:hAnsi="宋体" w:cs="宋体"/>
                <w:color w:val="auto"/>
                <w:kern w:val="0"/>
                <w:highlight w:val="none"/>
              </w:rPr>
              <w:t>投资机构是否派驻董事</w:t>
            </w:r>
          </w:p>
        </w:tc>
        <w:tc>
          <w:tcPr>
            <w:tcW w:w="1340" w:type="dxa"/>
            <w:noWrap w:val="0"/>
            <w:vAlign w:val="top"/>
          </w:tcPr>
          <w:p>
            <w:pPr>
              <w:jc w:val="center"/>
              <w:rPr>
                <w:rFonts w:hint="eastAsia" w:ascii="宋体" w:hAnsi="宋体" w:cs="宋体"/>
                <w:color w:val="auto"/>
                <w:kern w:val="0"/>
                <w:highlight w:val="none"/>
              </w:rPr>
            </w:pPr>
            <w:r>
              <w:rPr>
                <w:rFonts w:hint="eastAsia" w:ascii="宋体" w:hAnsi="宋体" w:cs="宋体"/>
                <w:color w:val="auto"/>
                <w:kern w:val="0"/>
                <w:highlight w:val="none"/>
              </w:rPr>
              <w:fldChar w:fldCharType="begin"/>
            </w:r>
            <w:r>
              <w:rPr>
                <w:rFonts w:hint="eastAsia" w:ascii="宋体" w:hAnsi="宋体" w:cs="宋体"/>
                <w:color w:val="auto"/>
                <w:kern w:val="0"/>
                <w:highlight w:val="none"/>
              </w:rPr>
              <w:instrText xml:space="preserve"> MACROBUTTON  SnrToggleCheckbox √是 </w:instrText>
            </w:r>
            <w:r>
              <w:rPr>
                <w:rFonts w:hint="eastAsia" w:ascii="宋体" w:hAnsi="宋体" w:cs="宋体"/>
                <w:color w:val="auto"/>
                <w:kern w:val="0"/>
                <w:highlight w:val="none"/>
              </w:rPr>
              <w:fldChar w:fldCharType="end"/>
            </w:r>
            <w:r>
              <w:rPr>
                <w:rFonts w:hint="eastAsia" w:ascii="宋体" w:hAnsi="宋体" w:cs="宋体"/>
                <w:color w:val="auto"/>
                <w:kern w:val="0"/>
                <w:highlight w:val="none"/>
              </w:rPr>
              <w:fldChar w:fldCharType="begin"/>
            </w:r>
            <w:r>
              <w:rPr>
                <w:rFonts w:hint="eastAsia" w:ascii="宋体" w:hAnsi="宋体" w:cs="宋体"/>
                <w:color w:val="auto"/>
                <w:kern w:val="0"/>
                <w:highlight w:val="none"/>
              </w:rPr>
              <w:instrText xml:space="preserve"> MACROBUTTON  SnrToggleCheckbox □否 </w:instrText>
            </w:r>
            <w:r>
              <w:rPr>
                <w:rFonts w:hint="eastAsia" w:ascii="宋体" w:hAnsi="宋体" w:cs="宋体"/>
                <w:color w:val="auto"/>
                <w:kern w:val="0"/>
                <w:highlight w:val="none"/>
              </w:rPr>
              <w:fldChar w:fldCharType="end"/>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12" w:hRule="atLeast"/>
        </w:trPr>
        <w:tc>
          <w:tcPr>
            <w:tcW w:w="7187" w:type="dxa"/>
            <w:noWrap w:val="0"/>
            <w:vAlign w:val="top"/>
          </w:tcPr>
          <w:p>
            <w:pPr>
              <w:rPr>
                <w:rFonts w:hint="eastAsia" w:ascii="宋体" w:hAnsi="宋体" w:eastAsia="宋体" w:cs="宋体"/>
                <w:color w:val="auto"/>
                <w:spacing w:val="-5"/>
                <w:kern w:val="0"/>
                <w:highlight w:val="none"/>
              </w:rPr>
            </w:pPr>
            <w:r>
              <w:rPr>
                <w:rFonts w:hint="eastAsia" w:ascii="宋体" w:hAnsi="宋体" w:eastAsia="宋体" w:cs="宋体"/>
                <w:color w:val="auto"/>
                <w:spacing w:val="-5"/>
                <w:kern w:val="0"/>
                <w:highlight w:val="none"/>
              </w:rPr>
              <w:t>监事会对本年监督事项是否存在异议</w:t>
            </w:r>
          </w:p>
        </w:tc>
        <w:tc>
          <w:tcPr>
            <w:tcW w:w="1340" w:type="dxa"/>
            <w:noWrap w:val="0"/>
            <w:vAlign w:val="top"/>
          </w:tcPr>
          <w:p>
            <w:pPr>
              <w:jc w:val="center"/>
              <w:rPr>
                <w:rFonts w:hint="eastAsia" w:ascii="宋体" w:hAnsi="宋体" w:cs="宋体"/>
                <w:color w:val="auto"/>
                <w:kern w:val="0"/>
                <w:highlight w:val="none"/>
              </w:rPr>
            </w:pPr>
            <w:r>
              <w:rPr>
                <w:rFonts w:hint="eastAsia" w:ascii="宋体" w:hAnsi="宋体" w:cs="宋体"/>
                <w:color w:val="auto"/>
                <w:kern w:val="0"/>
                <w:highlight w:val="none"/>
              </w:rPr>
              <w:fldChar w:fldCharType="begin"/>
            </w:r>
            <w:r>
              <w:rPr>
                <w:rFonts w:hint="eastAsia" w:ascii="宋体" w:hAnsi="宋体" w:cs="宋体"/>
                <w:color w:val="auto"/>
                <w:kern w:val="0"/>
                <w:highlight w:val="none"/>
              </w:rPr>
              <w:instrText xml:space="preserve"> MACROBUTTON  SnrToggleCheckbox □是 </w:instrText>
            </w:r>
            <w:r>
              <w:rPr>
                <w:rFonts w:hint="eastAsia" w:ascii="宋体" w:hAnsi="宋体" w:cs="宋体"/>
                <w:color w:val="auto"/>
                <w:kern w:val="0"/>
                <w:highlight w:val="none"/>
              </w:rPr>
              <w:fldChar w:fldCharType="end"/>
            </w:r>
            <w:r>
              <w:rPr>
                <w:rFonts w:hint="eastAsia" w:ascii="宋体" w:hAnsi="宋体" w:cs="宋体"/>
                <w:color w:val="auto"/>
                <w:kern w:val="0"/>
                <w:highlight w:val="none"/>
              </w:rPr>
              <w:fldChar w:fldCharType="begin"/>
            </w:r>
            <w:r>
              <w:rPr>
                <w:rFonts w:hint="eastAsia" w:ascii="宋体" w:hAnsi="宋体" w:cs="宋体"/>
                <w:color w:val="auto"/>
                <w:kern w:val="0"/>
                <w:highlight w:val="none"/>
              </w:rPr>
              <w:instrText xml:space="preserve"> MACROBUTTON  SnrToggleCheckbox √否 </w:instrText>
            </w:r>
            <w:r>
              <w:rPr>
                <w:rFonts w:hint="eastAsia" w:ascii="宋体" w:hAnsi="宋体" w:cs="宋体"/>
                <w:color w:val="auto"/>
                <w:kern w:val="0"/>
                <w:highlight w:val="none"/>
              </w:rPr>
              <w:fldChar w:fldCharType="end"/>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87" w:hRule="atLeast"/>
        </w:trPr>
        <w:tc>
          <w:tcPr>
            <w:tcW w:w="7187" w:type="dxa"/>
            <w:noWrap w:val="0"/>
            <w:vAlign w:val="top"/>
          </w:tcPr>
          <w:p>
            <w:pPr>
              <w:rPr>
                <w:rFonts w:hint="eastAsia" w:ascii="宋体" w:hAnsi="宋体" w:eastAsia="宋体" w:cs="宋体"/>
                <w:color w:val="auto"/>
                <w:spacing w:val="-5"/>
                <w:kern w:val="0"/>
                <w:highlight w:val="none"/>
                <w:lang w:eastAsia="zh-CN"/>
              </w:rPr>
            </w:pPr>
            <w:r>
              <w:rPr>
                <w:rFonts w:hint="eastAsia" w:ascii="宋体" w:hAnsi="宋体" w:eastAsia="宋体" w:cs="宋体"/>
                <w:color w:val="auto"/>
                <w:spacing w:val="-5"/>
                <w:kern w:val="0"/>
                <w:highlight w:val="none"/>
              </w:rPr>
              <w:t>管理层是否引入职业经理人</w:t>
            </w:r>
          </w:p>
        </w:tc>
        <w:tc>
          <w:tcPr>
            <w:tcW w:w="1340" w:type="dxa"/>
            <w:noWrap w:val="0"/>
            <w:vAlign w:val="top"/>
          </w:tcPr>
          <w:p>
            <w:pPr>
              <w:jc w:val="center"/>
              <w:rPr>
                <w:rFonts w:hint="eastAsia" w:ascii="宋体" w:hAnsi="宋体" w:cs="宋体"/>
                <w:color w:val="auto"/>
                <w:kern w:val="0"/>
                <w:highlight w:val="none"/>
              </w:rPr>
            </w:pPr>
            <w:r>
              <w:rPr>
                <w:rFonts w:hint="eastAsia" w:ascii="宋体" w:hAnsi="宋体" w:cs="宋体"/>
                <w:color w:val="auto"/>
                <w:kern w:val="0"/>
                <w:highlight w:val="none"/>
              </w:rPr>
              <w:fldChar w:fldCharType="begin"/>
            </w:r>
            <w:r>
              <w:rPr>
                <w:rFonts w:hint="eastAsia" w:ascii="宋体" w:hAnsi="宋体" w:cs="宋体"/>
                <w:color w:val="auto"/>
                <w:kern w:val="0"/>
                <w:highlight w:val="none"/>
              </w:rPr>
              <w:instrText xml:space="preserve"> MACROBUTTON  SnrToggleCheckbox □是 </w:instrText>
            </w:r>
            <w:r>
              <w:rPr>
                <w:rFonts w:hint="eastAsia" w:ascii="宋体" w:hAnsi="宋体" w:cs="宋体"/>
                <w:color w:val="auto"/>
                <w:kern w:val="0"/>
                <w:highlight w:val="none"/>
              </w:rPr>
              <w:fldChar w:fldCharType="end"/>
            </w:r>
            <w:r>
              <w:rPr>
                <w:rFonts w:hint="eastAsia" w:ascii="宋体" w:hAnsi="宋体" w:cs="宋体"/>
                <w:color w:val="auto"/>
                <w:kern w:val="0"/>
                <w:highlight w:val="none"/>
              </w:rPr>
              <w:fldChar w:fldCharType="begin"/>
            </w:r>
            <w:r>
              <w:rPr>
                <w:rFonts w:hint="eastAsia" w:ascii="宋体" w:hAnsi="宋体" w:cs="宋体"/>
                <w:color w:val="auto"/>
                <w:kern w:val="0"/>
                <w:highlight w:val="none"/>
              </w:rPr>
              <w:instrText xml:space="preserve"> MACROBUTTON  SnrToggleCheckbox √否 </w:instrText>
            </w:r>
            <w:r>
              <w:rPr>
                <w:rFonts w:hint="eastAsia" w:ascii="宋体" w:hAnsi="宋体" w:cs="宋体"/>
                <w:color w:val="auto"/>
                <w:kern w:val="0"/>
                <w:highlight w:val="none"/>
              </w:rPr>
              <w:fldChar w:fldCharType="end"/>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77" w:hRule="atLeast"/>
        </w:trPr>
        <w:tc>
          <w:tcPr>
            <w:tcW w:w="7187" w:type="dxa"/>
            <w:noWrap w:val="0"/>
            <w:vAlign w:val="top"/>
          </w:tcPr>
          <w:p>
            <w:pPr>
              <w:rPr>
                <w:rFonts w:hint="default" w:ascii="宋体" w:hAnsi="宋体" w:eastAsia="宋体" w:cs="宋体"/>
                <w:color w:val="auto"/>
                <w:kern w:val="0"/>
                <w:highlight w:val="none"/>
                <w:lang w:val="en-US" w:eastAsia="zh-CN"/>
              </w:rPr>
            </w:pPr>
            <w:r>
              <w:rPr>
                <w:rFonts w:hint="eastAsia" w:ascii="宋体" w:hAnsi="宋体" w:eastAsia="宋体" w:cs="宋体"/>
                <w:color w:val="auto"/>
                <w:spacing w:val="-5"/>
                <w:kern w:val="0"/>
                <w:highlight w:val="none"/>
              </w:rPr>
              <w:t>会计核算体系、财务管理、风险控制及其他重大内部管理制度本年是否发现重大缺陷</w:t>
            </w:r>
          </w:p>
        </w:tc>
        <w:tc>
          <w:tcPr>
            <w:tcW w:w="1340" w:type="dxa"/>
            <w:noWrap w:val="0"/>
            <w:vAlign w:val="top"/>
          </w:tcPr>
          <w:p>
            <w:pPr>
              <w:jc w:val="center"/>
              <w:rPr>
                <w:rFonts w:hint="eastAsia" w:ascii="宋体" w:hAnsi="宋体" w:cs="宋体"/>
                <w:color w:val="auto"/>
                <w:kern w:val="0"/>
                <w:highlight w:val="none"/>
              </w:rPr>
            </w:pPr>
            <w:r>
              <w:rPr>
                <w:rFonts w:hint="eastAsia" w:ascii="宋体" w:hAnsi="宋体" w:cs="宋体"/>
                <w:color w:val="auto"/>
                <w:kern w:val="0"/>
                <w:highlight w:val="none"/>
              </w:rPr>
              <w:fldChar w:fldCharType="begin"/>
            </w:r>
            <w:r>
              <w:rPr>
                <w:rFonts w:hint="eastAsia" w:ascii="宋体" w:hAnsi="宋体" w:cs="宋体"/>
                <w:color w:val="auto"/>
                <w:kern w:val="0"/>
                <w:highlight w:val="none"/>
              </w:rPr>
              <w:instrText xml:space="preserve"> MACROBUTTON  SnrToggleCheckbox □是 </w:instrText>
            </w:r>
            <w:r>
              <w:rPr>
                <w:rFonts w:hint="eastAsia" w:ascii="宋体" w:hAnsi="宋体" w:cs="宋体"/>
                <w:color w:val="auto"/>
                <w:kern w:val="0"/>
                <w:highlight w:val="none"/>
              </w:rPr>
              <w:fldChar w:fldCharType="end"/>
            </w:r>
            <w:r>
              <w:rPr>
                <w:rFonts w:hint="eastAsia" w:ascii="宋体" w:hAnsi="宋体" w:cs="宋体"/>
                <w:color w:val="auto"/>
                <w:kern w:val="0"/>
                <w:highlight w:val="none"/>
              </w:rPr>
              <w:fldChar w:fldCharType="begin"/>
            </w:r>
            <w:r>
              <w:rPr>
                <w:rFonts w:hint="eastAsia" w:ascii="宋体" w:hAnsi="宋体" w:cs="宋体"/>
                <w:color w:val="auto"/>
                <w:kern w:val="0"/>
                <w:highlight w:val="none"/>
              </w:rPr>
              <w:instrText xml:space="preserve"> MACROBUTTON  SnrToggleCheckbox √否 </w:instrText>
            </w:r>
            <w:r>
              <w:rPr>
                <w:rFonts w:hint="eastAsia" w:ascii="宋体" w:hAnsi="宋体" w:cs="宋体"/>
                <w:color w:val="auto"/>
                <w:kern w:val="0"/>
                <w:highlight w:val="none"/>
              </w:rPr>
              <w:fldChar w:fldCharType="end"/>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49" w:hRule="atLeast"/>
        </w:trPr>
        <w:tc>
          <w:tcPr>
            <w:tcW w:w="7187" w:type="dxa"/>
            <w:noWrap w:val="0"/>
            <w:vAlign w:val="top"/>
          </w:tcPr>
          <w:p>
            <w:pPr>
              <w:rPr>
                <w:rFonts w:hint="eastAsia" w:ascii="宋体" w:hAnsi="宋体" w:cs="宋体"/>
                <w:color w:val="auto"/>
                <w:kern w:val="0"/>
                <w:highlight w:val="none"/>
              </w:rPr>
            </w:pPr>
            <w:r>
              <w:rPr>
                <w:rFonts w:hint="eastAsia" w:ascii="宋体" w:hAnsi="宋体" w:cs="宋体"/>
                <w:color w:val="auto"/>
                <w:kern w:val="0"/>
                <w:highlight w:val="none"/>
              </w:rPr>
              <w:t>是否建立年度报告重大差错责任追究制度</w:t>
            </w:r>
          </w:p>
        </w:tc>
        <w:tc>
          <w:tcPr>
            <w:tcW w:w="1340" w:type="dxa"/>
            <w:noWrap w:val="0"/>
            <w:vAlign w:val="top"/>
          </w:tcPr>
          <w:p>
            <w:pPr>
              <w:jc w:val="center"/>
              <w:rPr>
                <w:rFonts w:hint="eastAsia" w:ascii="宋体" w:hAnsi="宋体" w:cs="宋体"/>
                <w:color w:val="auto"/>
                <w:kern w:val="0"/>
                <w:highlight w:val="none"/>
              </w:rPr>
            </w:pPr>
            <w:r>
              <w:rPr>
                <w:rFonts w:hint="eastAsia" w:ascii="宋体" w:hAnsi="宋体" w:cs="宋体"/>
                <w:color w:val="auto"/>
                <w:kern w:val="0"/>
                <w:highlight w:val="none"/>
              </w:rPr>
              <w:fldChar w:fldCharType="begin"/>
            </w:r>
            <w:r>
              <w:rPr>
                <w:rFonts w:hint="eastAsia" w:ascii="宋体" w:hAnsi="宋体" w:cs="宋体"/>
                <w:color w:val="auto"/>
                <w:kern w:val="0"/>
                <w:highlight w:val="none"/>
              </w:rPr>
              <w:instrText xml:space="preserve"> MACROBUTTON  SnrToggleCheckbox √是 </w:instrText>
            </w:r>
            <w:r>
              <w:rPr>
                <w:rFonts w:hint="eastAsia" w:ascii="宋体" w:hAnsi="宋体" w:cs="宋体"/>
                <w:color w:val="auto"/>
                <w:kern w:val="0"/>
                <w:highlight w:val="none"/>
              </w:rPr>
              <w:fldChar w:fldCharType="end"/>
            </w:r>
            <w:r>
              <w:rPr>
                <w:rFonts w:hint="eastAsia" w:ascii="宋体" w:hAnsi="宋体" w:cs="宋体"/>
                <w:color w:val="auto"/>
                <w:kern w:val="0"/>
                <w:highlight w:val="none"/>
              </w:rPr>
              <w:fldChar w:fldCharType="begin"/>
            </w:r>
            <w:r>
              <w:rPr>
                <w:rFonts w:hint="eastAsia" w:ascii="宋体" w:hAnsi="宋体" w:cs="宋体"/>
                <w:color w:val="auto"/>
                <w:kern w:val="0"/>
                <w:highlight w:val="none"/>
              </w:rPr>
              <w:instrText xml:space="preserve"> MACROBUTTON  SnrToggleCheckbox □否 </w:instrText>
            </w:r>
            <w:r>
              <w:rPr>
                <w:rFonts w:hint="eastAsia" w:ascii="宋体" w:hAnsi="宋体" w:cs="宋体"/>
                <w:color w:val="auto"/>
                <w:kern w:val="0"/>
                <w:highlight w:val="none"/>
              </w:rPr>
              <w:fldChar w:fldCharType="end"/>
            </w:r>
          </w:p>
        </w:tc>
      </w:tr>
    </w:tbl>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Theme="minorEastAsia" w:hAnsiTheme="minorEastAsia" w:eastAsiaTheme="minorEastAsia" w:cstheme="minorEastAsia"/>
          <w:b/>
          <w:color w:val="auto"/>
          <w:sz w:val="24"/>
          <w:szCs w:val="24"/>
          <w:highlight w:val="none"/>
          <w:lang w:eastAsia="zh-CN"/>
        </w:rPr>
      </w:pPr>
      <w:r>
        <w:rPr>
          <w:rFonts w:hint="eastAsia" w:asciiTheme="minorEastAsia" w:hAnsiTheme="minorEastAsia" w:eastAsiaTheme="minorEastAsia" w:cstheme="minorEastAsia"/>
          <w:b/>
          <w:color w:val="auto"/>
          <w:sz w:val="24"/>
          <w:szCs w:val="24"/>
          <w:highlight w:val="none"/>
        </w:rPr>
        <w:t>一、公司治理</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（一）制度与评估</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1.公司治理基本状况</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公司按照《公司法》《证券法》《公司章程》以及《非上市公众公司监督管理办法》及其他相关法律、法规的要求，不断完善法人治理结构，建立行之有效的内控管理体系，确保公司规范运作。</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公司逐步建立了《股东大会议事规则》《董事会议事规则》《监事会议事规则》《担保管理办法》《投资管理办法（试行）》《总经理办公会议事规则》《董事会秘书工作制度》《信息披露</w:t>
      </w:r>
      <w:r>
        <w:rPr>
          <w:rFonts w:hint="eastAsia" w:asciiTheme="minorEastAsia" w:hAnsiTheme="minorEastAsia" w:eastAsiaTheme="minorEastAsia" w:cstheme="minorEastAsia"/>
          <w:color w:val="auto"/>
          <w:sz w:val="24"/>
          <w:szCs w:val="24"/>
          <w:highlight w:val="none"/>
        </w:rPr>
        <w:t>管理办法》等内部管理制度，公司法人治理结构得到了进一步健</w:t>
      </w:r>
      <w:r>
        <w:rPr>
          <w:rFonts w:hint="eastAsia" w:asciiTheme="minorEastAsia" w:hAnsiTheme="minorEastAsia" w:eastAsiaTheme="minorEastAsia" w:cstheme="minorEastAsia"/>
          <w:color w:val="auto"/>
          <w:kern w:val="2"/>
          <w:sz w:val="24"/>
          <w:szCs w:val="24"/>
          <w:highlight w:val="none"/>
          <w:lang w:val="en-US" w:eastAsia="zh-CN" w:bidi="ar-SA"/>
        </w:rPr>
        <w:t xml:space="preserve">全与完善。 </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报告期内，公司股东大会、董事会、监事会会议召集程序、决议程序、表决内容均符合法律法规和《公司章程》以及议事规则的规定，运作规范；公司重要决策的制定遵守《公司章程》和相关议事规则的规定，通过相关会议审议通过；公司股东、董事、监事均按照要求出席相关会议，并履行相关权利义务。</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截至报告期末，上述机构和人员依法运作，未出现违法、违规现象和重大缺陷，能够切实履行应尽的职责和义务。</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2.公司治理机制是否给所有股东提供合适的保护和平等权利的评估意见</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公司严格遵守《公司法》《公司章程》《股东大会议事规则》等要求。股东大会的召集、召开程序、出席股东大会的人员资格及股东大会的表决程序均符合《公司法》《公司章程》和《股东大会议事规则》及其他相关法律法规的规定。公司治理机制注重保护股东权益，能给公司大小股东提供合适的保护，并保证股东充分行使知情权、参与权、质询权和表决权等权利。董事会经过评估认为，公司已建立较为完善的治理机制，符合《公司法》《证券法》《非上市公众公司监督管理办法》等法律、法规及规范性文件的要求，能够有效保障所有股东的合法及平等权利。</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3.公司重大决策是否履行规定程序的评估意见</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报告期内，公司重大事项均按照《公司章程》及内部控制制度进行决策，履行了相应法律程序。公司内部治理机构和成员依法运作，能够切实履行应尽的职责和义务，未出现违法违规现象。</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（二）三会运作情况</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Theme="minorEastAsia" w:hAnsiTheme="minorEastAsia" w:eastAsiaTheme="minorEastAsia" w:cstheme="minorEastAsia"/>
          <w:b w:val="0"/>
          <w:bCs/>
          <w:color w:val="auto"/>
          <w:sz w:val="24"/>
          <w:szCs w:val="24"/>
          <w:highlight w:val="none"/>
          <w:lang w:eastAsia="zh-CN"/>
        </w:rPr>
      </w:pPr>
      <w:r>
        <w:rPr>
          <w:rFonts w:hint="eastAsia" w:asciiTheme="minorEastAsia" w:hAnsiTheme="minorEastAsia" w:eastAsiaTheme="minorEastAsia" w:cstheme="minorEastAsia"/>
          <w:b w:val="0"/>
          <w:bCs/>
          <w:color w:val="auto"/>
          <w:sz w:val="24"/>
          <w:szCs w:val="24"/>
          <w:highlight w:val="none"/>
          <w:lang w:eastAsia="zh-CN"/>
        </w:rPr>
        <w:t>1.三会召开次数</w:t>
      </w:r>
    </w:p>
    <w:tbl>
      <w:tblPr>
        <w:tblStyle w:val="22"/>
        <w:tblW w:w="8559"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139"/>
        <w:gridCol w:w="2140"/>
        <w:gridCol w:w="2140"/>
        <w:gridCol w:w="214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2139" w:type="dxa"/>
            <w:noWrap w:val="0"/>
            <w:vAlign w:val="center"/>
          </w:tcPr>
          <w:p>
            <w:pPr>
              <w:jc w:val="center"/>
              <w:rPr>
                <w:b/>
                <w:bCs/>
                <w:color w:val="auto"/>
                <w:highlight w:val="none"/>
              </w:rPr>
            </w:pPr>
            <w:r>
              <w:rPr>
                <w:b/>
                <w:bCs/>
                <w:color w:val="auto"/>
                <w:highlight w:val="none"/>
              </w:rPr>
              <w:t>项目</w:t>
            </w:r>
          </w:p>
        </w:tc>
        <w:tc>
          <w:tcPr>
            <w:tcW w:w="2140" w:type="dxa"/>
            <w:noWrap w:val="0"/>
            <w:vAlign w:val="center"/>
          </w:tcPr>
          <w:p>
            <w:pPr>
              <w:jc w:val="center"/>
              <w:rPr>
                <w:b/>
                <w:bCs/>
                <w:color w:val="auto"/>
                <w:highlight w:val="none"/>
              </w:rPr>
            </w:pPr>
            <w:r>
              <w:rPr>
                <w:b/>
                <w:bCs/>
                <w:color w:val="auto"/>
                <w:highlight w:val="none"/>
              </w:rPr>
              <w:t>股东大会</w:t>
            </w:r>
          </w:p>
        </w:tc>
        <w:tc>
          <w:tcPr>
            <w:tcW w:w="2140" w:type="dxa"/>
            <w:noWrap w:val="0"/>
            <w:vAlign w:val="center"/>
          </w:tcPr>
          <w:p>
            <w:pPr>
              <w:jc w:val="center"/>
              <w:rPr>
                <w:b/>
                <w:bCs/>
                <w:color w:val="auto"/>
                <w:highlight w:val="none"/>
              </w:rPr>
            </w:pPr>
            <w:r>
              <w:rPr>
                <w:b/>
                <w:bCs/>
                <w:color w:val="auto"/>
                <w:highlight w:val="none"/>
              </w:rPr>
              <w:t>董事会</w:t>
            </w:r>
          </w:p>
        </w:tc>
        <w:tc>
          <w:tcPr>
            <w:tcW w:w="2140" w:type="dxa"/>
            <w:noWrap w:val="0"/>
            <w:vAlign w:val="center"/>
          </w:tcPr>
          <w:p>
            <w:pPr>
              <w:jc w:val="center"/>
              <w:rPr>
                <w:b/>
                <w:bCs/>
                <w:color w:val="auto"/>
                <w:highlight w:val="none"/>
              </w:rPr>
            </w:pPr>
            <w:r>
              <w:rPr>
                <w:b/>
                <w:bCs/>
                <w:color w:val="auto"/>
                <w:highlight w:val="none"/>
              </w:rPr>
              <w:t>监事会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39" w:type="dxa"/>
            <w:noWrap w:val="0"/>
            <w:vAlign w:val="center"/>
          </w:tcPr>
          <w:p>
            <w:pPr>
              <w:jc w:val="center"/>
              <w:rPr>
                <w:color w:val="auto"/>
                <w:highlight w:val="none"/>
              </w:rPr>
            </w:pPr>
            <w:r>
              <w:rPr>
                <w:color w:val="auto"/>
                <w:highlight w:val="none"/>
              </w:rPr>
              <w:t>召开次数</w:t>
            </w:r>
          </w:p>
        </w:tc>
        <w:tc>
          <w:tcPr>
            <w:tcW w:w="2140" w:type="dxa"/>
            <w:noWrap w:val="0"/>
            <w:vAlign w:val="center"/>
          </w:tcPr>
          <w:p>
            <w:pPr>
              <w:jc w:val="center"/>
              <w:rPr>
                <w:rFonts w:hint="eastAsia" w:eastAsia="宋体"/>
                <w:color w:val="auto"/>
                <w:highlight w:val="none"/>
                <w:lang w:eastAsia="zh-CN"/>
              </w:rPr>
            </w:pPr>
            <w:r>
              <w:rPr>
                <w:rFonts w:hint="eastAsia"/>
                <w:color w:val="auto"/>
                <w:highlight w:val="none"/>
                <w:lang w:val="en-US" w:eastAsia="zh-CN"/>
              </w:rPr>
              <w:t>4</w:t>
            </w:r>
          </w:p>
        </w:tc>
        <w:tc>
          <w:tcPr>
            <w:tcW w:w="2140" w:type="dxa"/>
            <w:noWrap w:val="0"/>
            <w:vAlign w:val="center"/>
          </w:tcPr>
          <w:p>
            <w:pPr>
              <w:jc w:val="center"/>
              <w:rPr>
                <w:rFonts w:hint="default" w:eastAsia="宋体"/>
                <w:color w:val="auto"/>
                <w:highlight w:val="none"/>
                <w:lang w:val="en-US" w:eastAsia="zh-CN"/>
              </w:rPr>
            </w:pPr>
            <w:r>
              <w:rPr>
                <w:rFonts w:hint="eastAsia"/>
                <w:color w:val="auto"/>
                <w:highlight w:val="none"/>
                <w:lang w:val="en-US" w:eastAsia="zh-CN"/>
              </w:rPr>
              <w:t>10</w:t>
            </w:r>
          </w:p>
        </w:tc>
        <w:tc>
          <w:tcPr>
            <w:tcW w:w="2140" w:type="dxa"/>
            <w:noWrap w:val="0"/>
            <w:vAlign w:val="center"/>
          </w:tcPr>
          <w:p>
            <w:pPr>
              <w:jc w:val="center"/>
              <w:rPr>
                <w:rFonts w:hint="eastAsia" w:eastAsia="宋体"/>
                <w:color w:val="auto"/>
                <w:highlight w:val="none"/>
                <w:lang w:eastAsia="zh-CN"/>
              </w:rPr>
            </w:pPr>
            <w:r>
              <w:rPr>
                <w:rFonts w:hint="eastAsia"/>
                <w:color w:val="auto"/>
                <w:highlight w:val="none"/>
                <w:lang w:val="en-US" w:eastAsia="zh-CN"/>
              </w:rPr>
              <w:t>2</w:t>
            </w:r>
          </w:p>
        </w:tc>
      </w:tr>
    </w:tbl>
    <w:p>
      <w:pPr>
        <w:pStyle w:val="6"/>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Theme="minorEastAsia" w:hAnsiTheme="minorEastAsia" w:eastAsiaTheme="minorEastAsia" w:cstheme="minorEastAsia"/>
          <w:b w:val="0"/>
          <w:bCs/>
          <w:color w:val="auto"/>
          <w:sz w:val="24"/>
          <w:szCs w:val="24"/>
          <w:highlight w:val="none"/>
          <w:lang w:eastAsia="zh-CN"/>
        </w:rPr>
      </w:pPr>
      <w:r>
        <w:rPr>
          <w:rFonts w:hint="eastAsia" w:asciiTheme="minorEastAsia" w:hAnsiTheme="minorEastAsia" w:eastAsiaTheme="minorEastAsia" w:cstheme="minorEastAsia"/>
          <w:b w:val="0"/>
          <w:bCs/>
          <w:color w:val="auto"/>
          <w:sz w:val="24"/>
          <w:szCs w:val="24"/>
          <w:highlight w:val="none"/>
          <w:lang w:eastAsia="zh-CN"/>
        </w:rPr>
        <w:t>2.股东大会的召集、召开、表决情况</w:t>
      </w:r>
    </w:p>
    <w:tbl>
      <w:tblPr>
        <w:tblStyle w:val="22"/>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639"/>
        <w:gridCol w:w="1278"/>
        <w:gridCol w:w="160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5639" w:type="dxa"/>
            <w:noWrap w:val="0"/>
            <w:vAlign w:val="top"/>
          </w:tcPr>
          <w:p>
            <w:pPr>
              <w:spacing w:line="360" w:lineRule="auto"/>
              <w:jc w:val="center"/>
              <w:rPr>
                <w:rFonts w:hint="eastAsia" w:ascii="宋体" w:hAnsi="宋体" w:cs="宋体"/>
                <w:b/>
                <w:bCs/>
                <w:color w:val="auto"/>
                <w:kern w:val="0"/>
                <w:highlight w:val="none"/>
              </w:rPr>
            </w:pPr>
            <w:r>
              <w:rPr>
                <w:rFonts w:hint="eastAsia" w:ascii="宋体" w:hAnsi="宋体" w:cs="宋体"/>
                <w:b/>
                <w:bCs/>
                <w:color w:val="auto"/>
                <w:kern w:val="0"/>
                <w:highlight w:val="none"/>
              </w:rPr>
              <w:t>事项</w:t>
            </w:r>
          </w:p>
        </w:tc>
        <w:tc>
          <w:tcPr>
            <w:tcW w:w="1278" w:type="dxa"/>
            <w:noWrap w:val="0"/>
            <w:vAlign w:val="top"/>
          </w:tcPr>
          <w:p>
            <w:pPr>
              <w:spacing w:line="360" w:lineRule="auto"/>
              <w:jc w:val="center"/>
              <w:rPr>
                <w:rFonts w:hint="eastAsia" w:ascii="宋体" w:hAnsi="宋体" w:cs="宋体"/>
                <w:b/>
                <w:bCs/>
                <w:color w:val="auto"/>
                <w:kern w:val="0"/>
                <w:highlight w:val="none"/>
              </w:rPr>
            </w:pPr>
            <w:r>
              <w:rPr>
                <w:rFonts w:hint="eastAsia" w:ascii="宋体" w:hAnsi="宋体" w:cs="宋体"/>
                <w:b/>
                <w:bCs/>
                <w:color w:val="auto"/>
                <w:kern w:val="0"/>
                <w:highlight w:val="none"/>
              </w:rPr>
              <w:t>是或否</w:t>
            </w:r>
          </w:p>
        </w:tc>
        <w:tc>
          <w:tcPr>
            <w:tcW w:w="1601" w:type="dxa"/>
            <w:noWrap w:val="0"/>
            <w:vAlign w:val="top"/>
          </w:tcPr>
          <w:p>
            <w:pPr>
              <w:spacing w:line="360" w:lineRule="auto"/>
              <w:jc w:val="center"/>
              <w:rPr>
                <w:rFonts w:hint="eastAsia" w:ascii="宋体" w:hAnsi="宋体" w:cs="宋体"/>
                <w:b/>
                <w:bCs/>
                <w:color w:val="auto"/>
                <w:kern w:val="0"/>
                <w:highlight w:val="none"/>
              </w:rPr>
            </w:pPr>
            <w:r>
              <w:rPr>
                <w:rFonts w:hint="eastAsia" w:ascii="宋体" w:hAnsi="宋体" w:cs="宋体"/>
                <w:b/>
                <w:bCs/>
                <w:color w:val="auto"/>
                <w:kern w:val="0"/>
                <w:highlight w:val="none"/>
              </w:rPr>
              <w:t>具体情况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639" w:type="dxa"/>
            <w:noWrap w:val="0"/>
            <w:vAlign w:val="top"/>
          </w:tcPr>
          <w:p>
            <w:pPr>
              <w:spacing w:line="360" w:lineRule="auto"/>
              <w:rPr>
                <w:rFonts w:hint="eastAsia" w:ascii="宋体" w:hAnsi="宋体" w:cs="宋体"/>
                <w:color w:val="auto"/>
                <w:kern w:val="0"/>
                <w:highlight w:val="none"/>
              </w:rPr>
            </w:pPr>
            <w:r>
              <w:rPr>
                <w:rFonts w:hint="eastAsia" w:ascii="宋体" w:hAnsi="宋体" w:cs="宋体"/>
                <w:color w:val="auto"/>
                <w:kern w:val="0"/>
                <w:highlight w:val="none"/>
              </w:rPr>
              <w:t>股东大会是否未按规定设置会场</w:t>
            </w:r>
          </w:p>
        </w:tc>
        <w:tc>
          <w:tcPr>
            <w:tcW w:w="1278" w:type="dxa"/>
            <w:noWrap w:val="0"/>
            <w:vAlign w:val="center"/>
          </w:tcPr>
          <w:p>
            <w:pPr>
              <w:spacing w:line="360" w:lineRule="auto"/>
              <w:jc w:val="center"/>
              <w:rPr>
                <w:rFonts w:hint="eastAsia" w:ascii="宋体" w:hAnsi="宋体" w:cs="宋体"/>
                <w:color w:val="auto"/>
                <w:kern w:val="0"/>
                <w:highlight w:val="none"/>
              </w:rPr>
            </w:pPr>
            <w:r>
              <w:rPr>
                <w:rFonts w:hint="eastAsia" w:ascii="宋体" w:hAnsi="宋体" w:cs="宋体"/>
                <w:color w:val="auto"/>
                <w:kern w:val="0"/>
                <w:highlight w:val="none"/>
              </w:rPr>
              <w:t>否</w:t>
            </w:r>
          </w:p>
        </w:tc>
        <w:tc>
          <w:tcPr>
            <w:tcW w:w="1601" w:type="dxa"/>
            <w:noWrap w:val="0"/>
            <w:vAlign w:val="center"/>
          </w:tcPr>
          <w:p>
            <w:pPr>
              <w:spacing w:line="360" w:lineRule="auto"/>
              <w:jc w:val="center"/>
              <w:rPr>
                <w:rFonts w:hint="eastAsia" w:ascii="宋体" w:hAnsi="宋体" w:cs="宋体"/>
                <w:color w:val="auto"/>
                <w:kern w:val="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639" w:type="dxa"/>
            <w:noWrap w:val="0"/>
            <w:vAlign w:val="top"/>
          </w:tcPr>
          <w:p>
            <w:pPr>
              <w:spacing w:line="360" w:lineRule="auto"/>
              <w:rPr>
                <w:rFonts w:hint="eastAsia" w:ascii="宋体" w:hAnsi="宋体" w:cs="宋体"/>
                <w:color w:val="auto"/>
                <w:kern w:val="0"/>
                <w:highlight w:val="none"/>
              </w:rPr>
            </w:pPr>
            <w:r>
              <w:rPr>
                <w:rFonts w:hint="eastAsia" w:ascii="宋体" w:hAnsi="宋体" w:cs="宋体"/>
                <w:color w:val="auto"/>
                <w:kern w:val="0"/>
                <w:highlight w:val="none"/>
              </w:rPr>
              <w:t>202</w:t>
            </w:r>
            <w:r>
              <w:rPr>
                <w:rFonts w:hint="eastAsia" w:ascii="宋体" w:hAnsi="宋体" w:cs="宋体"/>
                <w:color w:val="auto"/>
                <w:kern w:val="0"/>
                <w:highlight w:val="none"/>
                <w:lang w:val="en-US" w:eastAsia="zh-CN"/>
              </w:rPr>
              <w:t>3</w:t>
            </w:r>
            <w:r>
              <w:rPr>
                <w:rFonts w:hint="eastAsia" w:ascii="宋体" w:hAnsi="宋体" w:cs="宋体"/>
                <w:color w:val="auto"/>
                <w:kern w:val="0"/>
                <w:highlight w:val="none"/>
              </w:rPr>
              <w:t>年年度股东大会是否未在上一会计年度结束后6个月内举行</w:t>
            </w:r>
          </w:p>
        </w:tc>
        <w:tc>
          <w:tcPr>
            <w:tcW w:w="1278" w:type="dxa"/>
            <w:noWrap w:val="0"/>
            <w:vAlign w:val="center"/>
          </w:tcPr>
          <w:p>
            <w:pPr>
              <w:spacing w:line="360" w:lineRule="auto"/>
              <w:jc w:val="center"/>
              <w:rPr>
                <w:rFonts w:hint="eastAsia" w:ascii="宋体" w:hAnsi="宋体" w:cs="宋体"/>
                <w:color w:val="auto"/>
                <w:kern w:val="0"/>
                <w:highlight w:val="none"/>
              </w:rPr>
            </w:pPr>
            <w:r>
              <w:rPr>
                <w:rFonts w:hint="eastAsia" w:ascii="宋体" w:hAnsi="宋体" w:cs="宋体"/>
                <w:color w:val="auto"/>
                <w:kern w:val="0"/>
                <w:highlight w:val="none"/>
              </w:rPr>
              <w:t>否</w:t>
            </w:r>
          </w:p>
        </w:tc>
        <w:tc>
          <w:tcPr>
            <w:tcW w:w="1601" w:type="dxa"/>
            <w:noWrap w:val="0"/>
            <w:vAlign w:val="center"/>
          </w:tcPr>
          <w:p>
            <w:pPr>
              <w:spacing w:line="360" w:lineRule="auto"/>
              <w:jc w:val="center"/>
              <w:rPr>
                <w:rFonts w:hint="eastAsia" w:ascii="宋体" w:hAnsi="宋体" w:cs="宋体"/>
                <w:color w:val="auto"/>
                <w:kern w:val="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639" w:type="dxa"/>
            <w:noWrap w:val="0"/>
            <w:vAlign w:val="top"/>
          </w:tcPr>
          <w:p>
            <w:pPr>
              <w:spacing w:line="360" w:lineRule="auto"/>
              <w:rPr>
                <w:rFonts w:hint="eastAsia" w:ascii="宋体" w:hAnsi="宋体" w:cs="宋体"/>
                <w:color w:val="auto"/>
                <w:kern w:val="0"/>
                <w:highlight w:val="none"/>
              </w:rPr>
            </w:pPr>
            <w:r>
              <w:rPr>
                <w:rFonts w:hint="eastAsia" w:ascii="宋体" w:hAnsi="宋体" w:cs="宋体"/>
                <w:color w:val="auto"/>
                <w:kern w:val="0"/>
                <w:highlight w:val="none"/>
              </w:rPr>
              <w:t>202</w:t>
            </w:r>
            <w:r>
              <w:rPr>
                <w:rFonts w:hint="eastAsia" w:ascii="宋体" w:hAnsi="宋体" w:cs="宋体"/>
                <w:color w:val="auto"/>
                <w:kern w:val="0"/>
                <w:highlight w:val="none"/>
                <w:lang w:val="en-US" w:eastAsia="zh-CN"/>
              </w:rPr>
              <w:t>3</w:t>
            </w:r>
            <w:r>
              <w:rPr>
                <w:rFonts w:hint="eastAsia" w:ascii="宋体" w:hAnsi="宋体" w:cs="宋体"/>
                <w:color w:val="auto"/>
                <w:kern w:val="0"/>
                <w:highlight w:val="none"/>
              </w:rPr>
              <w:t>年年度股东大会通知是否未提前20日发出</w:t>
            </w:r>
          </w:p>
        </w:tc>
        <w:tc>
          <w:tcPr>
            <w:tcW w:w="1278" w:type="dxa"/>
            <w:noWrap w:val="0"/>
            <w:vAlign w:val="center"/>
          </w:tcPr>
          <w:p>
            <w:pPr>
              <w:spacing w:line="360" w:lineRule="auto"/>
              <w:jc w:val="center"/>
              <w:rPr>
                <w:rFonts w:hint="eastAsia" w:ascii="宋体" w:hAnsi="宋体" w:cs="宋体"/>
                <w:color w:val="auto"/>
                <w:kern w:val="0"/>
                <w:highlight w:val="none"/>
              </w:rPr>
            </w:pPr>
            <w:r>
              <w:rPr>
                <w:rFonts w:hint="eastAsia" w:ascii="宋体" w:hAnsi="宋体" w:cs="宋体"/>
                <w:color w:val="auto"/>
                <w:kern w:val="0"/>
                <w:highlight w:val="none"/>
              </w:rPr>
              <w:t>否</w:t>
            </w:r>
          </w:p>
        </w:tc>
        <w:tc>
          <w:tcPr>
            <w:tcW w:w="1601" w:type="dxa"/>
            <w:noWrap w:val="0"/>
            <w:vAlign w:val="center"/>
          </w:tcPr>
          <w:p>
            <w:pPr>
              <w:spacing w:line="360" w:lineRule="auto"/>
              <w:jc w:val="center"/>
              <w:rPr>
                <w:rFonts w:hint="eastAsia" w:ascii="宋体" w:hAnsi="宋体" w:cs="宋体"/>
                <w:color w:val="auto"/>
                <w:kern w:val="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639" w:type="dxa"/>
            <w:noWrap w:val="0"/>
            <w:vAlign w:val="top"/>
          </w:tcPr>
          <w:p>
            <w:pPr>
              <w:spacing w:line="360" w:lineRule="auto"/>
              <w:rPr>
                <w:rFonts w:hint="eastAsia" w:ascii="宋体" w:hAnsi="宋体" w:cs="宋体"/>
                <w:color w:val="auto"/>
                <w:kern w:val="0"/>
                <w:highlight w:val="none"/>
              </w:rPr>
            </w:pPr>
            <w:r>
              <w:rPr>
                <w:rFonts w:hint="eastAsia" w:ascii="宋体" w:hAnsi="宋体" w:cs="宋体"/>
                <w:color w:val="auto"/>
                <w:kern w:val="0"/>
                <w:highlight w:val="none"/>
              </w:rPr>
              <w:t>202</w:t>
            </w:r>
            <w:r>
              <w:rPr>
                <w:rFonts w:hint="eastAsia" w:ascii="宋体" w:hAnsi="宋体" w:cs="宋体"/>
                <w:color w:val="auto"/>
                <w:kern w:val="0"/>
                <w:highlight w:val="none"/>
                <w:lang w:val="en-US" w:eastAsia="zh-CN"/>
              </w:rPr>
              <w:t>3</w:t>
            </w:r>
            <w:r>
              <w:rPr>
                <w:rFonts w:hint="eastAsia" w:ascii="宋体" w:hAnsi="宋体" w:cs="宋体"/>
                <w:color w:val="auto"/>
                <w:kern w:val="0"/>
                <w:highlight w:val="none"/>
              </w:rPr>
              <w:t>年公司临时股东大会通知是否未均提前15日发出</w:t>
            </w:r>
          </w:p>
        </w:tc>
        <w:tc>
          <w:tcPr>
            <w:tcW w:w="1278" w:type="dxa"/>
            <w:noWrap w:val="0"/>
            <w:vAlign w:val="center"/>
          </w:tcPr>
          <w:p>
            <w:pPr>
              <w:spacing w:line="360" w:lineRule="auto"/>
              <w:jc w:val="center"/>
              <w:rPr>
                <w:rFonts w:hint="eastAsia" w:ascii="宋体" w:hAnsi="宋体" w:cs="宋体"/>
                <w:color w:val="auto"/>
                <w:kern w:val="0"/>
                <w:highlight w:val="none"/>
              </w:rPr>
            </w:pPr>
            <w:r>
              <w:rPr>
                <w:rFonts w:hint="eastAsia" w:ascii="宋体" w:hAnsi="宋体" w:cs="宋体"/>
                <w:color w:val="auto"/>
                <w:kern w:val="0"/>
                <w:highlight w:val="none"/>
              </w:rPr>
              <w:t>否</w:t>
            </w:r>
          </w:p>
        </w:tc>
        <w:tc>
          <w:tcPr>
            <w:tcW w:w="1601" w:type="dxa"/>
            <w:noWrap w:val="0"/>
            <w:vAlign w:val="center"/>
          </w:tcPr>
          <w:p>
            <w:pPr>
              <w:spacing w:line="360" w:lineRule="auto"/>
              <w:jc w:val="center"/>
              <w:rPr>
                <w:rFonts w:hint="eastAsia" w:ascii="宋体" w:hAnsi="宋体" w:cs="宋体"/>
                <w:color w:val="auto"/>
                <w:kern w:val="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639" w:type="dxa"/>
            <w:noWrap w:val="0"/>
            <w:vAlign w:val="top"/>
          </w:tcPr>
          <w:p>
            <w:pPr>
              <w:spacing w:line="360" w:lineRule="auto"/>
              <w:rPr>
                <w:rFonts w:hint="eastAsia" w:ascii="宋体" w:hAnsi="宋体" w:cs="宋体"/>
                <w:color w:val="auto"/>
                <w:kern w:val="0"/>
                <w:highlight w:val="none"/>
              </w:rPr>
            </w:pPr>
            <w:r>
              <w:rPr>
                <w:rFonts w:hint="eastAsia" w:ascii="宋体" w:hAnsi="宋体" w:cs="宋体"/>
                <w:color w:val="auto"/>
                <w:kern w:val="0"/>
                <w:highlight w:val="none"/>
              </w:rPr>
              <w:t>监事会、单独或合计持股10%以上的股东是否向董事会提议过召开临时股东大会</w:t>
            </w:r>
          </w:p>
        </w:tc>
        <w:tc>
          <w:tcPr>
            <w:tcW w:w="1278" w:type="dxa"/>
            <w:noWrap w:val="0"/>
            <w:vAlign w:val="center"/>
          </w:tcPr>
          <w:p>
            <w:pPr>
              <w:spacing w:line="360" w:lineRule="auto"/>
              <w:jc w:val="center"/>
              <w:rPr>
                <w:rFonts w:hint="eastAsia" w:ascii="宋体" w:hAnsi="宋体" w:cs="宋体"/>
                <w:color w:val="auto"/>
                <w:kern w:val="0"/>
                <w:highlight w:val="none"/>
              </w:rPr>
            </w:pPr>
            <w:r>
              <w:rPr>
                <w:rFonts w:hint="eastAsia" w:ascii="宋体" w:hAnsi="宋体" w:cs="宋体"/>
                <w:color w:val="auto"/>
                <w:kern w:val="0"/>
                <w:highlight w:val="none"/>
              </w:rPr>
              <w:t>否</w:t>
            </w:r>
          </w:p>
        </w:tc>
        <w:tc>
          <w:tcPr>
            <w:tcW w:w="1601" w:type="dxa"/>
            <w:noWrap w:val="0"/>
            <w:vAlign w:val="center"/>
          </w:tcPr>
          <w:p>
            <w:pPr>
              <w:spacing w:line="360" w:lineRule="auto"/>
              <w:jc w:val="center"/>
              <w:rPr>
                <w:rFonts w:hint="eastAsia" w:ascii="宋体" w:hAnsi="宋体" w:cs="宋体"/>
                <w:color w:val="auto"/>
                <w:kern w:val="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639" w:type="dxa"/>
            <w:noWrap w:val="0"/>
            <w:vAlign w:val="top"/>
          </w:tcPr>
          <w:p>
            <w:pPr>
              <w:spacing w:line="360" w:lineRule="auto"/>
              <w:rPr>
                <w:rFonts w:hint="eastAsia" w:ascii="宋体" w:hAnsi="宋体" w:cs="宋体"/>
                <w:color w:val="auto"/>
                <w:kern w:val="0"/>
                <w:highlight w:val="none"/>
              </w:rPr>
            </w:pPr>
            <w:r>
              <w:rPr>
                <w:rFonts w:hint="eastAsia" w:ascii="宋体" w:hAnsi="宋体" w:cs="宋体"/>
                <w:color w:val="auto"/>
                <w:kern w:val="0"/>
                <w:highlight w:val="none"/>
              </w:rPr>
              <w:t>股东大会是否实施过征集投票权</w:t>
            </w:r>
          </w:p>
        </w:tc>
        <w:tc>
          <w:tcPr>
            <w:tcW w:w="1278" w:type="dxa"/>
            <w:noWrap w:val="0"/>
            <w:vAlign w:val="center"/>
          </w:tcPr>
          <w:p>
            <w:pPr>
              <w:spacing w:line="360" w:lineRule="auto"/>
              <w:jc w:val="center"/>
              <w:rPr>
                <w:rFonts w:hint="eastAsia" w:ascii="宋体" w:hAnsi="宋体" w:cs="宋体"/>
                <w:color w:val="auto"/>
                <w:kern w:val="0"/>
                <w:highlight w:val="none"/>
              </w:rPr>
            </w:pPr>
            <w:r>
              <w:rPr>
                <w:rFonts w:hint="eastAsia" w:ascii="宋体" w:hAnsi="宋体" w:cs="宋体"/>
                <w:color w:val="auto"/>
                <w:kern w:val="0"/>
                <w:highlight w:val="none"/>
              </w:rPr>
              <w:t>否</w:t>
            </w:r>
          </w:p>
        </w:tc>
        <w:tc>
          <w:tcPr>
            <w:tcW w:w="1601" w:type="dxa"/>
            <w:noWrap w:val="0"/>
            <w:vAlign w:val="center"/>
          </w:tcPr>
          <w:p>
            <w:pPr>
              <w:spacing w:line="360" w:lineRule="auto"/>
              <w:jc w:val="center"/>
              <w:rPr>
                <w:rFonts w:hint="eastAsia" w:ascii="宋体" w:hAnsi="宋体" w:cs="宋体"/>
                <w:color w:val="auto"/>
                <w:kern w:val="0"/>
                <w:highlight w:val="none"/>
              </w:rPr>
            </w:pPr>
          </w:p>
        </w:tc>
      </w:tr>
    </w:tbl>
    <w:p>
      <w:pPr>
        <w:pStyle w:val="6"/>
        <w:keepNext w:val="0"/>
        <w:keepLines w:val="0"/>
        <w:pageBreakBefore w:val="0"/>
        <w:widowControl w:val="0"/>
        <w:kinsoku/>
        <w:wordWrap/>
        <w:overflowPunct/>
        <w:topLinePunct w:val="0"/>
        <w:autoSpaceDE/>
        <w:autoSpaceDN/>
        <w:bidi w:val="0"/>
        <w:adjustRightInd/>
        <w:snapToGrid/>
        <w:spacing w:line="400" w:lineRule="exact"/>
        <w:ind w:left="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3.三会召集、召开、表决的特殊情况</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无。</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4.三会程序是否符合法律法规要求的评估意见</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报告期内，公司三会会议的召集、召开程序、决议内容均符合《公司法》《公司章程》和相关议事规则的规定，公司股东、董事、监事能按要求出席相关会议，履行相关权利义务。三会决议内容完整，要件齐备，会议决议均能够正常签署，会议决议能够得到执行。公司董事、监事、高级管理人员都能认真、切实履行《公司法》《公司章程》规定的职责，对公司的重大决策事项作出决议，从而保证公司的正常发展。</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宋体" w:hAnsi="宋体" w:eastAsia="宋体" w:cs="宋体"/>
          <w:b/>
          <w:color w:val="auto"/>
          <w:sz w:val="24"/>
          <w:szCs w:val="24"/>
          <w:highlight w:val="none"/>
          <w:lang w:eastAsia="zh-CN"/>
        </w:rPr>
      </w:pPr>
      <w:r>
        <w:rPr>
          <w:rFonts w:hint="eastAsia" w:ascii="宋体" w:hAnsi="宋体" w:cs="宋体"/>
          <w:b/>
          <w:color w:val="auto"/>
          <w:sz w:val="24"/>
          <w:szCs w:val="24"/>
          <w:highlight w:val="none"/>
        </w:rPr>
        <w:t>二、内部控制</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宋体" w:hAnsi="宋体" w:cs="宋体"/>
          <w:b/>
          <w:color w:val="auto"/>
          <w:sz w:val="24"/>
          <w:szCs w:val="24"/>
          <w:highlight w:val="none"/>
        </w:rPr>
      </w:pPr>
      <w:bookmarkStart w:id="50" w:name="_Toc129711706"/>
      <w:r>
        <w:rPr>
          <w:rFonts w:hint="eastAsia" w:ascii="宋体" w:hAnsi="宋体" w:cs="宋体"/>
          <w:b/>
          <w:color w:val="auto"/>
          <w:sz w:val="24"/>
          <w:szCs w:val="24"/>
          <w:highlight w:val="none"/>
        </w:rPr>
        <w:t>（一）监事会就年度内监督事项的意见</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监事会在报告期内的监督活动中未发现公司存在重大风险事项，监事会对报告期内的监督事项无异议。</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2" w:firstLineChars="200"/>
        <w:jc w:val="left"/>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（二）公司保持独立性、自主经营能力的说明</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公司坚持在资产、人员、业务、机构、财务方面的独立。 </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资产独立：公司由有限公司整体变更设立而来，承继了有限公司的全部资产，具有独立完整的资产结构。公司变更设立后，已依法办理完成其他相关资产的变更登记手续。 </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人员独立：公司董事、监事及高级管理人员严格按照《公司法》《公司章程》的有关规定选举和聘任；公司高级管理人员、财务人员、其他核心人员等均是公司专职人员，且在公司领薪；公司的人事及工资管理与股东控制的其他公司及关联公司严格分离，公司的劳动、人事及工资管理完全独立。 </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业务独立：公司拥有完整的业务体系，建立了与业务体系配套的管理制度和相应的职能机构，能够独立开展业务，与实际控制人以及其他关联方不存在同业竞争关系。</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机构独立：公司机构独立，已建立了股东大会、董事会、监事会等完善的法人治理结构。自成立以来，公司逐步建立了符合自身生产经营需要的组织机构且运行良好，公司各部门独立履行职能。 </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财务独立：公司成立以来，设立了独立的财务部门，并配备了相关的财务人员，建立了符合国家相关法律法规的会计制度和财务管理制度；公司按照《公司章程》规定独立进行财务决策，不存在控股股东干预公司资金使用的情况；公司在银行单独开立账户，并依法独立纳税。</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2" w:firstLineChars="200"/>
        <w:jc w:val="left"/>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（三）对重大内部管理制度的评价</w:t>
      </w:r>
    </w:p>
    <w:tbl>
      <w:tblPr>
        <w:tblStyle w:val="22"/>
        <w:tblW w:w="0" w:type="auto"/>
        <w:tblInd w:w="0" w:type="dxa"/>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Layout w:type="fixed"/>
        <w:tblCellMar>
          <w:top w:w="0" w:type="dxa"/>
          <w:left w:w="108" w:type="dxa"/>
          <w:bottom w:w="0" w:type="dxa"/>
          <w:right w:w="108" w:type="dxa"/>
        </w:tblCellMar>
      </w:tblPr>
      <w:tblGrid>
        <w:gridCol w:w="7168"/>
        <w:gridCol w:w="1359"/>
      </w:tblGrid>
      <w:tr>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c>
          <w:tcPr>
            <w:tcW w:w="7168" w:type="dxa"/>
            <w:tcBorders>
              <w:top w:val="single" w:color="auto" w:sz="8" w:space="0"/>
              <w:left w:val="single" w:color="auto" w:sz="8"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事项</w:t>
            </w:r>
          </w:p>
        </w:tc>
        <w:tc>
          <w:tcPr>
            <w:tcW w:w="1359" w:type="dxa"/>
            <w:tcBorders>
              <w:top w:val="single" w:color="auto" w:sz="8" w:space="0"/>
              <w:left w:val="single" w:color="auto" w:sz="4" w:space="0"/>
              <w:bottom w:val="single" w:color="auto" w:sz="4" w:space="0"/>
              <w:right w:val="single" w:color="auto" w:sz="8"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是或否</w:t>
            </w:r>
          </w:p>
        </w:tc>
      </w:tr>
      <w:tr>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c>
          <w:tcPr>
            <w:tcW w:w="7168" w:type="dxa"/>
            <w:tcBorders>
              <w:top w:val="single" w:color="auto" w:sz="4" w:space="0"/>
              <w:left w:val="single" w:color="auto" w:sz="8"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highlight w:val="none"/>
                <w:lang w:eastAsia="zh-CN"/>
              </w:rPr>
            </w:pPr>
            <w:r>
              <w:rPr>
                <w:rFonts w:hint="eastAsia" w:ascii="宋体" w:hAnsi="宋体" w:cs="宋体"/>
                <w:color w:val="auto"/>
                <w:kern w:val="0"/>
                <w:highlight w:val="none"/>
              </w:rPr>
              <w:t>公司是否存在公章的盖章时间早于相关决策审批机构授权审批时间的情形</w:t>
            </w:r>
            <w:r>
              <w:rPr>
                <w:rFonts w:hint="eastAsia" w:ascii="宋体" w:hAnsi="宋体" w:cs="宋体"/>
                <w:color w:val="auto"/>
                <w:kern w:val="0"/>
                <w:highlight w:val="none"/>
                <w:lang w:eastAsia="zh-CN"/>
              </w:rPr>
              <w:t>。</w:t>
            </w:r>
          </w:p>
        </w:tc>
        <w:tc>
          <w:tcPr>
            <w:tcW w:w="1359" w:type="dxa"/>
            <w:tcBorders>
              <w:top w:val="single" w:color="auto" w:sz="4" w:space="0"/>
              <w:left w:val="single" w:color="auto" w:sz="4" w:space="0"/>
              <w:bottom w:val="single" w:color="auto" w:sz="4" w:space="0"/>
              <w:right w:val="single" w:color="auto" w:sz="8" w:space="0"/>
            </w:tcBorders>
            <w:noWrap w:val="0"/>
            <w:vAlign w:val="top"/>
          </w:tcPr>
          <w:p>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否</w:t>
            </w:r>
          </w:p>
        </w:tc>
      </w:tr>
      <w:tr>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c>
          <w:tcPr>
            <w:tcW w:w="7168" w:type="dxa"/>
            <w:tcBorders>
              <w:top w:val="single" w:color="auto" w:sz="4" w:space="0"/>
              <w:left w:val="single" w:color="auto" w:sz="8"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highlight w:val="none"/>
                <w:lang w:eastAsia="zh-CN"/>
              </w:rPr>
            </w:pPr>
            <w:r>
              <w:rPr>
                <w:rFonts w:hint="eastAsia" w:ascii="宋体" w:hAnsi="宋体" w:cs="宋体"/>
                <w:color w:val="auto"/>
                <w:kern w:val="0"/>
                <w:highlight w:val="none"/>
              </w:rPr>
              <w:t>公司出纳人员是否兼管稽核、会计档案保管和收入、费用、债权债务账目的登记工作</w:t>
            </w:r>
            <w:r>
              <w:rPr>
                <w:rFonts w:hint="eastAsia" w:ascii="宋体" w:hAnsi="宋体" w:cs="宋体"/>
                <w:color w:val="auto"/>
                <w:kern w:val="0"/>
                <w:highlight w:val="none"/>
                <w:lang w:eastAsia="zh-CN"/>
              </w:rPr>
              <w:t>。</w:t>
            </w:r>
          </w:p>
        </w:tc>
        <w:tc>
          <w:tcPr>
            <w:tcW w:w="1359" w:type="dxa"/>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否</w:t>
            </w:r>
          </w:p>
        </w:tc>
      </w:tr>
      <w:tr>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c>
          <w:tcPr>
            <w:tcW w:w="8527" w:type="dxa"/>
            <w:gridSpan w:val="2"/>
            <w:tcBorders>
              <w:top w:val="single" w:color="auto" w:sz="4" w:space="0"/>
              <w:left w:val="single" w:color="auto" w:sz="8" w:space="0"/>
              <w:bottom w:val="single" w:color="auto" w:sz="8" w:space="0"/>
              <w:right w:val="single" w:color="auto" w:sz="8" w:space="0"/>
            </w:tcBorders>
            <w:noWrap w:val="0"/>
            <w:vAlign w:val="top"/>
          </w:tcPr>
          <w:p>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 xml:space="preserve">公司的一系列内部管理制度均根据《公司法》《证券法》及其他法律法规并结合公司自身情况而制定，制度执行情况良好，本年度内未发生管理制度重大缺陷的情况。 </w:t>
            </w:r>
          </w:p>
          <w:p>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 xml:space="preserve">会计核算体系：报告期内，公司严格按照国家法律法规关于会计核算的规定，从公司自身情况出发，制定会计核算的具体制度，并按照要求进行独立核算，保证公司正常开展会计核算工作。 </w:t>
            </w:r>
          </w:p>
          <w:p>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 xml:space="preserve">财务管理体系：报告期内，公司严格贯彻和落实各项公司财务管理制度，在国家政策及制度的指引下，做到有序工作、严格管理，继续完善公司财务管理体系。 </w:t>
            </w:r>
          </w:p>
          <w:p>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风险控制体系：报告期内，公司紧紧围绕企业风险控制制度，在有效分析市场风险、政策风险、经营风险、法律风险等前提下，采取事前防范、事中控制等措施，从企业规范的角度继续完善风险控制体系。</w:t>
            </w:r>
          </w:p>
        </w:tc>
      </w:tr>
    </w:tbl>
    <w:p>
      <w:pPr>
        <w:pStyle w:val="6"/>
        <w:keepNext w:val="0"/>
        <w:keepLines w:val="0"/>
        <w:pageBreakBefore w:val="0"/>
        <w:kinsoku/>
        <w:wordWrap/>
        <w:overflowPunct/>
        <w:topLinePunct w:val="0"/>
        <w:autoSpaceDE/>
        <w:autoSpaceDN/>
        <w:bidi w:val="0"/>
        <w:adjustRightInd/>
        <w:snapToGrid/>
        <w:spacing w:line="400" w:lineRule="exact"/>
        <w:ind w:left="0" w:firstLine="482" w:firstLineChars="200"/>
        <w:jc w:val="left"/>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（四）年度报告差错责任追究制度相关情况</w:t>
      </w:r>
    </w:p>
    <w:p>
      <w:pPr>
        <w:keepNext w:val="0"/>
        <w:keepLines w:val="0"/>
        <w:pageBreakBefore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无。</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宋体" w:hAnsi="宋体" w:cs="宋体"/>
          <w:b/>
          <w:color w:val="auto"/>
          <w:sz w:val="24"/>
          <w:szCs w:val="24"/>
          <w:highlight w:val="none"/>
        </w:rPr>
      </w:pPr>
      <w:r>
        <w:rPr>
          <w:rFonts w:hint="eastAsia" w:ascii="宋体" w:hAnsi="宋体" w:cs="宋体"/>
          <w:b/>
          <w:color w:val="auto"/>
          <w:sz w:val="24"/>
          <w:szCs w:val="24"/>
          <w:highlight w:val="none"/>
        </w:rPr>
        <w:t>三、投资者保护</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宋体" w:hAnsi="宋体" w:cs="宋体"/>
          <w:b/>
          <w:color w:val="auto"/>
          <w:sz w:val="24"/>
          <w:szCs w:val="24"/>
          <w:highlight w:val="none"/>
          <w:lang w:eastAsia="zh-CN"/>
        </w:rPr>
      </w:pPr>
      <w:r>
        <w:rPr>
          <w:rFonts w:hint="eastAsia" w:ascii="宋体" w:hAnsi="宋体" w:cs="宋体"/>
          <w:b/>
          <w:color w:val="auto"/>
          <w:sz w:val="24"/>
          <w:szCs w:val="24"/>
          <w:highlight w:val="none"/>
          <w:lang w:eastAsia="zh-CN"/>
        </w:rPr>
        <w:t>（一）公司股东大会实行累积投票制和网络投票安排的情况</w:t>
      </w:r>
    </w:p>
    <w:p>
      <w:pPr>
        <w:keepNext w:val="0"/>
        <w:keepLines w:val="0"/>
        <w:pageBreakBefore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无。</w:t>
      </w:r>
    </w:p>
    <w:p>
      <w:pPr>
        <w:pStyle w:val="6"/>
        <w:keepNext w:val="0"/>
        <w:keepLines w:val="0"/>
        <w:pageBreakBefore w:val="0"/>
        <w:kinsoku/>
        <w:wordWrap/>
        <w:overflowPunct/>
        <w:topLinePunct w:val="0"/>
        <w:autoSpaceDE/>
        <w:autoSpaceDN/>
        <w:bidi w:val="0"/>
        <w:adjustRightInd/>
        <w:snapToGrid/>
        <w:spacing w:line="400" w:lineRule="exact"/>
        <w:ind w:left="0" w:firstLine="482" w:firstLineChars="200"/>
        <w:jc w:val="left"/>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（二）特别表决权股份</w:t>
      </w:r>
    </w:p>
    <w:p>
      <w:pPr>
        <w:keepNext w:val="0"/>
        <w:keepLines w:val="0"/>
        <w:pageBreakBefore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无。</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b/>
          <w:bCs/>
          <w:color w:val="auto"/>
          <w:kern w:val="0"/>
          <w:sz w:val="24"/>
          <w:szCs w:val="24"/>
          <w:highlight w:val="none"/>
        </w:rPr>
      </w:pPr>
      <w:r>
        <w:rPr>
          <w:rFonts w:hint="eastAsia" w:ascii="宋体" w:hAnsi="宋体" w:cs="宋体"/>
          <w:b/>
          <w:bCs/>
          <w:color w:val="auto"/>
          <w:sz w:val="24"/>
          <w:szCs w:val="24"/>
          <w:highlight w:val="none"/>
        </w:rPr>
        <w:br w:type="page"/>
      </w:r>
    </w:p>
    <w:p>
      <w:pPr>
        <w:pStyle w:val="6"/>
        <w:spacing w:before="120" w:line="360" w:lineRule="auto"/>
        <w:ind w:left="0"/>
        <w:jc w:val="center"/>
        <w:outlineLvl w:val="0"/>
        <w:rPr>
          <w:rFonts w:hint="eastAsia" w:ascii="黑体" w:hAnsi="黑体" w:eastAsia="黑体" w:cs="黑体"/>
          <w:b/>
          <w:bCs/>
          <w:color w:val="auto"/>
          <w:kern w:val="2"/>
          <w:sz w:val="28"/>
          <w:szCs w:val="28"/>
          <w:highlight w:val="none"/>
          <w:lang w:val="en-US" w:eastAsia="zh-CN" w:bidi="ar-SA"/>
        </w:rPr>
      </w:pPr>
      <w:bookmarkStart w:id="51" w:name="_Toc29481"/>
      <w:bookmarkStart w:id="52" w:name="_Toc5277"/>
      <w:bookmarkStart w:id="53" w:name="_Toc32380"/>
      <w:bookmarkStart w:id="54" w:name="_Toc16847"/>
      <w:bookmarkStart w:id="55" w:name="_Toc2550"/>
      <w:r>
        <w:rPr>
          <w:rFonts w:hint="eastAsia" w:ascii="黑体" w:hAnsi="黑体" w:eastAsia="黑体" w:cs="黑体"/>
          <w:b/>
          <w:bCs/>
          <w:color w:val="auto"/>
          <w:kern w:val="2"/>
          <w:sz w:val="28"/>
          <w:szCs w:val="28"/>
          <w:highlight w:val="none"/>
          <w:lang w:val="en-US" w:eastAsia="zh-CN" w:bidi="ar-SA"/>
        </w:rPr>
        <w:t>第六节 重要事项</w:t>
      </w:r>
      <w:bookmarkEnd w:id="50"/>
      <w:bookmarkEnd w:id="51"/>
      <w:bookmarkEnd w:id="52"/>
      <w:bookmarkEnd w:id="53"/>
      <w:bookmarkEnd w:id="54"/>
      <w:bookmarkEnd w:id="55"/>
    </w:p>
    <w:p>
      <w:pPr>
        <w:pStyle w:val="15"/>
        <w:keepNext w:val="0"/>
        <w:keepLines w:val="0"/>
        <w:pageBreakBefore w:val="0"/>
        <w:kinsoku/>
        <w:wordWrap/>
        <w:overflowPunct/>
        <w:topLinePunct w:val="0"/>
        <w:bidi w:val="0"/>
        <w:spacing w:line="400" w:lineRule="exact"/>
        <w:ind w:firstLine="482" w:firstLineChars="200"/>
        <w:jc w:val="left"/>
        <w:rPr>
          <w:rFonts w:hint="default"/>
          <w:color w:val="auto"/>
          <w:highlight w:val="none"/>
          <w:lang w:val="en-US" w:eastAsia="zh-CN"/>
        </w:rPr>
      </w:pPr>
      <w:r>
        <w:rPr>
          <w:rFonts w:hint="eastAsia" w:ascii="宋体" w:hAnsi="宋体" w:cs="宋体"/>
          <w:b/>
          <w:color w:val="auto"/>
          <w:kern w:val="2"/>
          <w:sz w:val="24"/>
          <w:szCs w:val="24"/>
          <w:highlight w:val="none"/>
          <w:lang w:val="en-US" w:eastAsia="zh-CN" w:bidi="ar-SA"/>
        </w:rPr>
        <w:t>（一）股东及股份基本情况</w:t>
      </w:r>
    </w:p>
    <w:p>
      <w:pPr>
        <w:pStyle w:val="6"/>
        <w:keepNext w:val="0"/>
        <w:keepLines w:val="0"/>
        <w:pageBreakBefore w:val="0"/>
        <w:kinsoku/>
        <w:wordWrap/>
        <w:overflowPunct/>
        <w:topLinePunct w:val="0"/>
        <w:bidi w:val="0"/>
        <w:spacing w:line="400" w:lineRule="exact"/>
        <w:ind w:left="0"/>
        <w:jc w:val="left"/>
        <w:rPr>
          <w:rFonts w:hint="eastAsia"/>
          <w:color w:val="auto"/>
          <w:highlight w:val="none"/>
          <w:lang w:eastAsia="zh-CN"/>
        </w:rPr>
      </w:pPr>
      <w:r>
        <w:rPr>
          <w:rFonts w:hint="eastAsia" w:cs="宋体"/>
          <w:color w:val="auto"/>
          <w:sz w:val="21"/>
          <w:szCs w:val="21"/>
          <w:highlight w:val="none"/>
          <w:lang w:eastAsia="zh-CN"/>
        </w:rPr>
        <w:t>单位：万元</w:t>
      </w:r>
    </w:p>
    <w:tbl>
      <w:tblPr>
        <w:tblStyle w:val="22"/>
        <w:tblW w:w="8498" w:type="dxa"/>
        <w:tblInd w:w="-11"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751"/>
        <w:gridCol w:w="2705"/>
        <w:gridCol w:w="2049"/>
        <w:gridCol w:w="1417"/>
        <w:gridCol w:w="157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94" w:hRule="exact"/>
        </w:trPr>
        <w:tc>
          <w:tcPr>
            <w:tcW w:w="751" w:type="dxa"/>
            <w:noWrap w:val="0"/>
            <w:vAlign w:val="center"/>
          </w:tcPr>
          <w:p>
            <w:pPr>
              <w:pStyle w:val="40"/>
              <w:keepNext w:val="0"/>
              <w:keepLines w:val="0"/>
              <w:pageBreakBefore w:val="0"/>
              <w:kinsoku/>
              <w:wordWrap/>
              <w:overflowPunct/>
              <w:topLinePunct w:val="0"/>
              <w:bidi w:val="0"/>
              <w:spacing w:line="400" w:lineRule="exact"/>
              <w:ind w:left="103" w:right="103"/>
              <w:jc w:val="left"/>
              <w:rPr>
                <w:rFonts w:hint="eastAsia"/>
                <w:b/>
                <w:bCs/>
                <w:color w:val="auto"/>
                <w:sz w:val="21"/>
                <w:szCs w:val="21"/>
                <w:highlight w:val="none"/>
              </w:rPr>
            </w:pPr>
            <w:r>
              <w:rPr>
                <w:rFonts w:hint="eastAsia"/>
                <w:b/>
                <w:bCs/>
                <w:color w:val="auto"/>
                <w:sz w:val="21"/>
                <w:szCs w:val="21"/>
                <w:highlight w:val="none"/>
              </w:rPr>
              <w:t>序号</w:t>
            </w:r>
          </w:p>
        </w:tc>
        <w:tc>
          <w:tcPr>
            <w:tcW w:w="2705" w:type="dxa"/>
            <w:noWrap w:val="0"/>
            <w:vAlign w:val="center"/>
          </w:tcPr>
          <w:p>
            <w:pPr>
              <w:pStyle w:val="29"/>
              <w:keepNext w:val="0"/>
              <w:keepLines w:val="0"/>
              <w:pageBreakBefore w:val="0"/>
              <w:kinsoku/>
              <w:wordWrap/>
              <w:overflowPunct/>
              <w:topLinePunct w:val="0"/>
              <w:bidi w:val="0"/>
              <w:spacing w:line="400" w:lineRule="exact"/>
              <w:jc w:val="left"/>
              <w:rPr>
                <w:rFonts w:hint="eastAsia" w:ascii="宋体" w:hAnsi="宋体" w:eastAsia="宋体" w:cs="宋体"/>
                <w:b/>
                <w:bCs/>
                <w:color w:val="auto"/>
                <w:sz w:val="21"/>
                <w:szCs w:val="21"/>
                <w:highlight w:val="none"/>
                <w:lang w:eastAsia="en-US"/>
              </w:rPr>
            </w:pPr>
            <w:r>
              <w:rPr>
                <w:rFonts w:hint="eastAsia" w:ascii="宋体" w:hAnsi="宋体" w:eastAsia="宋体" w:cs="宋体"/>
                <w:b/>
                <w:bCs/>
                <w:color w:val="auto"/>
                <w:sz w:val="21"/>
                <w:szCs w:val="21"/>
                <w:highlight w:val="none"/>
                <w:lang w:eastAsia="en-US"/>
              </w:rPr>
              <w:t>股东名称</w:t>
            </w:r>
          </w:p>
        </w:tc>
        <w:tc>
          <w:tcPr>
            <w:tcW w:w="2049" w:type="dxa"/>
            <w:noWrap w:val="0"/>
            <w:vAlign w:val="center"/>
          </w:tcPr>
          <w:p>
            <w:pPr>
              <w:pStyle w:val="29"/>
              <w:keepNext w:val="0"/>
              <w:keepLines w:val="0"/>
              <w:pageBreakBefore w:val="0"/>
              <w:kinsoku/>
              <w:wordWrap/>
              <w:overflowPunct/>
              <w:topLinePunct w:val="0"/>
              <w:bidi w:val="0"/>
              <w:spacing w:line="400" w:lineRule="exact"/>
              <w:jc w:val="left"/>
              <w:rPr>
                <w:rFonts w:hint="eastAsia" w:ascii="宋体" w:hAnsi="宋体" w:eastAsia="宋体" w:cs="宋体"/>
                <w:b/>
                <w:bCs/>
                <w:color w:val="auto"/>
                <w:kern w:val="2"/>
                <w:sz w:val="21"/>
                <w:szCs w:val="21"/>
                <w:highlight w:val="none"/>
                <w:lang w:eastAsia="en-US"/>
              </w:rPr>
            </w:pPr>
            <w:r>
              <w:rPr>
                <w:rFonts w:hint="eastAsia" w:ascii="宋体" w:hAnsi="宋体" w:eastAsia="宋体" w:cs="宋体"/>
                <w:b/>
                <w:bCs/>
                <w:color w:val="auto"/>
                <w:sz w:val="21"/>
                <w:szCs w:val="21"/>
                <w:highlight w:val="none"/>
                <w:lang w:eastAsia="en-US"/>
              </w:rPr>
              <w:t>出资额</w:t>
            </w:r>
          </w:p>
        </w:tc>
        <w:tc>
          <w:tcPr>
            <w:tcW w:w="1417" w:type="dxa"/>
            <w:noWrap w:val="0"/>
            <w:vAlign w:val="center"/>
          </w:tcPr>
          <w:p>
            <w:pPr>
              <w:pStyle w:val="29"/>
              <w:keepNext w:val="0"/>
              <w:keepLines w:val="0"/>
              <w:pageBreakBefore w:val="0"/>
              <w:kinsoku/>
              <w:wordWrap/>
              <w:overflowPunct/>
              <w:topLinePunct w:val="0"/>
              <w:bidi w:val="0"/>
              <w:spacing w:line="400" w:lineRule="exact"/>
              <w:jc w:val="left"/>
              <w:rPr>
                <w:rFonts w:hint="eastAsia" w:ascii="宋体" w:hAnsi="宋体" w:eastAsia="宋体" w:cs="宋体"/>
                <w:b/>
                <w:bCs/>
                <w:color w:val="auto"/>
                <w:kern w:val="2"/>
                <w:sz w:val="21"/>
                <w:szCs w:val="21"/>
                <w:highlight w:val="none"/>
                <w:lang w:eastAsia="en-US"/>
              </w:rPr>
            </w:pPr>
            <w:r>
              <w:rPr>
                <w:rFonts w:hint="eastAsia" w:ascii="宋体" w:hAnsi="宋体" w:eastAsia="宋体" w:cs="宋体"/>
                <w:b/>
                <w:bCs/>
                <w:color w:val="auto"/>
                <w:sz w:val="21"/>
                <w:szCs w:val="21"/>
                <w:highlight w:val="none"/>
                <w:lang w:eastAsia="en-US"/>
              </w:rPr>
              <w:t>持股比例（%）</w:t>
            </w:r>
          </w:p>
        </w:tc>
        <w:tc>
          <w:tcPr>
            <w:tcW w:w="1576" w:type="dxa"/>
            <w:noWrap w:val="0"/>
            <w:vAlign w:val="center"/>
          </w:tcPr>
          <w:p>
            <w:pPr>
              <w:pStyle w:val="29"/>
              <w:keepNext w:val="0"/>
              <w:keepLines w:val="0"/>
              <w:pageBreakBefore w:val="0"/>
              <w:kinsoku/>
              <w:wordWrap/>
              <w:overflowPunct/>
              <w:topLinePunct w:val="0"/>
              <w:bidi w:val="0"/>
              <w:spacing w:line="400" w:lineRule="exact"/>
              <w:jc w:val="left"/>
              <w:rPr>
                <w:rFonts w:hint="eastAsia" w:ascii="宋体" w:hAnsi="宋体" w:cs="宋体"/>
                <w:b/>
                <w:bCs/>
                <w:color w:val="auto"/>
                <w:kern w:val="2"/>
                <w:sz w:val="21"/>
                <w:szCs w:val="21"/>
                <w:highlight w:val="none"/>
              </w:rPr>
            </w:pPr>
            <w:r>
              <w:rPr>
                <w:rFonts w:hint="eastAsia" w:ascii="宋体" w:hAnsi="宋体" w:eastAsia="宋体" w:cs="宋体"/>
                <w:b/>
                <w:bCs/>
                <w:color w:val="auto"/>
                <w:sz w:val="21"/>
                <w:szCs w:val="21"/>
                <w:highlight w:val="none"/>
              </w:rPr>
              <w:t>变动情况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12" w:hRule="exact"/>
        </w:trPr>
        <w:tc>
          <w:tcPr>
            <w:tcW w:w="751" w:type="dxa"/>
            <w:noWrap w:val="0"/>
            <w:vAlign w:val="top"/>
          </w:tcPr>
          <w:p>
            <w:pPr>
              <w:pStyle w:val="40"/>
              <w:keepNext w:val="0"/>
              <w:keepLines w:val="0"/>
              <w:pageBreakBefore w:val="0"/>
              <w:kinsoku/>
              <w:wordWrap/>
              <w:overflowPunct/>
              <w:topLinePunct w:val="0"/>
              <w:bidi w:val="0"/>
              <w:spacing w:line="400" w:lineRule="exact"/>
              <w:ind w:right="1"/>
              <w:jc w:val="left"/>
              <w:rPr>
                <w:rFonts w:hint="eastAsia"/>
                <w:color w:val="auto"/>
                <w:sz w:val="21"/>
                <w:szCs w:val="21"/>
                <w:highlight w:val="none"/>
              </w:rPr>
            </w:pPr>
            <w:r>
              <w:rPr>
                <w:rFonts w:hint="eastAsia"/>
                <w:color w:val="auto"/>
                <w:w w:val="99"/>
                <w:sz w:val="21"/>
                <w:szCs w:val="21"/>
                <w:highlight w:val="none"/>
              </w:rPr>
              <w:t>1</w:t>
            </w:r>
          </w:p>
        </w:tc>
        <w:tc>
          <w:tcPr>
            <w:tcW w:w="2705" w:type="dxa"/>
            <w:noWrap w:val="0"/>
            <w:vAlign w:val="center"/>
          </w:tcPr>
          <w:p>
            <w:pPr>
              <w:pStyle w:val="29"/>
              <w:keepNext w:val="0"/>
              <w:keepLines w:val="0"/>
              <w:pageBreakBefore w:val="0"/>
              <w:kinsoku/>
              <w:wordWrap/>
              <w:overflowPunct/>
              <w:topLinePunct w:val="0"/>
              <w:bidi w:val="0"/>
              <w:spacing w:line="4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国家电力投资集团有限公司</w:t>
            </w:r>
          </w:p>
        </w:tc>
        <w:tc>
          <w:tcPr>
            <w:tcW w:w="2049" w:type="dxa"/>
            <w:noWrap w:val="0"/>
            <w:vAlign w:val="center"/>
          </w:tcPr>
          <w:p>
            <w:pPr>
              <w:pStyle w:val="2"/>
              <w:keepNext w:val="0"/>
              <w:keepLines w:val="0"/>
              <w:pageBreakBefore w:val="0"/>
              <w:widowControl w:val="0"/>
              <w:kinsoku/>
              <w:wordWrap/>
              <w:overflowPunct/>
              <w:topLinePunct w:val="0"/>
              <w:autoSpaceDE w:val="0"/>
              <w:autoSpaceDN w:val="0"/>
              <w:bidi w:val="0"/>
              <w:spacing w:line="400" w:lineRule="exact"/>
              <w:ind w:firstLine="0" w:firstLineChars="0"/>
              <w:jc w:val="left"/>
              <w:rPr>
                <w:rFonts w:hint="eastAsia" w:ascii="宋体" w:hAnsi="宋体" w:cs="宋体"/>
                <w:color w:val="auto"/>
                <w:sz w:val="21"/>
                <w:szCs w:val="21"/>
                <w:highlight w:val="none"/>
                <w:lang w:eastAsia="en-US"/>
              </w:rPr>
            </w:pPr>
            <w:r>
              <w:rPr>
                <w:rFonts w:hint="eastAsia" w:ascii="宋体" w:hAnsi="宋体" w:cs="宋体"/>
                <w:color w:val="auto"/>
                <w:sz w:val="21"/>
                <w:szCs w:val="21"/>
                <w:highlight w:val="none"/>
                <w:lang w:eastAsia="en-US"/>
              </w:rPr>
              <w:t>319,312.00</w:t>
            </w:r>
          </w:p>
        </w:tc>
        <w:tc>
          <w:tcPr>
            <w:tcW w:w="1417" w:type="dxa"/>
            <w:noWrap w:val="0"/>
            <w:vAlign w:val="center"/>
          </w:tcPr>
          <w:p>
            <w:pPr>
              <w:pStyle w:val="2"/>
              <w:keepNext w:val="0"/>
              <w:keepLines w:val="0"/>
              <w:pageBreakBefore w:val="0"/>
              <w:widowControl w:val="0"/>
              <w:kinsoku/>
              <w:wordWrap/>
              <w:overflowPunct/>
              <w:topLinePunct w:val="0"/>
              <w:autoSpaceDE w:val="0"/>
              <w:autoSpaceDN w:val="0"/>
              <w:bidi w:val="0"/>
              <w:spacing w:line="400" w:lineRule="exact"/>
              <w:ind w:firstLine="420"/>
              <w:jc w:val="left"/>
              <w:rPr>
                <w:rFonts w:hint="eastAsia" w:ascii="宋体" w:hAnsi="宋体" w:cs="宋体"/>
                <w:color w:val="auto"/>
                <w:sz w:val="21"/>
                <w:szCs w:val="21"/>
                <w:highlight w:val="none"/>
                <w:lang w:eastAsia="en-US"/>
              </w:rPr>
            </w:pPr>
            <w:r>
              <w:rPr>
                <w:rFonts w:hint="eastAsia" w:ascii="宋体" w:hAnsi="宋体" w:cs="宋体"/>
                <w:color w:val="auto"/>
                <w:sz w:val="21"/>
                <w:szCs w:val="21"/>
                <w:highlight w:val="none"/>
                <w:lang w:eastAsia="en-US"/>
              </w:rPr>
              <w:t>68.05</w:t>
            </w:r>
          </w:p>
        </w:tc>
        <w:tc>
          <w:tcPr>
            <w:tcW w:w="1576" w:type="dxa"/>
            <w:noWrap w:val="0"/>
            <w:vAlign w:val="center"/>
          </w:tcPr>
          <w:p>
            <w:pPr>
              <w:pStyle w:val="29"/>
              <w:keepNext w:val="0"/>
              <w:keepLines w:val="0"/>
              <w:pageBreakBefore w:val="0"/>
              <w:kinsoku/>
              <w:wordWrap/>
              <w:overflowPunct/>
              <w:topLinePunct w:val="0"/>
              <w:bidi w:val="0"/>
              <w:spacing w:line="4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91" w:hRule="exact"/>
        </w:trPr>
        <w:tc>
          <w:tcPr>
            <w:tcW w:w="751" w:type="dxa"/>
            <w:noWrap w:val="0"/>
            <w:vAlign w:val="top"/>
          </w:tcPr>
          <w:p>
            <w:pPr>
              <w:pStyle w:val="40"/>
              <w:keepNext w:val="0"/>
              <w:keepLines w:val="0"/>
              <w:pageBreakBefore w:val="0"/>
              <w:kinsoku/>
              <w:wordWrap/>
              <w:overflowPunct/>
              <w:topLinePunct w:val="0"/>
              <w:bidi w:val="0"/>
              <w:spacing w:line="400" w:lineRule="exact"/>
              <w:ind w:right="1"/>
              <w:jc w:val="left"/>
              <w:rPr>
                <w:rFonts w:hint="eastAsia"/>
                <w:color w:val="auto"/>
                <w:sz w:val="21"/>
                <w:szCs w:val="21"/>
                <w:highlight w:val="none"/>
              </w:rPr>
            </w:pPr>
            <w:r>
              <w:rPr>
                <w:rFonts w:hint="eastAsia"/>
                <w:color w:val="auto"/>
                <w:w w:val="99"/>
                <w:sz w:val="21"/>
                <w:szCs w:val="21"/>
                <w:highlight w:val="none"/>
              </w:rPr>
              <w:t>2</w:t>
            </w:r>
          </w:p>
        </w:tc>
        <w:tc>
          <w:tcPr>
            <w:tcW w:w="2705" w:type="dxa"/>
            <w:noWrap w:val="0"/>
            <w:vAlign w:val="center"/>
          </w:tcPr>
          <w:p>
            <w:pPr>
              <w:pStyle w:val="29"/>
              <w:keepNext w:val="0"/>
              <w:keepLines w:val="0"/>
              <w:pageBreakBefore w:val="0"/>
              <w:kinsoku/>
              <w:wordWrap/>
              <w:overflowPunct/>
              <w:topLinePunct w:val="0"/>
              <w:bidi w:val="0"/>
              <w:spacing w:line="4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贵州</w:t>
            </w:r>
            <w:r>
              <w:rPr>
                <w:rFonts w:hint="eastAsia" w:ascii="宋体" w:hAnsi="宋体" w:eastAsia="宋体" w:cs="宋体"/>
                <w:color w:val="auto"/>
                <w:sz w:val="21"/>
                <w:szCs w:val="21"/>
                <w:highlight w:val="none"/>
                <w:lang w:val="en-US" w:eastAsia="zh-CN"/>
              </w:rPr>
              <w:t>能源</w:t>
            </w:r>
            <w:r>
              <w:rPr>
                <w:rFonts w:hint="eastAsia" w:ascii="宋体" w:hAnsi="宋体" w:eastAsia="宋体" w:cs="宋体"/>
                <w:color w:val="auto"/>
                <w:sz w:val="21"/>
                <w:szCs w:val="21"/>
                <w:highlight w:val="none"/>
              </w:rPr>
              <w:t>集团有限公司</w:t>
            </w:r>
          </w:p>
        </w:tc>
        <w:tc>
          <w:tcPr>
            <w:tcW w:w="2049" w:type="dxa"/>
            <w:noWrap w:val="0"/>
            <w:vAlign w:val="center"/>
          </w:tcPr>
          <w:p>
            <w:pPr>
              <w:pStyle w:val="2"/>
              <w:keepNext w:val="0"/>
              <w:keepLines w:val="0"/>
              <w:pageBreakBefore w:val="0"/>
              <w:widowControl w:val="0"/>
              <w:kinsoku/>
              <w:wordWrap/>
              <w:overflowPunct/>
              <w:topLinePunct w:val="0"/>
              <w:autoSpaceDE w:val="0"/>
              <w:autoSpaceDN w:val="0"/>
              <w:bidi w:val="0"/>
              <w:spacing w:line="400" w:lineRule="exact"/>
              <w:ind w:firstLine="0" w:firstLineChars="0"/>
              <w:jc w:val="left"/>
              <w:rPr>
                <w:rFonts w:hint="eastAsia" w:ascii="宋体" w:hAnsi="宋体" w:cs="宋体"/>
                <w:color w:val="auto"/>
                <w:sz w:val="21"/>
                <w:szCs w:val="21"/>
                <w:highlight w:val="none"/>
                <w:lang w:eastAsia="en-US"/>
              </w:rPr>
            </w:pPr>
            <w:r>
              <w:rPr>
                <w:rFonts w:hint="eastAsia" w:ascii="宋体" w:hAnsi="宋体" w:cs="宋体"/>
                <w:color w:val="auto"/>
                <w:sz w:val="21"/>
                <w:szCs w:val="21"/>
                <w:highlight w:val="none"/>
                <w:lang w:eastAsia="en-US"/>
              </w:rPr>
              <w:t>118,310.74</w:t>
            </w:r>
          </w:p>
        </w:tc>
        <w:tc>
          <w:tcPr>
            <w:tcW w:w="1417" w:type="dxa"/>
            <w:noWrap w:val="0"/>
            <w:vAlign w:val="center"/>
          </w:tcPr>
          <w:p>
            <w:pPr>
              <w:pStyle w:val="2"/>
              <w:keepNext w:val="0"/>
              <w:keepLines w:val="0"/>
              <w:pageBreakBefore w:val="0"/>
              <w:widowControl w:val="0"/>
              <w:kinsoku/>
              <w:wordWrap/>
              <w:overflowPunct/>
              <w:topLinePunct w:val="0"/>
              <w:autoSpaceDE w:val="0"/>
              <w:autoSpaceDN w:val="0"/>
              <w:bidi w:val="0"/>
              <w:spacing w:line="400" w:lineRule="exact"/>
              <w:ind w:firstLine="420"/>
              <w:jc w:val="left"/>
              <w:rPr>
                <w:rFonts w:hint="eastAsia" w:ascii="宋体" w:hAnsi="宋体" w:cs="宋体"/>
                <w:color w:val="auto"/>
                <w:sz w:val="21"/>
                <w:szCs w:val="21"/>
                <w:highlight w:val="none"/>
                <w:lang w:eastAsia="en-US"/>
              </w:rPr>
            </w:pPr>
            <w:r>
              <w:rPr>
                <w:rFonts w:hint="eastAsia" w:ascii="宋体" w:hAnsi="宋体" w:cs="宋体"/>
                <w:color w:val="auto"/>
                <w:sz w:val="21"/>
                <w:szCs w:val="21"/>
                <w:highlight w:val="none"/>
                <w:lang w:eastAsia="en-US"/>
              </w:rPr>
              <w:t>25.21</w:t>
            </w:r>
          </w:p>
        </w:tc>
        <w:tc>
          <w:tcPr>
            <w:tcW w:w="1576" w:type="dxa"/>
            <w:noWrap w:val="0"/>
            <w:vAlign w:val="center"/>
          </w:tcPr>
          <w:p>
            <w:pPr>
              <w:pStyle w:val="29"/>
              <w:keepNext w:val="0"/>
              <w:keepLines w:val="0"/>
              <w:pageBreakBefore w:val="0"/>
              <w:kinsoku/>
              <w:wordWrap/>
              <w:overflowPunct/>
              <w:topLinePunct w:val="0"/>
              <w:bidi w:val="0"/>
              <w:spacing w:line="400" w:lineRule="exact"/>
              <w:jc w:val="left"/>
              <w:rPr>
                <w:rFonts w:hint="eastAsia" w:ascii="宋体" w:hAnsi="宋体" w:eastAsia="宋体" w:cs="宋体"/>
                <w:color w:val="auto"/>
                <w:sz w:val="21"/>
                <w:szCs w:val="21"/>
                <w:highlight w:val="none"/>
                <w:lang w:eastAsia="en-US"/>
              </w:rPr>
            </w:pPr>
            <w:r>
              <w:rPr>
                <w:rFonts w:hint="eastAsia" w:ascii="宋体" w:hAnsi="宋体" w:eastAsia="宋体" w:cs="宋体"/>
                <w:color w:val="auto"/>
                <w:sz w:val="21"/>
                <w:szCs w:val="21"/>
                <w:highlight w:val="none"/>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5" w:hRule="exact"/>
        </w:trPr>
        <w:tc>
          <w:tcPr>
            <w:tcW w:w="751" w:type="dxa"/>
            <w:noWrap w:val="0"/>
            <w:vAlign w:val="top"/>
          </w:tcPr>
          <w:p>
            <w:pPr>
              <w:pStyle w:val="40"/>
              <w:keepNext w:val="0"/>
              <w:keepLines w:val="0"/>
              <w:pageBreakBefore w:val="0"/>
              <w:kinsoku/>
              <w:wordWrap/>
              <w:overflowPunct/>
              <w:topLinePunct w:val="0"/>
              <w:bidi w:val="0"/>
              <w:spacing w:line="400" w:lineRule="exact"/>
              <w:ind w:right="1"/>
              <w:jc w:val="left"/>
              <w:rPr>
                <w:rFonts w:hint="eastAsia"/>
                <w:color w:val="auto"/>
                <w:sz w:val="21"/>
                <w:szCs w:val="21"/>
                <w:highlight w:val="none"/>
              </w:rPr>
            </w:pPr>
            <w:r>
              <w:rPr>
                <w:rFonts w:hint="eastAsia"/>
                <w:color w:val="auto"/>
                <w:w w:val="99"/>
                <w:sz w:val="21"/>
                <w:szCs w:val="21"/>
                <w:highlight w:val="none"/>
              </w:rPr>
              <w:t>3</w:t>
            </w:r>
          </w:p>
        </w:tc>
        <w:tc>
          <w:tcPr>
            <w:tcW w:w="2705" w:type="dxa"/>
            <w:noWrap w:val="0"/>
            <w:vAlign w:val="center"/>
          </w:tcPr>
          <w:p>
            <w:pPr>
              <w:pStyle w:val="29"/>
              <w:keepNext w:val="0"/>
              <w:keepLines w:val="0"/>
              <w:pageBreakBefore w:val="0"/>
              <w:kinsoku/>
              <w:wordWrap/>
              <w:overflowPunct/>
              <w:topLinePunct w:val="0"/>
              <w:bidi w:val="0"/>
              <w:spacing w:line="400" w:lineRule="exact"/>
              <w:jc w:val="left"/>
              <w:rPr>
                <w:rFonts w:hint="eastAsia" w:ascii="宋体" w:hAnsi="宋体" w:eastAsia="宋体" w:cs="宋体"/>
                <w:color w:val="auto"/>
                <w:sz w:val="21"/>
                <w:szCs w:val="21"/>
                <w:highlight w:val="none"/>
                <w:lang w:eastAsia="en-US"/>
              </w:rPr>
            </w:pPr>
            <w:r>
              <w:rPr>
                <w:rFonts w:hint="eastAsia" w:ascii="宋体" w:hAnsi="宋体" w:eastAsia="宋体" w:cs="宋体"/>
                <w:color w:val="auto"/>
                <w:sz w:val="21"/>
                <w:szCs w:val="21"/>
                <w:highlight w:val="none"/>
              </w:rPr>
              <w:t>自然人股东</w:t>
            </w:r>
          </w:p>
        </w:tc>
        <w:tc>
          <w:tcPr>
            <w:tcW w:w="2049" w:type="dxa"/>
            <w:noWrap w:val="0"/>
            <w:vAlign w:val="center"/>
          </w:tcPr>
          <w:p>
            <w:pPr>
              <w:pStyle w:val="2"/>
              <w:keepNext w:val="0"/>
              <w:keepLines w:val="0"/>
              <w:pageBreakBefore w:val="0"/>
              <w:widowControl w:val="0"/>
              <w:kinsoku/>
              <w:wordWrap/>
              <w:overflowPunct/>
              <w:topLinePunct w:val="0"/>
              <w:autoSpaceDE w:val="0"/>
              <w:autoSpaceDN w:val="0"/>
              <w:bidi w:val="0"/>
              <w:spacing w:line="400" w:lineRule="exact"/>
              <w:ind w:firstLine="0" w:firstLineChars="0"/>
              <w:jc w:val="left"/>
              <w:rPr>
                <w:rFonts w:hint="eastAsia" w:ascii="宋体" w:hAnsi="宋体" w:cs="宋体"/>
                <w:color w:val="auto"/>
                <w:sz w:val="21"/>
                <w:szCs w:val="21"/>
                <w:highlight w:val="none"/>
                <w:lang w:eastAsia="en-US"/>
              </w:rPr>
            </w:pPr>
            <w:r>
              <w:rPr>
                <w:rFonts w:hint="eastAsia" w:ascii="宋体" w:hAnsi="宋体" w:cs="宋体"/>
                <w:color w:val="auto"/>
                <w:sz w:val="21"/>
                <w:szCs w:val="21"/>
                <w:highlight w:val="none"/>
                <w:lang w:eastAsia="en-US"/>
              </w:rPr>
              <w:t>31,608.80</w:t>
            </w:r>
          </w:p>
        </w:tc>
        <w:tc>
          <w:tcPr>
            <w:tcW w:w="1417" w:type="dxa"/>
            <w:noWrap w:val="0"/>
            <w:vAlign w:val="center"/>
          </w:tcPr>
          <w:p>
            <w:pPr>
              <w:pStyle w:val="2"/>
              <w:keepNext w:val="0"/>
              <w:keepLines w:val="0"/>
              <w:pageBreakBefore w:val="0"/>
              <w:widowControl w:val="0"/>
              <w:kinsoku/>
              <w:wordWrap/>
              <w:overflowPunct/>
              <w:topLinePunct w:val="0"/>
              <w:autoSpaceDE w:val="0"/>
              <w:autoSpaceDN w:val="0"/>
              <w:bidi w:val="0"/>
              <w:spacing w:line="400" w:lineRule="exact"/>
              <w:ind w:firstLine="420"/>
              <w:jc w:val="left"/>
              <w:rPr>
                <w:rFonts w:hint="eastAsia" w:ascii="宋体" w:hAnsi="宋体" w:cs="宋体"/>
                <w:color w:val="auto"/>
                <w:sz w:val="21"/>
                <w:szCs w:val="21"/>
                <w:highlight w:val="none"/>
                <w:lang w:eastAsia="en-US"/>
              </w:rPr>
            </w:pPr>
            <w:r>
              <w:rPr>
                <w:rFonts w:hint="eastAsia" w:ascii="宋体" w:hAnsi="宋体" w:cs="宋体"/>
                <w:color w:val="auto"/>
                <w:sz w:val="21"/>
                <w:szCs w:val="21"/>
                <w:highlight w:val="none"/>
                <w:lang w:eastAsia="en-US"/>
              </w:rPr>
              <w:t>6.74</w:t>
            </w:r>
          </w:p>
        </w:tc>
        <w:tc>
          <w:tcPr>
            <w:tcW w:w="1576" w:type="dxa"/>
            <w:noWrap w:val="0"/>
            <w:vAlign w:val="center"/>
          </w:tcPr>
          <w:p>
            <w:pPr>
              <w:pStyle w:val="29"/>
              <w:keepNext w:val="0"/>
              <w:keepLines w:val="0"/>
              <w:pageBreakBefore w:val="0"/>
              <w:kinsoku/>
              <w:wordWrap/>
              <w:overflowPunct/>
              <w:topLinePunct w:val="0"/>
              <w:bidi w:val="0"/>
              <w:spacing w:line="400" w:lineRule="exact"/>
              <w:jc w:val="left"/>
              <w:rPr>
                <w:rFonts w:hint="eastAsia" w:ascii="宋体" w:hAnsi="宋体" w:eastAsia="宋体" w:cs="宋体"/>
                <w:color w:val="auto"/>
                <w:sz w:val="21"/>
                <w:szCs w:val="21"/>
                <w:highlight w:val="none"/>
                <w:lang w:eastAsia="en-US"/>
              </w:rPr>
            </w:pPr>
            <w:r>
              <w:rPr>
                <w:rFonts w:hint="eastAsia" w:ascii="宋体" w:hAnsi="宋体" w:eastAsia="宋体" w:cs="宋体"/>
                <w:color w:val="auto"/>
                <w:sz w:val="21"/>
                <w:szCs w:val="21"/>
                <w:highlight w:val="none"/>
              </w:rPr>
              <w:t>无</w:t>
            </w:r>
          </w:p>
        </w:tc>
      </w:tr>
    </w:tbl>
    <w:p>
      <w:pPr>
        <w:pStyle w:val="6"/>
        <w:keepNext w:val="0"/>
        <w:keepLines w:val="0"/>
        <w:pageBreakBefore w:val="0"/>
        <w:kinsoku/>
        <w:wordWrap/>
        <w:overflowPunct/>
        <w:topLinePunct w:val="0"/>
        <w:bidi w:val="0"/>
        <w:spacing w:line="400" w:lineRule="exact"/>
        <w:ind w:firstLine="482" w:firstLineChars="200"/>
        <w:jc w:val="left"/>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（二）控股股东基本情况</w:t>
      </w:r>
    </w:p>
    <w:tbl>
      <w:tblPr>
        <w:tblStyle w:val="22"/>
        <w:tblW w:w="0" w:type="auto"/>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1180"/>
        <w:gridCol w:w="3562"/>
        <w:gridCol w:w="3850"/>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1180" w:type="dxa"/>
            <w:noWrap w:val="0"/>
            <w:vAlign w:val="top"/>
          </w:tcPr>
          <w:p>
            <w:pPr>
              <w:pStyle w:val="40"/>
              <w:keepNext w:val="0"/>
              <w:keepLines w:val="0"/>
              <w:pageBreakBefore w:val="0"/>
              <w:kinsoku/>
              <w:wordWrap/>
              <w:overflowPunct/>
              <w:topLinePunct w:val="0"/>
              <w:bidi w:val="0"/>
              <w:spacing w:line="400" w:lineRule="exact"/>
              <w:ind w:left="324" w:right="325"/>
              <w:jc w:val="left"/>
              <w:rPr>
                <w:rFonts w:hint="eastAsia"/>
                <w:color w:val="auto"/>
                <w:sz w:val="21"/>
                <w:szCs w:val="21"/>
                <w:highlight w:val="none"/>
              </w:rPr>
            </w:pPr>
            <w:r>
              <w:rPr>
                <w:rFonts w:hint="eastAsia"/>
                <w:color w:val="auto"/>
                <w:sz w:val="21"/>
                <w:szCs w:val="21"/>
                <w:highlight w:val="none"/>
              </w:rPr>
              <w:t>序号</w:t>
            </w:r>
          </w:p>
        </w:tc>
        <w:tc>
          <w:tcPr>
            <w:tcW w:w="3562" w:type="dxa"/>
            <w:noWrap w:val="0"/>
            <w:vAlign w:val="top"/>
          </w:tcPr>
          <w:p>
            <w:pPr>
              <w:pStyle w:val="40"/>
              <w:keepNext w:val="0"/>
              <w:keepLines w:val="0"/>
              <w:pageBreakBefore w:val="0"/>
              <w:kinsoku/>
              <w:wordWrap/>
              <w:overflowPunct/>
              <w:topLinePunct w:val="0"/>
              <w:bidi w:val="0"/>
              <w:spacing w:line="400" w:lineRule="exact"/>
              <w:ind w:left="1055"/>
              <w:jc w:val="left"/>
              <w:rPr>
                <w:rFonts w:hint="eastAsia"/>
                <w:color w:val="auto"/>
                <w:sz w:val="21"/>
                <w:szCs w:val="21"/>
                <w:highlight w:val="none"/>
              </w:rPr>
            </w:pPr>
            <w:r>
              <w:rPr>
                <w:rFonts w:hint="eastAsia"/>
                <w:color w:val="auto"/>
                <w:sz w:val="21"/>
                <w:szCs w:val="21"/>
                <w:highlight w:val="none"/>
              </w:rPr>
              <w:t>主要股东名称</w:t>
            </w:r>
          </w:p>
        </w:tc>
        <w:tc>
          <w:tcPr>
            <w:tcW w:w="3850" w:type="dxa"/>
            <w:noWrap w:val="0"/>
            <w:vAlign w:val="top"/>
          </w:tcPr>
          <w:p>
            <w:pPr>
              <w:pStyle w:val="40"/>
              <w:keepNext w:val="0"/>
              <w:keepLines w:val="0"/>
              <w:pageBreakBefore w:val="0"/>
              <w:kinsoku/>
              <w:wordWrap/>
              <w:overflowPunct/>
              <w:topLinePunct w:val="0"/>
              <w:bidi w:val="0"/>
              <w:spacing w:line="400" w:lineRule="exact"/>
              <w:ind w:left="719"/>
              <w:jc w:val="left"/>
              <w:rPr>
                <w:rFonts w:hint="eastAsia"/>
                <w:color w:val="auto"/>
                <w:sz w:val="21"/>
                <w:szCs w:val="21"/>
                <w:highlight w:val="none"/>
                <w:lang w:eastAsia="zh-CN"/>
              </w:rPr>
            </w:pPr>
            <w:r>
              <w:rPr>
                <w:rFonts w:hint="eastAsia"/>
                <w:color w:val="auto"/>
                <w:sz w:val="21"/>
                <w:szCs w:val="21"/>
                <w:highlight w:val="none"/>
                <w:lang w:eastAsia="zh-CN"/>
              </w:rPr>
              <w:t>控股股东、实际控制人</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1180" w:type="dxa"/>
            <w:noWrap w:val="0"/>
            <w:vAlign w:val="top"/>
          </w:tcPr>
          <w:p>
            <w:pPr>
              <w:pStyle w:val="40"/>
              <w:keepNext w:val="0"/>
              <w:keepLines w:val="0"/>
              <w:pageBreakBefore w:val="0"/>
              <w:kinsoku/>
              <w:wordWrap/>
              <w:overflowPunct/>
              <w:topLinePunct w:val="0"/>
              <w:bidi w:val="0"/>
              <w:spacing w:line="400" w:lineRule="exact"/>
              <w:jc w:val="left"/>
              <w:rPr>
                <w:rFonts w:hint="eastAsia"/>
                <w:color w:val="auto"/>
                <w:sz w:val="21"/>
                <w:szCs w:val="21"/>
                <w:highlight w:val="none"/>
              </w:rPr>
            </w:pPr>
            <w:r>
              <w:rPr>
                <w:rFonts w:hint="eastAsia"/>
                <w:color w:val="auto"/>
                <w:w w:val="99"/>
                <w:sz w:val="21"/>
                <w:szCs w:val="21"/>
                <w:highlight w:val="none"/>
              </w:rPr>
              <w:t>1</w:t>
            </w:r>
          </w:p>
        </w:tc>
        <w:tc>
          <w:tcPr>
            <w:tcW w:w="3562" w:type="dxa"/>
            <w:noWrap w:val="0"/>
            <w:vAlign w:val="top"/>
          </w:tcPr>
          <w:p>
            <w:pPr>
              <w:pStyle w:val="40"/>
              <w:keepNext w:val="0"/>
              <w:keepLines w:val="0"/>
              <w:pageBreakBefore w:val="0"/>
              <w:kinsoku/>
              <w:wordWrap/>
              <w:overflowPunct/>
              <w:topLinePunct w:val="0"/>
              <w:bidi w:val="0"/>
              <w:spacing w:line="400" w:lineRule="exact"/>
              <w:ind w:left="103"/>
              <w:jc w:val="left"/>
              <w:rPr>
                <w:rFonts w:hint="eastAsia"/>
                <w:color w:val="auto"/>
                <w:sz w:val="21"/>
                <w:szCs w:val="21"/>
                <w:highlight w:val="none"/>
                <w:lang w:eastAsia="zh-CN"/>
              </w:rPr>
            </w:pPr>
            <w:r>
              <w:rPr>
                <w:rFonts w:hint="eastAsia"/>
                <w:color w:val="auto"/>
                <w:sz w:val="21"/>
                <w:szCs w:val="21"/>
                <w:highlight w:val="none"/>
                <w:lang w:eastAsia="zh-CN"/>
              </w:rPr>
              <w:t>国家电力投资集团有限公司</w:t>
            </w:r>
          </w:p>
        </w:tc>
        <w:tc>
          <w:tcPr>
            <w:tcW w:w="3850" w:type="dxa"/>
            <w:noWrap w:val="0"/>
            <w:vAlign w:val="top"/>
          </w:tcPr>
          <w:p>
            <w:pPr>
              <w:pStyle w:val="40"/>
              <w:keepNext w:val="0"/>
              <w:keepLines w:val="0"/>
              <w:pageBreakBefore w:val="0"/>
              <w:kinsoku/>
              <w:wordWrap/>
              <w:overflowPunct/>
              <w:topLinePunct w:val="0"/>
              <w:bidi w:val="0"/>
              <w:spacing w:line="400" w:lineRule="exact"/>
              <w:ind w:left="102"/>
              <w:jc w:val="left"/>
              <w:rPr>
                <w:rFonts w:hint="eastAsia"/>
                <w:color w:val="auto"/>
                <w:sz w:val="21"/>
                <w:szCs w:val="21"/>
                <w:highlight w:val="none"/>
                <w:lang w:eastAsia="zh-CN"/>
              </w:rPr>
            </w:pPr>
            <w:r>
              <w:rPr>
                <w:rFonts w:hint="eastAsia"/>
                <w:color w:val="auto"/>
                <w:sz w:val="21"/>
                <w:szCs w:val="21"/>
                <w:highlight w:val="none"/>
                <w:lang w:eastAsia="zh-CN"/>
              </w:rPr>
              <w:t>国务院国有资产监督管理委员会</w:t>
            </w:r>
          </w:p>
        </w:tc>
      </w:tr>
    </w:tbl>
    <w:p>
      <w:pPr>
        <w:pStyle w:val="6"/>
        <w:keepNext w:val="0"/>
        <w:keepLines w:val="0"/>
        <w:pageBreakBefore w:val="0"/>
        <w:kinsoku/>
        <w:wordWrap/>
        <w:overflowPunct/>
        <w:topLinePunct w:val="0"/>
        <w:bidi w:val="0"/>
        <w:spacing w:line="400" w:lineRule="exact"/>
        <w:ind w:left="0" w:firstLine="482" w:firstLineChars="200"/>
        <w:jc w:val="left"/>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（三）主要股东股权质押情况</w:t>
      </w:r>
    </w:p>
    <w:p>
      <w:pPr>
        <w:keepNext w:val="0"/>
        <w:keepLines w:val="0"/>
        <w:pageBreakBefore w:val="0"/>
        <w:kinsoku/>
        <w:wordWrap/>
        <w:overflowPunct/>
        <w:topLinePunct w:val="0"/>
        <w:autoSpaceDE w:val="0"/>
        <w:autoSpaceDN w:val="0"/>
        <w:bidi w:val="0"/>
        <w:adjustRightInd w:val="0"/>
        <w:spacing w:line="400" w:lineRule="exact"/>
        <w:ind w:firstLine="480" w:firstLineChars="200"/>
        <w:jc w:val="left"/>
        <w:textAlignment w:val="center"/>
        <w:rPr>
          <w:rFonts w:hint="eastAsia" w:ascii="宋体" w:hAnsi="宋体" w:cs="宋体"/>
          <w:b/>
          <w:bCs/>
          <w:color w:val="auto"/>
          <w:sz w:val="24"/>
          <w:szCs w:val="24"/>
          <w:highlight w:val="none"/>
        </w:rPr>
      </w:pPr>
      <w:r>
        <w:rPr>
          <w:rFonts w:hint="eastAsia" w:ascii="宋体" w:hAnsi="宋体" w:cs="宋体"/>
          <w:color w:val="auto"/>
          <w:kern w:val="0"/>
          <w:sz w:val="24"/>
          <w:szCs w:val="24"/>
          <w:highlight w:val="none"/>
          <w:lang w:val="zh-CN"/>
        </w:rPr>
        <w:t>截至本报告出具之日，</w:t>
      </w:r>
      <w:r>
        <w:rPr>
          <w:rFonts w:hint="eastAsia" w:ascii="宋体" w:hAnsi="宋体" w:cs="宋体"/>
          <w:color w:val="auto"/>
          <w:kern w:val="0"/>
          <w:sz w:val="24"/>
          <w:szCs w:val="24"/>
          <w:highlight w:val="none"/>
        </w:rPr>
        <w:t>持有</w:t>
      </w:r>
      <w:r>
        <w:rPr>
          <w:rFonts w:hint="eastAsia" w:ascii="宋体" w:hAnsi="宋体" w:cs="宋体"/>
          <w:color w:val="auto"/>
          <w:kern w:val="0"/>
          <w:sz w:val="24"/>
          <w:szCs w:val="24"/>
          <w:highlight w:val="none"/>
          <w:lang w:val="zh-CN"/>
        </w:rPr>
        <w:t>公司</w:t>
      </w:r>
      <w:r>
        <w:rPr>
          <w:rFonts w:hint="eastAsia" w:ascii="宋体" w:hAnsi="宋体" w:cs="宋体"/>
          <w:color w:val="auto"/>
          <w:kern w:val="0"/>
          <w:sz w:val="24"/>
          <w:szCs w:val="24"/>
          <w:highlight w:val="none"/>
        </w:rPr>
        <w:t>5%以上股份的股东其</w:t>
      </w:r>
      <w:r>
        <w:rPr>
          <w:rFonts w:hint="eastAsia" w:ascii="宋体" w:hAnsi="宋体" w:cs="宋体"/>
          <w:color w:val="auto"/>
          <w:kern w:val="0"/>
          <w:sz w:val="24"/>
          <w:szCs w:val="24"/>
          <w:highlight w:val="none"/>
          <w:lang w:val="zh-CN"/>
        </w:rPr>
        <w:t>股权不存在质押、冻结的情况。</w:t>
      </w:r>
    </w:p>
    <w:p>
      <w:pPr>
        <w:pStyle w:val="6"/>
        <w:keepNext w:val="0"/>
        <w:keepLines w:val="0"/>
        <w:pageBreakBefore w:val="0"/>
        <w:kinsoku/>
        <w:wordWrap/>
        <w:overflowPunct/>
        <w:topLinePunct w:val="0"/>
        <w:bidi w:val="0"/>
        <w:spacing w:line="400" w:lineRule="exact"/>
        <w:ind w:left="0" w:firstLine="482" w:firstLineChars="200"/>
        <w:jc w:val="left"/>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（四）股东提名董事、监事情况</w:t>
      </w:r>
    </w:p>
    <w:p>
      <w:pPr>
        <w:pStyle w:val="6"/>
        <w:keepNext w:val="0"/>
        <w:keepLines w:val="0"/>
        <w:pageBreakBefore w:val="0"/>
        <w:kinsoku/>
        <w:wordWrap/>
        <w:overflowPunct/>
        <w:topLinePunct w:val="0"/>
        <w:bidi w:val="0"/>
        <w:spacing w:line="400" w:lineRule="exact"/>
        <w:ind w:left="0" w:firstLine="480" w:firstLineChars="200"/>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2024年度，股东国家电力投资集团有限公司提名王浩为董事，选举陈可均为职工董事；股东贵州能源集团有限公司提名郭厚亮为董事，并经过选举担任副董事长，提名付洁为监事，并经过选举担任监事会主席。</w:t>
      </w:r>
    </w:p>
    <w:p>
      <w:pPr>
        <w:pStyle w:val="6"/>
        <w:keepNext w:val="0"/>
        <w:keepLines w:val="0"/>
        <w:pageBreakBefore w:val="0"/>
        <w:kinsoku/>
        <w:wordWrap/>
        <w:overflowPunct/>
        <w:topLinePunct w:val="0"/>
        <w:bidi w:val="0"/>
        <w:spacing w:line="400" w:lineRule="exact"/>
        <w:ind w:left="0" w:firstLine="482" w:firstLineChars="200"/>
        <w:jc w:val="left"/>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（五）主要股东股权转让情况</w:t>
      </w:r>
    </w:p>
    <w:p>
      <w:pPr>
        <w:pStyle w:val="6"/>
        <w:keepNext w:val="0"/>
        <w:keepLines w:val="0"/>
        <w:pageBreakBefore w:val="0"/>
        <w:kinsoku/>
        <w:wordWrap/>
        <w:overflowPunct/>
        <w:topLinePunct w:val="0"/>
        <w:bidi w:val="0"/>
        <w:spacing w:line="400" w:lineRule="exact"/>
        <w:ind w:left="0" w:firstLine="480" w:firstLineChars="200"/>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报告期内，本公司无主要股东股权转让情况。</w:t>
      </w:r>
    </w:p>
    <w:p>
      <w:pPr>
        <w:pStyle w:val="6"/>
        <w:keepNext w:val="0"/>
        <w:keepLines w:val="0"/>
        <w:pageBreakBefore w:val="0"/>
        <w:kinsoku/>
        <w:wordWrap/>
        <w:overflowPunct/>
        <w:topLinePunct w:val="0"/>
        <w:bidi w:val="0"/>
        <w:spacing w:line="400" w:lineRule="exact"/>
        <w:ind w:left="0" w:firstLine="482" w:firstLineChars="200"/>
        <w:jc w:val="left"/>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二、增加或减少注册资本、分立合并事项</w:t>
      </w:r>
    </w:p>
    <w:p>
      <w:pPr>
        <w:pStyle w:val="6"/>
        <w:keepNext w:val="0"/>
        <w:keepLines w:val="0"/>
        <w:pageBreakBefore w:val="0"/>
        <w:kinsoku/>
        <w:wordWrap/>
        <w:overflowPunct/>
        <w:topLinePunct w:val="0"/>
        <w:bidi w:val="0"/>
        <w:spacing w:line="400" w:lineRule="exact"/>
        <w:ind w:left="0" w:firstLine="480" w:firstLineChars="200"/>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无。</w:t>
      </w:r>
    </w:p>
    <w:p>
      <w:pPr>
        <w:pStyle w:val="6"/>
        <w:keepNext w:val="0"/>
        <w:keepLines w:val="0"/>
        <w:pageBreakBefore w:val="0"/>
        <w:numPr>
          <w:ilvl w:val="0"/>
          <w:numId w:val="12"/>
        </w:numPr>
        <w:kinsoku/>
        <w:wordWrap/>
        <w:overflowPunct/>
        <w:topLinePunct w:val="0"/>
        <w:bidi w:val="0"/>
        <w:spacing w:line="400" w:lineRule="exact"/>
        <w:ind w:left="0" w:firstLine="482" w:firstLineChars="200"/>
        <w:jc w:val="left"/>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关联交易事项</w:t>
      </w:r>
      <w:r>
        <w:rPr>
          <w:rFonts w:hint="eastAsia" w:cs="宋体"/>
          <w:color w:val="auto"/>
          <w:kern w:val="0"/>
          <w:sz w:val="24"/>
          <w:szCs w:val="24"/>
          <w:highlight w:val="none"/>
          <w:lang w:val="en-US" w:eastAsia="zh-CN" w:bidi="ar-SA"/>
        </w:rPr>
        <w:t>（请计财部核实）</w:t>
      </w:r>
    </w:p>
    <w:p>
      <w:pPr>
        <w:pStyle w:val="6"/>
        <w:keepNext w:val="0"/>
        <w:keepLines w:val="0"/>
        <w:pageBreakBefore w:val="0"/>
        <w:kinsoku/>
        <w:wordWrap/>
        <w:overflowPunct/>
        <w:topLinePunct w:val="0"/>
        <w:bidi w:val="0"/>
        <w:spacing w:line="400" w:lineRule="exact"/>
        <w:ind w:left="0"/>
        <w:jc w:val="left"/>
        <w:rPr>
          <w:rFonts w:hint="default" w:eastAsiaTheme="minorEastAsia"/>
          <w:color w:val="auto"/>
          <w:highlight w:val="none"/>
          <w:lang w:val="en-US"/>
        </w:rPr>
        <w:sectPr>
          <w:pgSz w:w="11907" w:h="16839"/>
          <w:pgMar w:top="1440" w:right="1797" w:bottom="1440" w:left="1797" w:header="680" w:footer="992" w:gutter="0"/>
          <w:cols w:space="425" w:num="1"/>
          <w:docGrid w:linePitch="312" w:charSpace="0"/>
        </w:sectPr>
      </w:pPr>
      <w:r>
        <w:rPr>
          <w:rFonts w:hint="eastAsia" w:cs="宋体"/>
          <w:color w:val="auto"/>
          <w:sz w:val="21"/>
          <w:szCs w:val="21"/>
          <w:highlight w:val="none"/>
          <w:lang w:eastAsia="zh-CN"/>
        </w:rPr>
        <w:t>单</w:t>
      </w:r>
      <w:r>
        <w:rPr>
          <w:rFonts w:hint="eastAsia" w:cs="宋体"/>
          <w:color w:val="auto"/>
          <w:sz w:val="21"/>
          <w:szCs w:val="21"/>
          <w:highlight w:val="none"/>
          <w:lang w:val="en-US" w:eastAsia="zh-CN"/>
        </w:rPr>
        <w:t>位：元</w:t>
      </w:r>
    </w:p>
    <w:tbl>
      <w:tblPr>
        <w:tblStyle w:val="22"/>
        <w:tblpPr w:leftFromText="180" w:rightFromText="180" w:vertAnchor="text" w:horzAnchor="page" w:tblpX="1668" w:tblpY="-5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5155"/>
        <w:gridCol w:w="31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155" w:type="dxa"/>
            <w:shd w:val="clear" w:color="auto" w:fill="auto"/>
            <w:noWrap w:val="0"/>
            <w:tcMar>
              <w:top w:w="75" w:type="dxa"/>
              <w:left w:w="75" w:type="dxa"/>
              <w:bottom w:w="75" w:type="dxa"/>
              <w:right w:w="75" w:type="dxa"/>
            </w:tcMar>
            <w:vAlign w:val="center"/>
          </w:tcPr>
          <w:p>
            <w:pPr>
              <w:widowControl/>
              <w:jc w:val="center"/>
              <w:rPr>
                <w:rFonts w:hint="eastAsia" w:ascii="宋体" w:hAnsi="宋体" w:cs="宋体"/>
                <w:color w:val="auto"/>
                <w:kern w:val="0"/>
                <w:highlight w:val="none"/>
              </w:rPr>
            </w:pPr>
            <w:r>
              <w:rPr>
                <w:rFonts w:hint="eastAsia" w:ascii="宋体" w:hAnsi="宋体" w:cs="宋体"/>
                <w:color w:val="auto"/>
                <w:kern w:val="0"/>
                <w:highlight w:val="none"/>
              </w:rPr>
              <w:t>具体事项类型</w:t>
            </w:r>
          </w:p>
        </w:tc>
        <w:tc>
          <w:tcPr>
            <w:tcW w:w="3142" w:type="dxa"/>
            <w:shd w:val="clear" w:color="auto" w:fill="auto"/>
            <w:noWrap w:val="0"/>
            <w:tcMar>
              <w:top w:w="75" w:type="dxa"/>
              <w:left w:w="75" w:type="dxa"/>
              <w:bottom w:w="75" w:type="dxa"/>
              <w:right w:w="75" w:type="dxa"/>
            </w:tcMar>
            <w:vAlign w:val="center"/>
          </w:tcPr>
          <w:p>
            <w:pPr>
              <w:widowControl/>
              <w:wordWrap w:val="0"/>
              <w:jc w:val="center"/>
              <w:rPr>
                <w:rFonts w:hint="eastAsia" w:ascii="宋体" w:hAnsi="宋体" w:cs="宋体"/>
                <w:color w:val="auto"/>
                <w:kern w:val="0"/>
                <w:highlight w:val="none"/>
              </w:rPr>
            </w:pPr>
            <w:r>
              <w:rPr>
                <w:rFonts w:hint="eastAsia" w:ascii="宋体" w:hAnsi="宋体" w:cs="宋体"/>
                <w:color w:val="auto"/>
                <w:kern w:val="0"/>
                <w:highlight w:val="none"/>
              </w:rPr>
              <w:t>发生金额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trPr>
        <w:tc>
          <w:tcPr>
            <w:tcW w:w="5155" w:type="dxa"/>
            <w:shd w:val="clear" w:color="auto" w:fill="auto"/>
            <w:noWrap w:val="0"/>
            <w:tcMar>
              <w:top w:w="75" w:type="dxa"/>
              <w:left w:w="75" w:type="dxa"/>
              <w:bottom w:w="75" w:type="dxa"/>
              <w:right w:w="75" w:type="dxa"/>
            </w:tcMar>
            <w:vAlign w:val="center"/>
          </w:tcPr>
          <w:p>
            <w:pPr>
              <w:keepNext w:val="0"/>
              <w:keepLines w:val="0"/>
              <w:widowControl/>
              <w:suppressLineNumbers w:val="0"/>
              <w:jc w:val="center"/>
              <w:textAlignment w:val="center"/>
              <w:rPr>
                <w:rFonts w:hint="eastAsia" w:ascii="宋体" w:hAnsi="宋体" w:cs="宋体"/>
                <w:color w:val="auto"/>
                <w:kern w:val="0"/>
                <w:highlight w:val="none"/>
              </w:rPr>
            </w:pPr>
            <w:r>
              <w:rPr>
                <w:rFonts w:hint="eastAsia" w:ascii="宋体" w:hAnsi="宋体" w:eastAsia="宋体" w:cs="宋体"/>
                <w:i w:val="0"/>
                <w:iCs w:val="0"/>
                <w:color w:val="auto"/>
                <w:kern w:val="0"/>
                <w:sz w:val="21"/>
                <w:szCs w:val="21"/>
                <w:highlight w:val="none"/>
                <w:u w:val="none"/>
                <w:lang w:val="en-US" w:eastAsia="zh-CN" w:bidi="ar"/>
              </w:rPr>
              <w:t>采购商品/接受劳务情况</w:t>
            </w:r>
          </w:p>
        </w:tc>
        <w:tc>
          <w:tcPr>
            <w:tcW w:w="3142" w:type="dxa"/>
            <w:shd w:val="clear" w:color="auto" w:fill="auto"/>
            <w:noWrap w:val="0"/>
            <w:tcMar>
              <w:top w:w="75" w:type="dxa"/>
              <w:left w:w="75" w:type="dxa"/>
              <w:bottom w:w="75" w:type="dxa"/>
              <w:right w:w="75" w:type="dxa"/>
            </w:tcMar>
            <w:vAlign w:val="center"/>
          </w:tcPr>
          <w:p>
            <w:pPr>
              <w:keepNext w:val="0"/>
              <w:keepLines w:val="0"/>
              <w:widowControl/>
              <w:suppressLineNumbers w:val="0"/>
              <w:jc w:val="right"/>
              <w:textAlignment w:val="center"/>
              <w:rPr>
                <w:rFonts w:hint="default" w:ascii="宋体" w:hAnsi="宋体" w:eastAsia="宋体" w:cs="宋体"/>
                <w:color w:val="auto"/>
                <w:kern w:val="0"/>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373,759,663.07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trPr>
        <w:tc>
          <w:tcPr>
            <w:tcW w:w="5155" w:type="dxa"/>
            <w:shd w:val="clear" w:color="auto" w:fill="auto"/>
            <w:noWrap w:val="0"/>
            <w:tcMar>
              <w:top w:w="75" w:type="dxa"/>
              <w:left w:w="75" w:type="dxa"/>
              <w:bottom w:w="75" w:type="dxa"/>
              <w:right w:w="75" w:type="dxa"/>
            </w:tcMar>
            <w:vAlign w:val="center"/>
          </w:tcPr>
          <w:p>
            <w:pPr>
              <w:keepNext w:val="0"/>
              <w:keepLines w:val="0"/>
              <w:widowControl/>
              <w:suppressLineNumbers w:val="0"/>
              <w:jc w:val="center"/>
              <w:textAlignment w:val="center"/>
              <w:rPr>
                <w:rFonts w:hint="eastAsia" w:ascii="宋体" w:hAnsi="宋体" w:cs="宋体"/>
                <w:color w:val="auto"/>
                <w:kern w:val="0"/>
                <w:highlight w:val="none"/>
              </w:rPr>
            </w:pPr>
            <w:r>
              <w:rPr>
                <w:rFonts w:hint="eastAsia" w:ascii="宋体" w:hAnsi="宋体" w:eastAsia="宋体" w:cs="宋体"/>
                <w:i w:val="0"/>
                <w:iCs w:val="0"/>
                <w:color w:val="auto"/>
                <w:kern w:val="0"/>
                <w:sz w:val="21"/>
                <w:szCs w:val="21"/>
                <w:highlight w:val="none"/>
                <w:u w:val="none"/>
                <w:lang w:val="en-US" w:eastAsia="zh-CN" w:bidi="ar"/>
              </w:rPr>
              <w:t>出售商品</w:t>
            </w:r>
            <w:r>
              <w:rPr>
                <w:rStyle w:val="48"/>
                <w:rFonts w:eastAsia="宋体"/>
                <w:color w:val="auto"/>
                <w:highlight w:val="none"/>
                <w:lang w:val="en-US" w:eastAsia="zh-CN" w:bidi="ar"/>
              </w:rPr>
              <w:t>/</w:t>
            </w:r>
            <w:r>
              <w:rPr>
                <w:rStyle w:val="32"/>
                <w:color w:val="auto"/>
                <w:highlight w:val="none"/>
                <w:lang w:val="en-US" w:eastAsia="zh-CN" w:bidi="ar"/>
              </w:rPr>
              <w:t>提供劳务情况</w:t>
            </w:r>
          </w:p>
        </w:tc>
        <w:tc>
          <w:tcPr>
            <w:tcW w:w="3142" w:type="dxa"/>
            <w:shd w:val="clear" w:color="auto" w:fill="auto"/>
            <w:noWrap w:val="0"/>
            <w:tcMar>
              <w:top w:w="75" w:type="dxa"/>
              <w:left w:w="75" w:type="dxa"/>
              <w:bottom w:w="75" w:type="dxa"/>
              <w:right w:w="75" w:type="dxa"/>
            </w:tcMar>
            <w:vAlign w:val="center"/>
          </w:tcPr>
          <w:p>
            <w:pPr>
              <w:keepNext w:val="0"/>
              <w:keepLines w:val="0"/>
              <w:widowControl/>
              <w:suppressLineNumbers w:val="0"/>
              <w:jc w:val="right"/>
              <w:textAlignment w:val="center"/>
              <w:rPr>
                <w:rFonts w:hint="eastAsia" w:ascii="宋体" w:hAnsi="宋体" w:cs="宋体"/>
                <w:color w:val="auto"/>
                <w:kern w:val="0"/>
                <w:highlight w:val="none"/>
              </w:rPr>
            </w:pPr>
            <w:r>
              <w:rPr>
                <w:rFonts w:hint="eastAsia" w:ascii="宋体" w:hAnsi="宋体" w:eastAsia="宋体" w:cs="宋体"/>
                <w:i w:val="0"/>
                <w:iCs w:val="0"/>
                <w:color w:val="auto"/>
                <w:kern w:val="0"/>
                <w:sz w:val="21"/>
                <w:szCs w:val="21"/>
                <w:highlight w:val="none"/>
                <w:u w:val="none"/>
                <w:lang w:val="en-US" w:eastAsia="zh-CN" w:bidi="ar"/>
              </w:rPr>
              <w:t>248,791,284.17</w:t>
            </w:r>
          </w:p>
        </w:tc>
      </w:tr>
    </w:tbl>
    <w:p>
      <w:pPr>
        <w:pStyle w:val="6"/>
        <w:spacing w:before="120" w:after="53" w:line="360" w:lineRule="auto"/>
        <w:ind w:left="0" w:firstLine="480" w:firstLineChars="200"/>
        <w:rPr>
          <w:rFonts w:hint="eastAsia" w:ascii="宋体" w:hAnsi="宋体" w:eastAsia="宋体" w:cs="宋体"/>
          <w:color w:val="auto"/>
          <w:kern w:val="0"/>
          <w:sz w:val="24"/>
          <w:szCs w:val="24"/>
          <w:highlight w:val="none"/>
          <w:lang w:val="en-US" w:eastAsia="zh-CN" w:bidi="ar-SA"/>
        </w:rPr>
      </w:pPr>
    </w:p>
    <w:p>
      <w:pPr>
        <w:pStyle w:val="6"/>
        <w:spacing w:before="120" w:after="53" w:line="360" w:lineRule="auto"/>
        <w:ind w:left="0" w:firstLine="480" w:firstLineChars="200"/>
        <w:rPr>
          <w:rFonts w:hint="eastAsia" w:ascii="宋体" w:hAnsi="宋体" w:eastAsia="宋体" w:cs="宋体"/>
          <w:color w:val="auto"/>
          <w:kern w:val="0"/>
          <w:sz w:val="24"/>
          <w:szCs w:val="24"/>
          <w:highlight w:val="none"/>
          <w:lang w:val="en-US" w:eastAsia="zh-CN" w:bidi="ar-SA"/>
        </w:rPr>
      </w:pPr>
    </w:p>
    <w:p>
      <w:pPr>
        <w:pStyle w:val="6"/>
        <w:spacing w:before="120" w:after="53" w:line="360" w:lineRule="auto"/>
        <w:rPr>
          <w:rFonts w:hint="eastAsia" w:ascii="宋体" w:hAnsi="宋体" w:eastAsia="宋体" w:cs="宋体"/>
          <w:color w:val="auto"/>
          <w:kern w:val="0"/>
          <w:sz w:val="24"/>
          <w:szCs w:val="24"/>
          <w:highlight w:val="none"/>
          <w:lang w:val="en-US" w:eastAsia="zh-CN" w:bidi="ar-SA"/>
        </w:rPr>
      </w:pPr>
    </w:p>
    <w:p>
      <w:pPr>
        <w:pStyle w:val="6"/>
        <w:keepNext w:val="0"/>
        <w:keepLines w:val="0"/>
        <w:pageBreakBefore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注：以上为本期发生的关联交易金额。</w:t>
      </w:r>
    </w:p>
    <w:p>
      <w:pPr>
        <w:pStyle w:val="6"/>
        <w:keepNext w:val="0"/>
        <w:keepLines w:val="0"/>
        <w:pageBreakBefore w:val="0"/>
        <w:widowControl w:val="0"/>
        <w:numPr>
          <w:ilvl w:val="0"/>
          <w:numId w:val="12"/>
        </w:numPr>
        <w:kinsoku/>
        <w:wordWrap/>
        <w:overflowPunct/>
        <w:topLinePunct w:val="0"/>
        <w:autoSpaceDE/>
        <w:autoSpaceDN/>
        <w:bidi w:val="0"/>
        <w:adjustRightInd/>
        <w:snapToGrid/>
        <w:spacing w:line="400" w:lineRule="exact"/>
        <w:ind w:left="0" w:leftChars="0" w:firstLine="482" w:firstLineChars="200"/>
        <w:jc w:val="left"/>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重大诉讼、仲裁事项</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报告期内，贵州金元及所属单位共发生3起重大诉讼</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zh-CN"/>
        </w:rPr>
        <w:t>1.中水公司</w:t>
      </w:r>
      <w:r>
        <w:rPr>
          <w:rFonts w:hint="eastAsia" w:ascii="宋体" w:hAnsi="宋体" w:eastAsia="宋体" w:cs="宋体"/>
          <w:color w:val="auto"/>
          <w:kern w:val="0"/>
          <w:sz w:val="24"/>
          <w:szCs w:val="24"/>
          <w:highlight w:val="none"/>
          <w:lang w:val="en-US" w:eastAsia="zh-CN"/>
        </w:rPr>
        <w:t>诉</w:t>
      </w:r>
      <w:r>
        <w:rPr>
          <w:rFonts w:hint="eastAsia" w:ascii="宋体" w:hAnsi="宋体" w:eastAsia="宋体" w:cs="宋体"/>
          <w:color w:val="auto"/>
          <w:kern w:val="0"/>
          <w:sz w:val="24"/>
          <w:szCs w:val="24"/>
          <w:highlight w:val="none"/>
          <w:lang w:val="zh-CN"/>
        </w:rPr>
        <w:t>安晟能源、青龙煤矿（第三人）股东代表诉讼案件，</w:t>
      </w:r>
      <w:r>
        <w:rPr>
          <w:rFonts w:hint="eastAsia" w:ascii="宋体" w:hAnsi="宋体" w:eastAsia="宋体" w:cs="宋体"/>
          <w:color w:val="auto"/>
          <w:kern w:val="0"/>
          <w:sz w:val="24"/>
          <w:szCs w:val="24"/>
          <w:highlight w:val="none"/>
          <w:lang w:val="en-US" w:eastAsia="zh-CN"/>
        </w:rPr>
        <w:t>2024年2月立案，涉案</w:t>
      </w:r>
      <w:r>
        <w:rPr>
          <w:rFonts w:hint="eastAsia" w:ascii="宋体" w:hAnsi="宋体" w:eastAsia="宋体" w:cs="宋体"/>
          <w:color w:val="auto"/>
          <w:kern w:val="0"/>
          <w:sz w:val="24"/>
          <w:szCs w:val="24"/>
          <w:highlight w:val="none"/>
          <w:lang w:val="zh-CN"/>
        </w:rPr>
        <w:t>金额8.47亿元。</w:t>
      </w:r>
      <w:r>
        <w:rPr>
          <w:rFonts w:hint="eastAsia" w:ascii="宋体" w:hAnsi="宋体" w:eastAsia="宋体" w:cs="宋体"/>
          <w:color w:val="auto"/>
          <w:kern w:val="0"/>
          <w:sz w:val="24"/>
          <w:szCs w:val="24"/>
          <w:highlight w:val="none"/>
          <w:lang w:val="en-US" w:eastAsia="zh-CN"/>
        </w:rPr>
        <w:t>2025年2月收到贵阳市中院一审判决：安晟能源向黔西能源返还欠款。黔西能源和中水公司已上诉，贵州省高院已受理并于4月24日开庭审理，待判决。</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zh-CN"/>
        </w:rPr>
        <w:t>2.</w:t>
      </w:r>
      <w:r>
        <w:rPr>
          <w:rFonts w:hint="eastAsia" w:ascii="宋体" w:hAnsi="宋体" w:eastAsia="宋体" w:cs="宋体"/>
          <w:color w:val="auto"/>
          <w:kern w:val="0"/>
          <w:sz w:val="24"/>
          <w:szCs w:val="24"/>
          <w:highlight w:val="none"/>
          <w:lang w:val="en-US" w:eastAsia="zh-CN"/>
        </w:rPr>
        <w:t>能发</w:t>
      </w:r>
      <w:r>
        <w:rPr>
          <w:rFonts w:hint="eastAsia" w:ascii="宋体" w:hAnsi="宋体" w:eastAsia="宋体" w:cs="宋体"/>
          <w:color w:val="auto"/>
          <w:kern w:val="0"/>
          <w:sz w:val="24"/>
          <w:szCs w:val="24"/>
          <w:highlight w:val="none"/>
          <w:lang w:val="zh-CN"/>
        </w:rPr>
        <w:t>公司</w:t>
      </w:r>
      <w:r>
        <w:rPr>
          <w:rFonts w:hint="eastAsia" w:ascii="宋体" w:hAnsi="宋体" w:eastAsia="宋体" w:cs="宋体"/>
          <w:color w:val="auto"/>
          <w:kern w:val="0"/>
          <w:sz w:val="24"/>
          <w:szCs w:val="24"/>
          <w:highlight w:val="none"/>
          <w:lang w:val="en-US" w:eastAsia="zh-CN"/>
        </w:rPr>
        <w:t>诉</w:t>
      </w:r>
      <w:r>
        <w:rPr>
          <w:rFonts w:hint="eastAsia" w:ascii="宋体" w:hAnsi="宋体" w:eastAsia="宋体" w:cs="宋体"/>
          <w:color w:val="auto"/>
          <w:kern w:val="0"/>
          <w:sz w:val="24"/>
          <w:szCs w:val="24"/>
          <w:highlight w:val="none"/>
          <w:lang w:val="zh-CN"/>
        </w:rPr>
        <w:t>安晟能源、</w:t>
      </w:r>
      <w:r>
        <w:rPr>
          <w:rFonts w:hint="eastAsia" w:ascii="宋体" w:hAnsi="宋体" w:eastAsia="宋体" w:cs="宋体"/>
          <w:color w:val="auto"/>
          <w:kern w:val="0"/>
          <w:sz w:val="24"/>
          <w:szCs w:val="24"/>
          <w:highlight w:val="none"/>
          <w:lang w:val="en-US" w:eastAsia="zh-CN"/>
        </w:rPr>
        <w:t>发耳煤矿</w:t>
      </w:r>
      <w:r>
        <w:rPr>
          <w:rFonts w:hint="eastAsia" w:ascii="宋体" w:hAnsi="宋体" w:eastAsia="宋体" w:cs="宋体"/>
          <w:color w:val="auto"/>
          <w:kern w:val="0"/>
          <w:sz w:val="24"/>
          <w:szCs w:val="24"/>
          <w:highlight w:val="none"/>
          <w:lang w:val="zh-CN"/>
        </w:rPr>
        <w:t>（第三人）股东代表诉讼案件，</w:t>
      </w:r>
      <w:r>
        <w:rPr>
          <w:rFonts w:hint="eastAsia" w:ascii="宋体" w:hAnsi="宋体" w:eastAsia="宋体" w:cs="宋体"/>
          <w:color w:val="auto"/>
          <w:kern w:val="0"/>
          <w:sz w:val="24"/>
          <w:szCs w:val="24"/>
          <w:highlight w:val="none"/>
          <w:lang w:val="en-US" w:eastAsia="zh-CN"/>
        </w:rPr>
        <w:t>2024年6月立案，涉案</w:t>
      </w:r>
      <w:r>
        <w:rPr>
          <w:rFonts w:hint="eastAsia" w:ascii="宋体" w:hAnsi="宋体" w:eastAsia="宋体" w:cs="宋体"/>
          <w:color w:val="auto"/>
          <w:kern w:val="0"/>
          <w:sz w:val="24"/>
          <w:szCs w:val="24"/>
          <w:highlight w:val="none"/>
          <w:lang w:val="zh-CN"/>
        </w:rPr>
        <w:t>金额</w:t>
      </w:r>
      <w:r>
        <w:rPr>
          <w:rFonts w:hint="eastAsia" w:ascii="宋体" w:hAnsi="宋体" w:eastAsia="宋体" w:cs="宋体"/>
          <w:color w:val="auto"/>
          <w:kern w:val="0"/>
          <w:sz w:val="24"/>
          <w:szCs w:val="24"/>
          <w:highlight w:val="none"/>
          <w:lang w:val="en-US" w:eastAsia="zh-CN"/>
        </w:rPr>
        <w:t>3.08</w:t>
      </w:r>
      <w:r>
        <w:rPr>
          <w:rFonts w:hint="eastAsia" w:ascii="宋体" w:hAnsi="宋体" w:eastAsia="宋体" w:cs="宋体"/>
          <w:color w:val="auto"/>
          <w:kern w:val="0"/>
          <w:sz w:val="24"/>
          <w:szCs w:val="24"/>
          <w:highlight w:val="none"/>
          <w:lang w:val="zh-CN"/>
        </w:rPr>
        <w:t>亿元</w:t>
      </w:r>
      <w:r>
        <w:rPr>
          <w:rFonts w:hint="eastAsia" w:ascii="宋体" w:hAnsi="宋体" w:eastAsia="宋体" w:cs="宋体"/>
          <w:color w:val="auto"/>
          <w:kern w:val="0"/>
          <w:sz w:val="24"/>
          <w:szCs w:val="24"/>
          <w:highlight w:val="none"/>
          <w:lang w:val="en-US" w:eastAsia="zh-CN"/>
        </w:rPr>
        <w:t>。因能发公司将发耳煤矿的股权转让至能发新能源公司，2025年3月4日，收到贵阳市观山湖区法院裁定：驳回能发公司起诉，案件受理费158万元全额退还，保全申请费5000元不予退还。已上诉至贵阳市中院，开庭时间未定。</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zh-CN"/>
        </w:rPr>
        <w:t>3.中冶京诚工程技术有限公司诉绥阳公司、贵州金元建设工程施工合同纠纷</w:t>
      </w:r>
      <w:r>
        <w:rPr>
          <w:rFonts w:hint="eastAsia" w:ascii="宋体" w:hAnsi="宋体" w:eastAsia="宋体" w:cs="宋体"/>
          <w:color w:val="auto"/>
          <w:kern w:val="0"/>
          <w:sz w:val="24"/>
          <w:szCs w:val="24"/>
          <w:highlight w:val="none"/>
          <w:lang w:val="zh-CN" w:eastAsia="zh-CN"/>
        </w:rPr>
        <w:t>，</w:t>
      </w:r>
      <w:r>
        <w:rPr>
          <w:rFonts w:hint="eastAsia" w:ascii="宋体" w:hAnsi="宋体" w:eastAsia="宋体" w:cs="宋体"/>
          <w:color w:val="auto"/>
          <w:kern w:val="0"/>
          <w:sz w:val="24"/>
          <w:szCs w:val="24"/>
          <w:highlight w:val="none"/>
          <w:lang w:val="en-US" w:eastAsia="zh-CN"/>
        </w:rPr>
        <w:t>2024年7月立案，涉案金额7841万元。2024年8月已达成和解，绥阳公司分期支付工程款，贵州金元不承担责任，已结案。</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2" w:firstLineChars="200"/>
        <w:jc w:val="left"/>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五、聘任和解聘会计师事务所情况</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公司聘请</w:t>
      </w:r>
      <w:r>
        <w:rPr>
          <w:rFonts w:hint="eastAsia" w:ascii="宋体" w:hAnsi="宋体" w:eastAsia="宋体" w:cs="宋体"/>
          <w:color w:val="auto"/>
          <w:sz w:val="24"/>
          <w:szCs w:val="24"/>
          <w:highlight w:val="none"/>
          <w:lang w:val="en-US" w:eastAsia="zh-CN"/>
        </w:rPr>
        <w:t>立信会计师事务所（特殊普通合伙）</w:t>
      </w:r>
      <w:r>
        <w:rPr>
          <w:rFonts w:hint="eastAsia" w:ascii="宋体" w:hAnsi="宋体" w:eastAsia="宋体" w:cs="宋体"/>
          <w:color w:val="auto"/>
          <w:kern w:val="0"/>
          <w:sz w:val="24"/>
          <w:szCs w:val="24"/>
          <w:highlight w:val="none"/>
          <w:lang w:val="en-US" w:eastAsia="zh-CN" w:bidi="ar-SA"/>
        </w:rPr>
        <w:t>按中国会计准则对本公司2024年度的经营状况进行审计。</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2" w:firstLineChars="200"/>
        <w:jc w:val="left"/>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六、逾期未偿还债务情况</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报告期末，公司无逾期未偿还债务。</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2" w:firstLineChars="200"/>
        <w:jc w:val="left"/>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七、对外投资情况</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报告期内，公司不存在未经股东大会、董事会审议通过的对外投资事项。</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2" w:firstLineChars="200"/>
        <w:jc w:val="left"/>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八、收购及出售资产、吸收合并事项</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报告期内，公司对外转让桃花、尖峰、墨子湾、令里、加平、南东</w:t>
      </w:r>
      <w:r>
        <w:rPr>
          <w:rFonts w:hint="eastAsia" w:cs="宋体"/>
          <w:color w:val="auto"/>
          <w:kern w:val="0"/>
          <w:sz w:val="24"/>
          <w:szCs w:val="24"/>
          <w:highlight w:val="none"/>
          <w:lang w:val="en-US" w:eastAsia="zh-CN" w:bidi="ar-SA"/>
        </w:rPr>
        <w:t>等6个</w:t>
      </w:r>
      <w:r>
        <w:rPr>
          <w:rFonts w:hint="eastAsia" w:ascii="宋体" w:hAnsi="宋体" w:eastAsia="宋体" w:cs="宋体"/>
          <w:color w:val="auto"/>
          <w:kern w:val="0"/>
          <w:sz w:val="24"/>
          <w:szCs w:val="24"/>
          <w:highlight w:val="none"/>
          <w:lang w:val="en-US" w:eastAsia="zh-CN" w:bidi="ar-SA"/>
        </w:rPr>
        <w:t>水电</w:t>
      </w:r>
      <w:r>
        <w:rPr>
          <w:rFonts w:hint="eastAsia" w:cs="宋体"/>
          <w:color w:val="auto"/>
          <w:kern w:val="0"/>
          <w:sz w:val="24"/>
          <w:szCs w:val="24"/>
          <w:highlight w:val="none"/>
          <w:lang w:val="en-US" w:eastAsia="zh-CN" w:bidi="ar-SA"/>
        </w:rPr>
        <w:t>站</w:t>
      </w:r>
      <w:r>
        <w:rPr>
          <w:rFonts w:hint="eastAsia" w:ascii="宋体" w:hAnsi="宋体" w:eastAsia="宋体" w:cs="宋体"/>
          <w:color w:val="auto"/>
          <w:kern w:val="0"/>
          <w:sz w:val="24"/>
          <w:szCs w:val="24"/>
          <w:highlight w:val="none"/>
          <w:lang w:val="en-US" w:eastAsia="zh-CN" w:bidi="ar-SA"/>
        </w:rPr>
        <w:t>（</w:t>
      </w:r>
      <w:r>
        <w:rPr>
          <w:rFonts w:hint="eastAsia" w:cs="宋体"/>
          <w:color w:val="auto"/>
          <w:kern w:val="0"/>
          <w:sz w:val="24"/>
          <w:szCs w:val="24"/>
          <w:highlight w:val="none"/>
          <w:lang w:val="en-US" w:eastAsia="zh-CN" w:bidi="ar-SA"/>
        </w:rPr>
        <w:t>总装机4.45</w:t>
      </w:r>
      <w:r>
        <w:rPr>
          <w:rFonts w:hint="eastAsia" w:ascii="宋体" w:hAnsi="宋体" w:eastAsia="宋体" w:cs="宋体"/>
          <w:color w:val="auto"/>
          <w:kern w:val="0"/>
          <w:sz w:val="24"/>
          <w:szCs w:val="24"/>
          <w:highlight w:val="none"/>
          <w:lang w:val="en-US" w:eastAsia="zh-CN" w:bidi="ar-SA"/>
        </w:rPr>
        <w:t>MW）资产</w:t>
      </w:r>
      <w:r>
        <w:rPr>
          <w:rFonts w:hint="eastAsia" w:cs="宋体"/>
          <w:color w:val="auto"/>
          <w:kern w:val="0"/>
          <w:sz w:val="24"/>
          <w:szCs w:val="24"/>
          <w:highlight w:val="none"/>
          <w:lang w:val="en-US" w:eastAsia="zh-CN" w:bidi="ar-SA"/>
        </w:rPr>
        <w:t>，明英电站因下游宣威水电站开发淹没获得补偿，通过贵州能源集团增资并控股能发公司51%。</w:t>
      </w:r>
      <w:r>
        <w:rPr>
          <w:rFonts w:hint="eastAsia" w:ascii="宋体" w:hAnsi="宋体" w:eastAsia="宋体" w:cs="宋体"/>
          <w:color w:val="auto"/>
          <w:kern w:val="0"/>
          <w:sz w:val="24"/>
          <w:szCs w:val="24"/>
          <w:highlight w:val="none"/>
          <w:lang w:val="en-US" w:eastAsia="zh-CN" w:bidi="ar-SA"/>
        </w:rPr>
        <w:t>公司无</w:t>
      </w:r>
      <w:r>
        <w:rPr>
          <w:rFonts w:hint="eastAsia" w:cs="宋体"/>
          <w:color w:val="auto"/>
          <w:kern w:val="0"/>
          <w:sz w:val="24"/>
          <w:szCs w:val="24"/>
          <w:highlight w:val="none"/>
          <w:lang w:val="en-US" w:eastAsia="zh-CN" w:bidi="ar-SA"/>
        </w:rPr>
        <w:t>其他</w:t>
      </w:r>
      <w:r>
        <w:rPr>
          <w:rFonts w:hint="eastAsia" w:ascii="宋体" w:hAnsi="宋体" w:eastAsia="宋体" w:cs="宋体"/>
          <w:color w:val="auto"/>
          <w:kern w:val="0"/>
          <w:sz w:val="24"/>
          <w:szCs w:val="24"/>
          <w:highlight w:val="none"/>
          <w:lang w:val="en-US" w:eastAsia="zh-CN" w:bidi="ar-SA"/>
        </w:rPr>
        <w:t>重大收购及吸收合并事项。</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2" w:firstLineChars="200"/>
        <w:jc w:val="left"/>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九、股东及其关联方占用或转移公司资金、资产及其他资源的情况</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报告期内，公司不存在股东及其关联方占用或转移公司资金、资产及其他资源的情况。</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2" w:firstLineChars="200"/>
        <w:jc w:val="left"/>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十、经股东大会审议通过的收购、出售资产、对外投资事项以及报告期内发生的企业合并事项</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报告期内，不存在经股东大会审议通过的收购、出售资产、对外投资事项以及报告期内发生的企业合并事项。</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2" w:firstLineChars="200"/>
        <w:jc w:val="left"/>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十一、</w:t>
      </w:r>
      <w:r>
        <w:rPr>
          <w:rFonts w:hint="eastAsia" w:ascii="宋体" w:hAnsi="宋体" w:eastAsia="宋体" w:cs="宋体"/>
          <w:b/>
          <w:bCs/>
          <w:color w:val="auto"/>
          <w:kern w:val="2"/>
          <w:sz w:val="24"/>
          <w:szCs w:val="24"/>
          <w:highlight w:val="none"/>
          <w:lang w:val="en-US" w:eastAsia="zh-CN" w:bidi="ar-SA"/>
        </w:rPr>
        <w:tab/>
      </w:r>
      <w:r>
        <w:rPr>
          <w:rFonts w:hint="eastAsia" w:ascii="宋体" w:hAnsi="宋体" w:eastAsia="宋体" w:cs="宋体"/>
          <w:b/>
          <w:bCs/>
          <w:color w:val="auto"/>
          <w:kern w:val="2"/>
          <w:sz w:val="24"/>
          <w:szCs w:val="24"/>
          <w:highlight w:val="none"/>
          <w:lang w:val="en-US" w:eastAsia="zh-CN" w:bidi="ar-SA"/>
        </w:rPr>
        <w:t>权益分派情况</w:t>
      </w:r>
    </w:p>
    <w:p>
      <w:pPr>
        <w:pStyle w:val="6"/>
        <w:keepNext w:val="0"/>
        <w:keepLines w:val="0"/>
        <w:pageBreakBefore w:val="0"/>
        <w:widowControl w:val="0"/>
        <w:kinsoku/>
        <w:wordWrap/>
        <w:overflowPunct/>
        <w:topLinePunct w:val="0"/>
        <w:autoSpaceDE/>
        <w:autoSpaceDN/>
        <w:bidi w:val="0"/>
        <w:adjustRightInd/>
        <w:snapToGrid/>
        <w:spacing w:line="400" w:lineRule="exact"/>
        <w:ind w:left="0" w:right="215" w:firstLine="482" w:firstLineChars="200"/>
        <w:jc w:val="left"/>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(一)</w:t>
      </w:r>
      <w:r>
        <w:rPr>
          <w:rFonts w:hint="eastAsia" w:ascii="宋体" w:hAnsi="宋体" w:eastAsia="宋体" w:cs="宋体"/>
          <w:b/>
          <w:bCs/>
          <w:color w:val="auto"/>
          <w:kern w:val="2"/>
          <w:sz w:val="24"/>
          <w:szCs w:val="24"/>
          <w:highlight w:val="none"/>
          <w:lang w:val="en-US" w:eastAsia="zh-CN" w:bidi="ar-SA"/>
        </w:rPr>
        <w:tab/>
      </w:r>
      <w:r>
        <w:rPr>
          <w:rFonts w:hint="eastAsia" w:ascii="宋体" w:hAnsi="宋体" w:eastAsia="宋体" w:cs="宋体"/>
          <w:b/>
          <w:bCs/>
          <w:color w:val="auto"/>
          <w:kern w:val="2"/>
          <w:sz w:val="24"/>
          <w:szCs w:val="24"/>
          <w:highlight w:val="none"/>
          <w:lang w:val="en-US" w:eastAsia="zh-CN" w:bidi="ar-SA"/>
        </w:rPr>
        <w:t>报告期内的利润分配与公积金转增股本情况</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报告期内贵州金元母公司无利润分配及公积金转增股本情况。</w:t>
      </w:r>
    </w:p>
    <w:p>
      <w:pPr>
        <w:pStyle w:val="6"/>
        <w:keepNext w:val="0"/>
        <w:keepLines w:val="0"/>
        <w:pageBreakBefore w:val="0"/>
        <w:widowControl w:val="0"/>
        <w:kinsoku/>
        <w:wordWrap/>
        <w:overflowPunct/>
        <w:topLinePunct w:val="0"/>
        <w:autoSpaceDE/>
        <w:autoSpaceDN/>
        <w:bidi w:val="0"/>
        <w:adjustRightInd/>
        <w:snapToGrid/>
        <w:spacing w:line="400" w:lineRule="exact"/>
        <w:ind w:left="0" w:right="215" w:firstLine="482" w:firstLineChars="200"/>
        <w:jc w:val="left"/>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(二)</w:t>
      </w:r>
      <w:r>
        <w:rPr>
          <w:rFonts w:hint="eastAsia" w:ascii="宋体" w:hAnsi="宋体" w:eastAsia="宋体" w:cs="宋体"/>
          <w:b/>
          <w:bCs/>
          <w:color w:val="auto"/>
          <w:kern w:val="2"/>
          <w:sz w:val="24"/>
          <w:szCs w:val="24"/>
          <w:highlight w:val="none"/>
          <w:lang w:val="en-US" w:eastAsia="zh-CN" w:bidi="ar-SA"/>
        </w:rPr>
        <w:tab/>
      </w:r>
      <w:r>
        <w:rPr>
          <w:rFonts w:hint="eastAsia" w:ascii="宋体" w:hAnsi="宋体" w:eastAsia="宋体" w:cs="宋体"/>
          <w:b/>
          <w:bCs/>
          <w:color w:val="auto"/>
          <w:kern w:val="2"/>
          <w:sz w:val="24"/>
          <w:szCs w:val="24"/>
          <w:highlight w:val="none"/>
          <w:lang w:val="en-US" w:eastAsia="zh-CN" w:bidi="ar-SA"/>
        </w:rPr>
        <w:t>报告期内未执行完毕的利润分配与公积金转增股本的情况</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报告期内贵州金元母公司无未执行完毕的利润分配及公积金转增股本情况。</w:t>
      </w:r>
    </w:p>
    <w:p>
      <w:pPr>
        <w:pStyle w:val="6"/>
        <w:keepNext w:val="0"/>
        <w:keepLines w:val="0"/>
        <w:pageBreakBefore w:val="0"/>
        <w:widowControl w:val="0"/>
        <w:kinsoku/>
        <w:wordWrap/>
        <w:overflowPunct/>
        <w:topLinePunct w:val="0"/>
        <w:autoSpaceDE/>
        <w:autoSpaceDN/>
        <w:bidi w:val="0"/>
        <w:adjustRightInd/>
        <w:snapToGrid/>
        <w:spacing w:line="400" w:lineRule="exact"/>
        <w:ind w:left="0" w:right="215" w:firstLine="482" w:firstLineChars="200"/>
        <w:jc w:val="left"/>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(三)</w:t>
      </w:r>
      <w:r>
        <w:rPr>
          <w:rFonts w:hint="eastAsia" w:ascii="宋体" w:hAnsi="宋体" w:eastAsia="宋体" w:cs="宋体"/>
          <w:b/>
          <w:bCs/>
          <w:color w:val="auto"/>
          <w:kern w:val="2"/>
          <w:sz w:val="24"/>
          <w:szCs w:val="24"/>
          <w:highlight w:val="none"/>
          <w:lang w:val="en-US" w:eastAsia="zh-CN" w:bidi="ar-SA"/>
        </w:rPr>
        <w:tab/>
      </w:r>
      <w:r>
        <w:rPr>
          <w:rFonts w:hint="eastAsia" w:ascii="宋体" w:hAnsi="宋体" w:eastAsia="宋体" w:cs="宋体"/>
          <w:b/>
          <w:bCs/>
          <w:color w:val="auto"/>
          <w:kern w:val="2"/>
          <w:sz w:val="24"/>
          <w:szCs w:val="24"/>
          <w:highlight w:val="none"/>
          <w:lang w:val="en-US" w:eastAsia="zh-CN" w:bidi="ar-SA"/>
        </w:rPr>
        <w:t>权益分派预案</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报告期内贵州金元母公司无权益分配预案。</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b/>
          <w:bCs/>
          <w:color w:val="auto"/>
          <w:kern w:val="0"/>
          <w:sz w:val="24"/>
          <w:szCs w:val="24"/>
          <w:highlight w:val="none"/>
        </w:rPr>
      </w:pPr>
      <w:r>
        <w:rPr>
          <w:rFonts w:hint="eastAsia" w:ascii="宋体" w:hAnsi="宋体" w:cs="宋体"/>
          <w:b/>
          <w:bCs/>
          <w:color w:val="auto"/>
          <w:sz w:val="24"/>
          <w:szCs w:val="24"/>
          <w:highlight w:val="none"/>
        </w:rPr>
        <w:br w:type="page"/>
      </w:r>
    </w:p>
    <w:bookmarkEnd w:id="40"/>
    <w:p>
      <w:pPr>
        <w:pStyle w:val="6"/>
        <w:spacing w:before="120"/>
        <w:ind w:left="0"/>
        <w:jc w:val="center"/>
        <w:outlineLvl w:val="0"/>
        <w:rPr>
          <w:rFonts w:hint="eastAsia" w:ascii="黑体" w:hAnsi="黑体" w:eastAsia="黑体" w:cs="黑体"/>
          <w:b/>
          <w:bCs/>
          <w:color w:val="auto"/>
          <w:highlight w:val="none"/>
          <w:lang w:val="en-US" w:eastAsia="zh-CN"/>
        </w:rPr>
      </w:pPr>
      <w:bookmarkStart w:id="56" w:name="_Toc3303"/>
      <w:bookmarkStart w:id="57" w:name="_Toc15623"/>
      <w:bookmarkStart w:id="58" w:name="_Toc10869"/>
      <w:bookmarkStart w:id="59" w:name="_Toc21919"/>
      <w:bookmarkStart w:id="60" w:name="_Toc24192"/>
      <w:r>
        <w:rPr>
          <w:rFonts w:hint="eastAsia" w:ascii="黑体" w:hAnsi="黑体" w:eastAsia="黑体" w:cs="黑体"/>
          <w:b/>
          <w:bCs/>
          <w:color w:val="auto"/>
          <w:highlight w:val="none"/>
          <w:lang w:val="en-US" w:eastAsia="zh-CN"/>
        </w:rPr>
        <w:t>第七节 会计财务报告</w:t>
      </w:r>
      <w:bookmarkEnd w:id="56"/>
      <w:bookmarkEnd w:id="57"/>
      <w:bookmarkEnd w:id="58"/>
      <w:bookmarkEnd w:id="59"/>
      <w:bookmarkEnd w:id="60"/>
    </w:p>
    <w:p>
      <w:pPr>
        <w:rPr>
          <w:color w:val="auto"/>
          <w:highlight w:val="none"/>
        </w:rPr>
      </w:pPr>
    </w:p>
    <w:p>
      <w:pPr>
        <w:pStyle w:val="41"/>
        <w:ind w:firstLine="0"/>
        <w:jc w:val="center"/>
        <w:outlineLvl w:val="0"/>
        <w:rPr>
          <w:b/>
          <w:color w:val="auto"/>
          <w:sz w:val="36"/>
          <w:highlight w:val="none"/>
        </w:rPr>
      </w:pPr>
    </w:p>
    <w:p>
      <w:pPr>
        <w:pStyle w:val="41"/>
        <w:ind w:firstLine="0"/>
        <w:jc w:val="center"/>
        <w:outlineLvl w:val="0"/>
        <w:rPr>
          <w:b/>
          <w:color w:val="auto"/>
          <w:sz w:val="36"/>
          <w:highlight w:val="none"/>
        </w:rPr>
      </w:pPr>
      <w:r>
        <w:rPr>
          <w:rFonts w:hint="eastAsia"/>
          <w:b/>
          <w:color w:val="auto"/>
          <w:sz w:val="36"/>
          <w:highlight w:val="none"/>
        </w:rPr>
        <w:t>审计报告</w:t>
      </w:r>
    </w:p>
    <w:p>
      <w:pPr>
        <w:adjustRightInd w:val="0"/>
        <w:snapToGrid w:val="0"/>
        <w:ind w:firstLine="567"/>
        <w:jc w:val="both"/>
        <w:rPr>
          <w:rFonts w:ascii="Times New Roman" w:hAnsi="Times New Roman" w:eastAsia="宋体" w:cs="Times New Roman"/>
          <w:color w:val="auto"/>
          <w:sz w:val="28"/>
          <w:highlight w:val="none"/>
        </w:rPr>
      </w:pPr>
    </w:p>
    <w:p>
      <w:pPr>
        <w:adjustRightInd w:val="0"/>
        <w:snapToGrid w:val="0"/>
        <w:ind w:firstLine="567"/>
        <w:jc w:val="right"/>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信会师报字[2025]第ZG25875号</w:t>
      </w:r>
    </w:p>
    <w:p>
      <w:pPr>
        <w:adjustRightInd w:val="0"/>
        <w:snapToGrid w:val="0"/>
        <w:ind w:firstLine="567"/>
        <w:jc w:val="both"/>
        <w:rPr>
          <w:rFonts w:ascii="Times New Roman" w:hAnsi="Times New Roman" w:eastAsia="宋体" w:cs="Times New Roman"/>
          <w:color w:val="auto"/>
          <w:sz w:val="28"/>
          <w:highlight w:val="none"/>
        </w:rPr>
      </w:pPr>
    </w:p>
    <w:p>
      <w:pPr>
        <w:adjustRightInd w:val="0"/>
        <w:snapToGrid w:val="0"/>
        <w:jc w:val="both"/>
        <w:rPr>
          <w:rFonts w:ascii="Times New Roman" w:hAnsi="Times New Roman" w:eastAsia="宋体" w:cs="Times New Roman"/>
          <w:b/>
          <w:color w:val="auto"/>
          <w:sz w:val="28"/>
          <w:highlight w:val="none"/>
        </w:rPr>
      </w:pPr>
      <w:r>
        <w:rPr>
          <w:rFonts w:hint="eastAsia" w:ascii="Times New Roman" w:hAnsi="Times New Roman" w:eastAsia="宋体" w:cs="Times New Roman"/>
          <w:b/>
          <w:color w:val="auto"/>
          <w:sz w:val="28"/>
          <w:highlight w:val="none"/>
        </w:rPr>
        <w:t>国家电投集团贵州金元股份有限公司：</w:t>
      </w:r>
    </w:p>
    <w:p>
      <w:pPr>
        <w:adjustRightInd w:val="0"/>
        <w:snapToGrid w:val="0"/>
        <w:ind w:firstLine="567"/>
        <w:jc w:val="both"/>
        <w:rPr>
          <w:rFonts w:ascii="Times New Roman" w:hAnsi="Times New Roman" w:eastAsia="宋体" w:cs="Times New Roman"/>
          <w:color w:val="auto"/>
          <w:sz w:val="28"/>
          <w:highlight w:val="none"/>
        </w:rPr>
      </w:pPr>
    </w:p>
    <w:p>
      <w:pPr>
        <w:pStyle w:val="42"/>
        <w:rPr>
          <w:rFonts w:ascii="Times New Roman" w:hAnsi="Times New Roman" w:cs="Times New Roman"/>
          <w:color w:val="auto"/>
          <w:highlight w:val="none"/>
        </w:rPr>
      </w:pPr>
      <w:r>
        <w:rPr>
          <w:rFonts w:hint="eastAsia" w:ascii="Times New Roman" w:hAnsi="Times New Roman" w:cs="Times New Roman"/>
          <w:color w:val="auto"/>
          <w:highlight w:val="none"/>
        </w:rPr>
        <w:t>审计意见</w:t>
      </w:r>
    </w:p>
    <w:p>
      <w:pPr>
        <w:adjustRightInd w:val="0"/>
        <w:snapToGrid w:val="0"/>
        <w:ind w:firstLine="567"/>
        <w:jc w:val="both"/>
        <w:rPr>
          <w:rFonts w:ascii="Times New Roman" w:hAnsi="Times New Roman" w:eastAsia="宋体" w:cs="Times New Roman"/>
          <w:color w:val="auto"/>
          <w:sz w:val="28"/>
          <w:highlight w:val="none"/>
        </w:rPr>
      </w:pPr>
    </w:p>
    <w:p>
      <w:pPr>
        <w:adjustRightInd w:val="0"/>
        <w:snapToGrid w:val="0"/>
        <w:ind w:firstLine="567"/>
        <w:jc w:val="both"/>
        <w:rPr>
          <w:rFonts w:ascii="Times New Roman" w:hAnsi="Times New Roman" w:eastAsia="宋体" w:cs="Times New Roman"/>
          <w:color w:val="auto"/>
          <w:sz w:val="28"/>
          <w:highlight w:val="none"/>
        </w:rPr>
      </w:pPr>
      <w:r>
        <w:rPr>
          <w:rFonts w:hint="eastAsia" w:ascii="Times New Roman" w:hAnsi="Times New Roman" w:eastAsia="宋体" w:cs="Times New Roman"/>
          <w:color w:val="auto"/>
          <w:sz w:val="28"/>
          <w:highlight w:val="none"/>
        </w:rPr>
        <w:t>我们审计了国家电投集团贵州金元股份有限公司（以下简称贵州金元）财务报表，包括2024年12月31日的合并及母公司资产负债表，2024年度的合并及母公司利润表、合并及母公司现金流量表、合并及母公司所有者权益变动表以及相关财务报表附注。</w:t>
      </w:r>
    </w:p>
    <w:p>
      <w:pPr>
        <w:adjustRightInd w:val="0"/>
        <w:snapToGrid w:val="0"/>
        <w:ind w:firstLine="567"/>
        <w:jc w:val="both"/>
        <w:rPr>
          <w:rFonts w:ascii="Times New Roman" w:hAnsi="Times New Roman" w:eastAsia="宋体" w:cs="Times New Roman"/>
          <w:color w:val="auto"/>
          <w:sz w:val="28"/>
          <w:highlight w:val="none"/>
        </w:rPr>
      </w:pPr>
      <w:r>
        <w:rPr>
          <w:rFonts w:hint="eastAsia" w:ascii="Times New Roman" w:hAnsi="Times New Roman" w:eastAsia="宋体" w:cs="Times New Roman"/>
          <w:color w:val="auto"/>
          <w:sz w:val="28"/>
          <w:highlight w:val="none"/>
        </w:rPr>
        <w:t>我们认为，后附的财务报表在所有重大方面按照企业会计准则的规定编制，公允反映了贵州金元2024年12月31日的合并及母公司财务状况以及2024年度的合并及母公司经营成果和现金流量。</w:t>
      </w:r>
    </w:p>
    <w:p>
      <w:pPr>
        <w:adjustRightInd w:val="0"/>
        <w:snapToGrid w:val="0"/>
        <w:ind w:firstLine="567"/>
        <w:jc w:val="both"/>
        <w:rPr>
          <w:rFonts w:ascii="Times New Roman" w:hAnsi="Times New Roman" w:eastAsia="宋体" w:cs="Times New Roman"/>
          <w:color w:val="auto"/>
          <w:sz w:val="28"/>
          <w:highlight w:val="none"/>
        </w:rPr>
      </w:pPr>
    </w:p>
    <w:p>
      <w:pPr>
        <w:pStyle w:val="42"/>
        <w:rPr>
          <w:rFonts w:ascii="Times New Roman" w:hAnsi="Times New Roman" w:cs="Times New Roman"/>
          <w:color w:val="auto"/>
          <w:highlight w:val="none"/>
        </w:rPr>
      </w:pPr>
      <w:r>
        <w:rPr>
          <w:rFonts w:hint="eastAsia" w:ascii="Times New Roman" w:hAnsi="Times New Roman" w:cs="Times New Roman"/>
          <w:color w:val="auto"/>
          <w:highlight w:val="none"/>
        </w:rPr>
        <w:t>形成审计意见的基础</w:t>
      </w:r>
    </w:p>
    <w:p>
      <w:pPr>
        <w:adjustRightInd w:val="0"/>
        <w:snapToGrid w:val="0"/>
        <w:ind w:firstLine="567"/>
        <w:jc w:val="both"/>
        <w:rPr>
          <w:rFonts w:ascii="Times New Roman" w:hAnsi="Times New Roman" w:eastAsia="宋体" w:cs="Times New Roman"/>
          <w:color w:val="auto"/>
          <w:sz w:val="28"/>
          <w:highlight w:val="none"/>
        </w:rPr>
      </w:pPr>
    </w:p>
    <w:p>
      <w:pPr>
        <w:adjustRightInd w:val="0"/>
        <w:snapToGrid w:val="0"/>
        <w:ind w:firstLine="567"/>
        <w:jc w:val="both"/>
        <w:rPr>
          <w:rFonts w:ascii="Times New Roman" w:hAnsi="Times New Roman" w:eastAsia="宋体" w:cs="Times New Roman"/>
          <w:color w:val="auto"/>
          <w:sz w:val="28"/>
          <w:highlight w:val="none"/>
        </w:rPr>
      </w:pPr>
      <w:r>
        <w:rPr>
          <w:rFonts w:hint="eastAsia" w:ascii="Times New Roman" w:hAnsi="Times New Roman" w:eastAsia="宋体" w:cs="Times New Roman"/>
          <w:color w:val="auto"/>
          <w:sz w:val="28"/>
          <w:highlight w:val="none"/>
        </w:rPr>
        <w:t>我们按照中国注册会计师审计准则的规定执行了审计工作。审计报告的</w:t>
      </w:r>
      <w:r>
        <w:rPr>
          <w:rFonts w:hint="eastAsia" w:ascii="宋体" w:hAnsi="宋体" w:eastAsia="宋体" w:cs="Times New Roman"/>
          <w:color w:val="auto"/>
          <w:sz w:val="28"/>
          <w:highlight w:val="none"/>
        </w:rPr>
        <w:t>“</w:t>
      </w:r>
      <w:r>
        <w:rPr>
          <w:rFonts w:hint="eastAsia" w:ascii="Times New Roman" w:hAnsi="Times New Roman" w:eastAsia="宋体" w:cs="Times New Roman"/>
          <w:color w:val="auto"/>
          <w:sz w:val="28"/>
          <w:highlight w:val="none"/>
        </w:rPr>
        <w:t>注册会计师对财务报表审计的责任</w:t>
      </w:r>
      <w:r>
        <w:rPr>
          <w:rFonts w:hint="eastAsia" w:ascii="宋体" w:hAnsi="宋体" w:eastAsia="宋体" w:cs="Times New Roman"/>
          <w:color w:val="auto"/>
          <w:sz w:val="28"/>
          <w:highlight w:val="none"/>
        </w:rPr>
        <w:t>”</w:t>
      </w:r>
      <w:r>
        <w:rPr>
          <w:rFonts w:hint="eastAsia" w:ascii="Times New Roman" w:hAnsi="Times New Roman" w:eastAsia="宋体" w:cs="Times New Roman"/>
          <w:color w:val="auto"/>
          <w:sz w:val="28"/>
          <w:highlight w:val="none"/>
        </w:rPr>
        <w:t>部分进一步阐述了我们在这些准则下的责任。按照中国注册会计师职业道德守则，我们独立于贵州金元，并履行了职业道德方面的其他责任。我们相信，我们获取的审计证据是充分、适当的，为发表审计意见提供了基础。</w:t>
      </w:r>
    </w:p>
    <w:p>
      <w:pPr>
        <w:adjustRightInd w:val="0"/>
        <w:snapToGrid w:val="0"/>
        <w:ind w:firstLine="567"/>
        <w:jc w:val="both"/>
        <w:rPr>
          <w:rFonts w:ascii="Times New Roman" w:hAnsi="Times New Roman" w:eastAsia="宋体" w:cs="Times New Roman"/>
          <w:color w:val="auto"/>
          <w:sz w:val="28"/>
          <w:highlight w:val="none"/>
        </w:rPr>
      </w:pPr>
    </w:p>
    <w:p>
      <w:pPr>
        <w:pStyle w:val="42"/>
        <w:rPr>
          <w:rFonts w:ascii="Times New Roman" w:hAnsi="Times New Roman" w:cs="Times New Roman"/>
          <w:color w:val="auto"/>
          <w:highlight w:val="none"/>
        </w:rPr>
      </w:pPr>
      <w:r>
        <w:rPr>
          <w:rFonts w:hint="eastAsia" w:ascii="Times New Roman" w:hAnsi="Times New Roman" w:cs="Times New Roman"/>
          <w:color w:val="auto"/>
          <w:highlight w:val="none"/>
        </w:rPr>
        <w:t>管理层和治理层对财务报表的责任</w:t>
      </w:r>
    </w:p>
    <w:p>
      <w:pPr>
        <w:adjustRightInd w:val="0"/>
        <w:snapToGrid w:val="0"/>
        <w:ind w:firstLine="567"/>
        <w:jc w:val="both"/>
        <w:rPr>
          <w:rFonts w:ascii="Times New Roman" w:hAnsi="Times New Roman" w:eastAsia="宋体" w:cs="Times New Roman"/>
          <w:color w:val="auto"/>
          <w:sz w:val="28"/>
          <w:highlight w:val="none"/>
        </w:rPr>
      </w:pPr>
    </w:p>
    <w:p>
      <w:pPr>
        <w:adjustRightInd w:val="0"/>
        <w:snapToGrid w:val="0"/>
        <w:ind w:firstLine="567"/>
        <w:jc w:val="both"/>
        <w:rPr>
          <w:rFonts w:ascii="Times New Roman" w:hAnsi="Times New Roman" w:eastAsia="宋体" w:cs="Times New Roman"/>
          <w:color w:val="auto"/>
          <w:sz w:val="28"/>
          <w:highlight w:val="none"/>
        </w:rPr>
      </w:pPr>
      <w:r>
        <w:rPr>
          <w:rFonts w:hint="eastAsia" w:ascii="Times New Roman" w:hAnsi="Times New Roman" w:eastAsia="宋体" w:cs="Times New Roman"/>
          <w:color w:val="auto"/>
          <w:sz w:val="28"/>
          <w:highlight w:val="none"/>
        </w:rPr>
        <w:t>贵州金元管理层（以下简称管理层）负责按照企业会计准则的规定编制财务报表，使其实现公允反映，并设计、执行和维护必要的内部控制，以使财务报表不存在由于舞弊或错误导致的重大错报。</w:t>
      </w:r>
    </w:p>
    <w:p>
      <w:pPr>
        <w:adjustRightInd w:val="0"/>
        <w:snapToGrid w:val="0"/>
        <w:ind w:firstLine="567"/>
        <w:jc w:val="both"/>
        <w:rPr>
          <w:rFonts w:ascii="Times New Roman" w:hAnsi="Times New Roman" w:eastAsia="宋体" w:cs="Times New Roman"/>
          <w:color w:val="auto"/>
          <w:sz w:val="28"/>
          <w:highlight w:val="none"/>
        </w:rPr>
      </w:pPr>
      <w:r>
        <w:rPr>
          <w:rFonts w:hint="eastAsia" w:ascii="Times New Roman" w:hAnsi="Times New Roman" w:eastAsia="宋体" w:cs="Times New Roman"/>
          <w:color w:val="auto"/>
          <w:sz w:val="28"/>
          <w:highlight w:val="none"/>
        </w:rPr>
        <w:t>在编制财务报表时，管理层负责评估贵州金元的持续经营能力，披露与持续经营相关的事项（如适用），并运用持续经营假设，除非计划进行清算、终止运营或别无其他现实的选择。</w:t>
      </w:r>
    </w:p>
    <w:p>
      <w:pPr>
        <w:adjustRightInd w:val="0"/>
        <w:snapToGrid w:val="0"/>
        <w:ind w:firstLine="567"/>
        <w:jc w:val="both"/>
        <w:rPr>
          <w:rFonts w:ascii="Times New Roman" w:hAnsi="Times New Roman" w:eastAsia="宋体" w:cs="Times New Roman"/>
          <w:color w:val="auto"/>
          <w:sz w:val="28"/>
          <w:highlight w:val="none"/>
        </w:rPr>
      </w:pPr>
      <w:r>
        <w:rPr>
          <w:rFonts w:hint="eastAsia" w:ascii="Times New Roman" w:hAnsi="Times New Roman" w:eastAsia="宋体" w:cs="Times New Roman"/>
          <w:color w:val="auto"/>
          <w:sz w:val="28"/>
          <w:highlight w:val="none"/>
        </w:rPr>
        <w:t>治理层负责监督贵州金元的财务报告过程。</w:t>
      </w:r>
    </w:p>
    <w:p>
      <w:pPr>
        <w:adjustRightInd w:val="0"/>
        <w:snapToGrid w:val="0"/>
        <w:ind w:firstLine="567"/>
        <w:jc w:val="both"/>
        <w:rPr>
          <w:rFonts w:ascii="Times New Roman" w:hAnsi="Times New Roman" w:eastAsia="宋体" w:cs="Times New Roman"/>
          <w:color w:val="auto"/>
          <w:sz w:val="28"/>
          <w:highlight w:val="none"/>
        </w:rPr>
      </w:pPr>
    </w:p>
    <w:p>
      <w:pPr>
        <w:pStyle w:val="42"/>
        <w:rPr>
          <w:rFonts w:ascii="Times New Roman" w:hAnsi="Times New Roman" w:cs="Times New Roman"/>
          <w:color w:val="auto"/>
          <w:highlight w:val="none"/>
        </w:rPr>
      </w:pPr>
      <w:r>
        <w:rPr>
          <w:rFonts w:hint="eastAsia" w:ascii="Times New Roman" w:hAnsi="Times New Roman" w:cs="Times New Roman"/>
          <w:color w:val="auto"/>
          <w:highlight w:val="none"/>
        </w:rPr>
        <w:t>注册会计师对财务报表审计的责任</w:t>
      </w:r>
    </w:p>
    <w:p>
      <w:pPr>
        <w:adjustRightInd w:val="0"/>
        <w:snapToGrid w:val="0"/>
        <w:ind w:firstLine="567"/>
        <w:jc w:val="both"/>
        <w:rPr>
          <w:rFonts w:ascii="Times New Roman" w:hAnsi="Times New Roman" w:eastAsia="宋体" w:cs="Times New Roman"/>
          <w:color w:val="auto"/>
          <w:sz w:val="28"/>
          <w:highlight w:val="none"/>
        </w:rPr>
      </w:pPr>
    </w:p>
    <w:p>
      <w:pPr>
        <w:adjustRightInd w:val="0"/>
        <w:snapToGrid w:val="0"/>
        <w:ind w:firstLine="567"/>
        <w:jc w:val="both"/>
        <w:rPr>
          <w:rFonts w:ascii="Times New Roman" w:hAnsi="Times New Roman" w:eastAsia="宋体" w:cs="Times New Roman"/>
          <w:color w:val="auto"/>
          <w:sz w:val="28"/>
          <w:highlight w:val="none"/>
        </w:rPr>
      </w:pPr>
      <w:r>
        <w:rPr>
          <w:rFonts w:hint="eastAsia" w:ascii="Times New Roman" w:hAnsi="Times New Roman" w:eastAsia="宋体" w:cs="Times New Roman"/>
          <w:color w:val="auto"/>
          <w:sz w:val="28"/>
          <w:highlight w:val="none"/>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pPr>
        <w:adjustRightInd w:val="0"/>
        <w:snapToGrid w:val="0"/>
        <w:ind w:firstLine="567"/>
        <w:jc w:val="both"/>
        <w:rPr>
          <w:rFonts w:ascii="Times New Roman" w:hAnsi="Times New Roman" w:eastAsia="宋体" w:cs="Times New Roman"/>
          <w:color w:val="auto"/>
          <w:sz w:val="28"/>
          <w:highlight w:val="none"/>
        </w:rPr>
      </w:pPr>
      <w:r>
        <w:rPr>
          <w:rFonts w:hint="eastAsia" w:ascii="Times New Roman" w:hAnsi="Times New Roman" w:eastAsia="宋体" w:cs="Times New Roman"/>
          <w:color w:val="auto"/>
          <w:sz w:val="28"/>
          <w:highlight w:val="none"/>
        </w:rPr>
        <w:t>在按照审计准则执行审计工作的过程中，我们运用职业判断，并保持职业怀疑。同时，我们也执行以下工作：</w:t>
      </w:r>
    </w:p>
    <w:p>
      <w:pPr>
        <w:adjustRightInd w:val="0"/>
        <w:snapToGrid w:val="0"/>
        <w:ind w:firstLine="567"/>
        <w:jc w:val="both"/>
        <w:rPr>
          <w:rFonts w:ascii="Times New Roman" w:hAnsi="Times New Roman" w:eastAsia="宋体" w:cs="Times New Roman"/>
          <w:color w:val="auto"/>
          <w:sz w:val="28"/>
          <w:highlight w:val="none"/>
        </w:rPr>
      </w:pPr>
      <w:r>
        <w:rPr>
          <w:rFonts w:hint="eastAsia" w:ascii="Times New Roman" w:hAnsi="Times New Roman" w:eastAsia="宋体" w:cs="Times New Roman"/>
          <w:color w:val="auto"/>
          <w:sz w:val="28"/>
          <w:highlight w:val="none"/>
        </w:rPr>
        <w:t>（一）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pPr>
        <w:adjustRightInd w:val="0"/>
        <w:snapToGrid w:val="0"/>
        <w:ind w:firstLine="567"/>
        <w:jc w:val="both"/>
        <w:rPr>
          <w:rFonts w:ascii="Times New Roman" w:hAnsi="Times New Roman" w:eastAsia="宋体" w:cs="Times New Roman"/>
          <w:color w:val="auto"/>
          <w:sz w:val="28"/>
          <w:highlight w:val="none"/>
        </w:rPr>
      </w:pPr>
      <w:r>
        <w:rPr>
          <w:rFonts w:hint="eastAsia" w:ascii="Times New Roman" w:hAnsi="Times New Roman" w:eastAsia="宋体" w:cs="Times New Roman"/>
          <w:color w:val="auto"/>
          <w:sz w:val="28"/>
          <w:highlight w:val="none"/>
        </w:rPr>
        <w:t>（二）了解与审计相关的内部控制，以设计恰当的审计程序，但目的并非对内部控制的有效性发表意见。</w:t>
      </w:r>
    </w:p>
    <w:p>
      <w:pPr>
        <w:adjustRightInd w:val="0"/>
        <w:snapToGrid w:val="0"/>
        <w:ind w:firstLine="567"/>
        <w:jc w:val="both"/>
        <w:rPr>
          <w:rFonts w:ascii="Times New Roman" w:hAnsi="Times New Roman" w:eastAsia="宋体" w:cs="Times New Roman"/>
          <w:color w:val="auto"/>
          <w:sz w:val="28"/>
          <w:highlight w:val="none"/>
        </w:rPr>
      </w:pPr>
      <w:r>
        <w:rPr>
          <w:rFonts w:hint="eastAsia" w:ascii="Times New Roman" w:hAnsi="Times New Roman" w:eastAsia="宋体" w:cs="Times New Roman"/>
          <w:color w:val="auto"/>
          <w:sz w:val="28"/>
          <w:highlight w:val="none"/>
        </w:rPr>
        <w:t>（三）评价管理层选用会计政策的恰当性和作出会计估计及相关披露的合理性。</w:t>
      </w:r>
    </w:p>
    <w:p>
      <w:pPr>
        <w:adjustRightInd w:val="0"/>
        <w:snapToGrid w:val="0"/>
        <w:ind w:firstLine="567"/>
        <w:jc w:val="both"/>
        <w:rPr>
          <w:rFonts w:ascii="Times New Roman" w:hAnsi="Times New Roman" w:eastAsia="宋体" w:cs="Times New Roman"/>
          <w:color w:val="auto"/>
          <w:sz w:val="28"/>
          <w:highlight w:val="none"/>
        </w:rPr>
      </w:pPr>
      <w:r>
        <w:rPr>
          <w:rFonts w:hint="eastAsia" w:ascii="Times New Roman" w:hAnsi="Times New Roman" w:eastAsia="宋体" w:cs="Times New Roman"/>
          <w:color w:val="auto"/>
          <w:sz w:val="28"/>
          <w:highlight w:val="none"/>
        </w:rPr>
        <w:t>（四）对管理层使用持续经营假设的恰当性得出结论。同时，根据获取的审计证据，就可能导致对贵州金元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贵州金元不能持续经营。</w:t>
      </w:r>
    </w:p>
    <w:p>
      <w:pPr>
        <w:adjustRightInd w:val="0"/>
        <w:snapToGrid w:val="0"/>
        <w:ind w:firstLine="567"/>
        <w:jc w:val="both"/>
        <w:rPr>
          <w:rFonts w:ascii="Times New Roman" w:hAnsi="Times New Roman" w:eastAsia="宋体" w:cs="Times New Roman"/>
          <w:color w:val="auto"/>
          <w:sz w:val="28"/>
          <w:highlight w:val="none"/>
        </w:rPr>
      </w:pPr>
      <w:r>
        <w:rPr>
          <w:rFonts w:hint="eastAsia" w:ascii="Times New Roman" w:hAnsi="Times New Roman" w:eastAsia="宋体" w:cs="Times New Roman"/>
          <w:color w:val="auto"/>
          <w:sz w:val="28"/>
          <w:highlight w:val="none"/>
        </w:rPr>
        <w:t>（五）评价财务报表的总体列报（包括披露）、结构和内容，并评价财务报表是否公允反映相关交易和事项。</w:t>
      </w:r>
    </w:p>
    <w:p>
      <w:pPr>
        <w:adjustRightInd w:val="0"/>
        <w:snapToGrid w:val="0"/>
        <w:ind w:firstLine="567"/>
        <w:jc w:val="both"/>
        <w:rPr>
          <w:rFonts w:ascii="Times New Roman" w:hAnsi="Times New Roman" w:eastAsia="宋体" w:cs="Times New Roman"/>
          <w:color w:val="auto"/>
          <w:sz w:val="28"/>
          <w:highlight w:val="none"/>
        </w:rPr>
      </w:pPr>
      <w:r>
        <w:rPr>
          <w:rFonts w:hint="eastAsia" w:ascii="Times New Roman" w:hAnsi="Times New Roman" w:eastAsia="宋体" w:cs="Times New Roman"/>
          <w:color w:val="auto"/>
          <w:sz w:val="28"/>
          <w:highlight w:val="none"/>
        </w:rPr>
        <w:t>（六）就贵州金元中实体或业务活动的财务信息获取充分、适当的审计证据，以对合并财务报表发表审计意见。我们负责指导、监督和执行集团审计，并对审计意见承担全部责任。</w:t>
      </w:r>
    </w:p>
    <w:p>
      <w:pPr>
        <w:adjustRightInd w:val="0"/>
        <w:snapToGrid w:val="0"/>
        <w:ind w:firstLine="567"/>
        <w:jc w:val="both"/>
        <w:rPr>
          <w:rFonts w:ascii="Times New Roman" w:hAnsi="Times New Roman" w:eastAsia="宋体" w:cs="Times New Roman"/>
          <w:color w:val="auto"/>
          <w:sz w:val="28"/>
          <w:highlight w:val="none"/>
        </w:rPr>
      </w:pPr>
    </w:p>
    <w:p>
      <w:pPr>
        <w:adjustRightInd w:val="0"/>
        <w:snapToGrid w:val="0"/>
        <w:ind w:firstLine="567"/>
        <w:jc w:val="both"/>
        <w:rPr>
          <w:rFonts w:ascii="Times New Roman" w:hAnsi="Times New Roman" w:eastAsia="宋体" w:cs="Times New Roman"/>
          <w:color w:val="auto"/>
          <w:sz w:val="28"/>
          <w:highlight w:val="none"/>
        </w:rPr>
      </w:pPr>
      <w:r>
        <w:rPr>
          <w:rFonts w:hint="eastAsia" w:ascii="Times New Roman" w:hAnsi="Times New Roman" w:eastAsia="宋体" w:cs="Times New Roman"/>
          <w:color w:val="auto"/>
          <w:sz w:val="28"/>
          <w:highlight w:val="none"/>
        </w:rPr>
        <w:t>我们与治理层就计划的审计范围、时间安排和重大审计发现等事项进行沟通，包括沟通我们在审计中识别出的值得关注的内部控制缺陷。</w:t>
      </w:r>
    </w:p>
    <w:p>
      <w:pPr>
        <w:adjustRightInd w:val="0"/>
        <w:snapToGrid w:val="0"/>
        <w:ind w:firstLine="567"/>
        <w:jc w:val="both"/>
        <w:rPr>
          <w:rFonts w:ascii="Times New Roman" w:hAnsi="Times New Roman" w:eastAsia="宋体" w:cs="Times New Roman"/>
          <w:color w:val="auto"/>
          <w:sz w:val="28"/>
          <w:highlight w:val="none"/>
        </w:rPr>
      </w:pPr>
    </w:p>
    <w:p>
      <w:pPr>
        <w:adjustRightInd w:val="0"/>
        <w:snapToGrid w:val="0"/>
        <w:ind w:firstLine="567"/>
        <w:jc w:val="both"/>
        <w:rPr>
          <w:rFonts w:ascii="Times New Roman" w:hAnsi="Times New Roman" w:eastAsia="宋体" w:cs="Times New Roman"/>
          <w:color w:val="auto"/>
          <w:sz w:val="28"/>
          <w:highlight w:val="none"/>
        </w:rPr>
      </w:pPr>
    </w:p>
    <w:p>
      <w:pPr>
        <w:adjustRightInd w:val="0"/>
        <w:snapToGrid w:val="0"/>
        <w:ind w:firstLine="567"/>
        <w:jc w:val="both"/>
        <w:rPr>
          <w:rFonts w:hint="eastAsia" w:ascii="Times New Roman" w:hAnsi="Times New Roman" w:eastAsia="宋体" w:cs="Times New Roman"/>
          <w:color w:val="auto"/>
          <w:sz w:val="28"/>
          <w:highlight w:val="none"/>
        </w:rPr>
      </w:pPr>
    </w:p>
    <w:p>
      <w:pPr>
        <w:adjustRightInd w:val="0"/>
        <w:snapToGrid w:val="0"/>
        <w:ind w:firstLine="567"/>
        <w:jc w:val="both"/>
        <w:rPr>
          <w:rFonts w:ascii="Times New Roman" w:hAnsi="Times New Roman" w:eastAsia="宋体" w:cs="Times New Roman"/>
          <w:color w:val="auto"/>
          <w:sz w:val="28"/>
          <w:highlight w:val="none"/>
        </w:rPr>
      </w:pPr>
    </w:p>
    <w:p>
      <w:pPr>
        <w:adjustRightInd w:val="0"/>
        <w:snapToGrid w:val="0"/>
        <w:ind w:firstLine="567"/>
        <w:jc w:val="both"/>
        <w:rPr>
          <w:rFonts w:hint="eastAsia" w:ascii="Times New Roman" w:hAnsi="Times New Roman" w:eastAsia="宋体" w:cs="Times New Roman"/>
          <w:color w:val="auto"/>
          <w:sz w:val="28"/>
          <w:highlight w:val="none"/>
        </w:rPr>
      </w:pPr>
    </w:p>
    <w:p>
      <w:pPr>
        <w:adjustRightInd w:val="0"/>
        <w:snapToGrid w:val="0"/>
        <w:ind w:firstLine="567"/>
        <w:jc w:val="both"/>
        <w:rPr>
          <w:rFonts w:ascii="Times New Roman" w:hAnsi="Times New Roman" w:eastAsia="宋体" w:cs="Times New Roman"/>
          <w:color w:val="auto"/>
          <w:sz w:val="28"/>
          <w:highlight w:val="none"/>
        </w:rPr>
      </w:pPr>
    </w:p>
    <w:p>
      <w:pPr>
        <w:adjustRightInd w:val="0"/>
        <w:snapToGrid w:val="0"/>
        <w:ind w:firstLine="567"/>
        <w:jc w:val="both"/>
        <w:rPr>
          <w:rFonts w:ascii="Times New Roman" w:hAnsi="Times New Roman" w:eastAsia="宋体" w:cs="Times New Roman"/>
          <w:color w:val="auto"/>
          <w:sz w:val="28"/>
          <w:highlight w:val="none"/>
        </w:rPr>
      </w:pPr>
    </w:p>
    <w:p>
      <w:pPr>
        <w:adjustRightInd w:val="0"/>
        <w:snapToGrid w:val="0"/>
        <w:ind w:firstLine="275" w:firstLineChars="98"/>
        <w:jc w:val="both"/>
        <w:rPr>
          <w:rFonts w:ascii="Times New Roman" w:hAnsi="Times New Roman" w:eastAsia="宋体" w:cs="Times New Roman"/>
          <w:b/>
          <w:color w:val="auto"/>
          <w:sz w:val="28"/>
          <w:highlight w:val="none"/>
        </w:rPr>
      </w:pPr>
      <w:r>
        <w:rPr>
          <w:rFonts w:hint="eastAsia" w:ascii="Times New Roman" w:hAnsi="Times New Roman" w:eastAsia="宋体" w:cs="Times New Roman"/>
          <w:b/>
          <w:color w:val="auto"/>
          <w:sz w:val="28"/>
          <w:highlight w:val="none"/>
        </w:rPr>
        <w:t>立信会计师事务所                  中国注册会计师：</w:t>
      </w:r>
    </w:p>
    <w:p>
      <w:pPr>
        <w:adjustRightInd w:val="0"/>
        <w:snapToGrid w:val="0"/>
        <w:ind w:firstLine="275" w:firstLineChars="98"/>
        <w:jc w:val="both"/>
        <w:rPr>
          <w:rFonts w:ascii="Times New Roman" w:hAnsi="Times New Roman" w:eastAsia="宋体" w:cs="Times New Roman"/>
          <w:color w:val="auto"/>
          <w:sz w:val="28"/>
          <w:highlight w:val="none"/>
        </w:rPr>
      </w:pPr>
      <w:r>
        <w:rPr>
          <w:rFonts w:hint="eastAsia" w:ascii="Times New Roman" w:hAnsi="Times New Roman" w:eastAsia="宋体" w:cs="Times New Roman"/>
          <w:b/>
          <w:color w:val="auto"/>
          <w:sz w:val="28"/>
          <w:highlight w:val="none"/>
        </w:rPr>
        <w:t>（特殊普通合伙）</w:t>
      </w:r>
    </w:p>
    <w:p>
      <w:pPr>
        <w:adjustRightInd w:val="0"/>
        <w:snapToGrid w:val="0"/>
        <w:ind w:firstLine="274" w:firstLineChars="98"/>
        <w:jc w:val="both"/>
        <w:rPr>
          <w:rFonts w:ascii="Times New Roman" w:hAnsi="Times New Roman" w:eastAsia="宋体" w:cs="Times New Roman"/>
          <w:color w:val="auto"/>
          <w:sz w:val="28"/>
          <w:highlight w:val="none"/>
        </w:rPr>
      </w:pPr>
    </w:p>
    <w:p>
      <w:pPr>
        <w:adjustRightInd w:val="0"/>
        <w:snapToGrid w:val="0"/>
        <w:ind w:firstLine="274" w:firstLineChars="98"/>
        <w:jc w:val="both"/>
        <w:rPr>
          <w:rFonts w:hint="eastAsia" w:ascii="Times New Roman" w:hAnsi="Times New Roman" w:eastAsia="宋体" w:cs="Times New Roman"/>
          <w:color w:val="auto"/>
          <w:sz w:val="28"/>
          <w:highlight w:val="none"/>
        </w:rPr>
      </w:pPr>
    </w:p>
    <w:p>
      <w:pPr>
        <w:adjustRightInd w:val="0"/>
        <w:snapToGrid w:val="0"/>
        <w:ind w:firstLine="274" w:firstLineChars="98"/>
        <w:jc w:val="both"/>
        <w:rPr>
          <w:rFonts w:hint="eastAsia" w:ascii="Times New Roman" w:hAnsi="Times New Roman" w:eastAsia="宋体" w:cs="Times New Roman"/>
          <w:color w:val="auto"/>
          <w:sz w:val="28"/>
          <w:highlight w:val="none"/>
        </w:rPr>
      </w:pPr>
    </w:p>
    <w:p>
      <w:pPr>
        <w:adjustRightInd w:val="0"/>
        <w:snapToGrid w:val="0"/>
        <w:ind w:firstLine="274" w:firstLineChars="98"/>
        <w:jc w:val="both"/>
        <w:rPr>
          <w:rFonts w:ascii="Times New Roman" w:hAnsi="Times New Roman" w:eastAsia="宋体" w:cs="Times New Roman"/>
          <w:color w:val="auto"/>
          <w:sz w:val="28"/>
          <w:highlight w:val="none"/>
        </w:rPr>
      </w:pPr>
    </w:p>
    <w:p>
      <w:pPr>
        <w:adjustRightInd w:val="0"/>
        <w:snapToGrid w:val="0"/>
        <w:ind w:firstLine="275" w:firstLineChars="98"/>
        <w:jc w:val="both"/>
        <w:rPr>
          <w:rFonts w:ascii="Times New Roman" w:hAnsi="Times New Roman" w:eastAsia="宋体" w:cs="Times New Roman"/>
          <w:b/>
          <w:color w:val="auto"/>
          <w:sz w:val="28"/>
          <w:highlight w:val="none"/>
        </w:rPr>
      </w:pPr>
      <w:r>
        <w:rPr>
          <w:rFonts w:hint="eastAsia" w:ascii="Times New Roman" w:hAnsi="Times New Roman" w:eastAsia="宋体" w:cs="Times New Roman"/>
          <w:b/>
          <w:color w:val="auto"/>
          <w:sz w:val="28"/>
          <w:highlight w:val="none"/>
        </w:rPr>
        <w:t xml:space="preserve">                                  中国注册会计师：</w:t>
      </w:r>
    </w:p>
    <w:p>
      <w:pPr>
        <w:adjustRightInd w:val="0"/>
        <w:snapToGrid w:val="0"/>
        <w:ind w:firstLine="274" w:firstLineChars="98"/>
        <w:jc w:val="both"/>
        <w:rPr>
          <w:rFonts w:ascii="Times New Roman" w:hAnsi="Times New Roman" w:eastAsia="宋体" w:cs="Times New Roman"/>
          <w:color w:val="auto"/>
          <w:sz w:val="28"/>
          <w:highlight w:val="none"/>
        </w:rPr>
      </w:pPr>
    </w:p>
    <w:p>
      <w:pPr>
        <w:adjustRightInd w:val="0"/>
        <w:snapToGrid w:val="0"/>
        <w:ind w:firstLine="274" w:firstLineChars="98"/>
        <w:jc w:val="both"/>
        <w:rPr>
          <w:rFonts w:hint="eastAsia" w:ascii="Times New Roman" w:hAnsi="Times New Roman" w:eastAsia="宋体" w:cs="Times New Roman"/>
          <w:color w:val="auto"/>
          <w:sz w:val="28"/>
          <w:highlight w:val="none"/>
        </w:rPr>
      </w:pPr>
    </w:p>
    <w:p>
      <w:pPr>
        <w:adjustRightInd w:val="0"/>
        <w:snapToGrid w:val="0"/>
        <w:ind w:firstLine="274" w:firstLineChars="98"/>
        <w:jc w:val="both"/>
        <w:rPr>
          <w:rFonts w:hint="eastAsia" w:ascii="Times New Roman" w:hAnsi="Times New Roman" w:eastAsia="宋体" w:cs="Times New Roman"/>
          <w:color w:val="auto"/>
          <w:sz w:val="28"/>
          <w:highlight w:val="none"/>
        </w:rPr>
      </w:pPr>
    </w:p>
    <w:p>
      <w:pPr>
        <w:adjustRightInd w:val="0"/>
        <w:snapToGrid w:val="0"/>
        <w:ind w:firstLine="274" w:firstLineChars="98"/>
        <w:jc w:val="both"/>
        <w:rPr>
          <w:rFonts w:ascii="Times New Roman" w:hAnsi="Times New Roman" w:eastAsia="宋体" w:cs="Times New Roman"/>
          <w:color w:val="auto"/>
          <w:sz w:val="28"/>
          <w:highlight w:val="none"/>
        </w:rPr>
      </w:pPr>
    </w:p>
    <w:p>
      <w:pPr>
        <w:adjustRightInd w:val="0"/>
        <w:snapToGrid w:val="0"/>
        <w:ind w:firstLine="554" w:firstLineChars="197"/>
        <w:jc w:val="both"/>
        <w:rPr>
          <w:color w:val="auto"/>
          <w:highlight w:val="none"/>
        </w:rPr>
      </w:pPr>
      <w:r>
        <w:rPr>
          <w:rFonts w:hint="eastAsia" w:ascii="Times New Roman" w:hAnsi="Times New Roman" w:eastAsia="宋体" w:cs="Times New Roman"/>
          <w:b/>
          <w:color w:val="auto"/>
          <w:sz w:val="28"/>
          <w:highlight w:val="none"/>
        </w:rPr>
        <w:t>中国•上海                       2025年4月25日</w:t>
      </w:r>
    </w:p>
    <w:p>
      <w:pPr>
        <w:pStyle w:val="41"/>
        <w:rPr>
          <w:color w:val="auto"/>
          <w:highlight w:val="none"/>
        </w:rPr>
      </w:pPr>
    </w:p>
    <w:p>
      <w:pPr>
        <w:pStyle w:val="41"/>
        <w:rPr>
          <w:color w:val="auto"/>
          <w:highlight w:val="none"/>
        </w:rPr>
        <w:sectPr>
          <w:headerReference r:id="rId13" w:type="first"/>
          <w:footerReference r:id="rId16" w:type="first"/>
          <w:headerReference r:id="rId11" w:type="default"/>
          <w:footerReference r:id="rId14" w:type="default"/>
          <w:headerReference r:id="rId12" w:type="even"/>
          <w:footerReference r:id="rId15" w:type="even"/>
          <w:pgSz w:w="11907" w:h="16839"/>
          <w:pgMar w:top="2268" w:right="1440" w:bottom="1797" w:left="1440" w:header="680" w:footer="992" w:gutter="0"/>
          <w:pgNumType w:start="25"/>
          <w:cols w:space="425" w:num="1"/>
          <w:docGrid w:linePitch="398" w:charSpace="0"/>
        </w:sectPr>
      </w:pPr>
    </w:p>
    <w:p>
      <w:pPr>
        <w:adjustRightInd w:val="0"/>
        <w:snapToGrid w:val="0"/>
        <w:spacing w:line="200" w:lineRule="atLeast"/>
        <w:jc w:val="center"/>
        <w:rPr>
          <w:rFonts w:ascii="Times New Roman" w:hAnsi="Times New Roman" w:cs="Times New Roman"/>
          <w:b/>
          <w:color w:val="auto"/>
          <w:sz w:val="18"/>
          <w:szCs w:val="18"/>
          <w:highlight w:val="none"/>
        </w:rPr>
      </w:pPr>
      <w:r>
        <w:rPr>
          <w:rFonts w:ascii="Times New Roman" w:hAnsi="Times New Roman" w:cs="Times New Roman"/>
          <w:b/>
          <w:color w:val="auto"/>
          <w:sz w:val="18"/>
          <w:szCs w:val="18"/>
          <w:highlight w:val="none"/>
        </w:rPr>
        <w:fldChar w:fldCharType="begin"/>
      </w:r>
      <w:r>
        <w:rPr>
          <w:rFonts w:ascii="Times New Roman" w:hAnsi="Times New Roman" w:cs="Times New Roman"/>
          <w:b/>
          <w:color w:val="auto"/>
          <w:sz w:val="18"/>
          <w:szCs w:val="18"/>
          <w:highlight w:val="none"/>
        </w:rPr>
        <w:instrText xml:space="preserve"> DOCVARIABLE  基本信息_企业名称  \* MERGEFORMAT </w:instrText>
      </w:r>
      <w:r>
        <w:rPr>
          <w:rFonts w:ascii="Times New Roman" w:hAnsi="Times New Roman" w:cs="Times New Roman"/>
          <w:b/>
          <w:color w:val="auto"/>
          <w:sz w:val="18"/>
          <w:szCs w:val="18"/>
          <w:highlight w:val="none"/>
        </w:rPr>
        <w:fldChar w:fldCharType="separate"/>
      </w:r>
      <w:r>
        <w:rPr>
          <w:rFonts w:hint="eastAsia" w:ascii="Times New Roman" w:hAnsi="Times New Roman" w:cs="Times New Roman"/>
          <w:b/>
          <w:color w:val="auto"/>
          <w:sz w:val="18"/>
          <w:szCs w:val="18"/>
          <w:highlight w:val="none"/>
        </w:rPr>
        <w:t>国家电投集团贵州金元股份有限公司</w:t>
      </w:r>
      <w:r>
        <w:rPr>
          <w:rFonts w:ascii="Times New Roman" w:hAnsi="Times New Roman" w:cs="Times New Roman"/>
          <w:b/>
          <w:color w:val="auto"/>
          <w:sz w:val="18"/>
          <w:szCs w:val="18"/>
          <w:highlight w:val="none"/>
        </w:rPr>
        <w:fldChar w:fldCharType="end"/>
      </w:r>
    </w:p>
    <w:p>
      <w:pPr>
        <w:autoSpaceDE w:val="0"/>
        <w:autoSpaceDN w:val="0"/>
        <w:adjustRightInd w:val="0"/>
        <w:snapToGrid w:val="0"/>
        <w:spacing w:line="200" w:lineRule="atLeast"/>
        <w:jc w:val="center"/>
        <w:textAlignment w:val="bottom"/>
        <w:outlineLvl w:val="0"/>
        <w:rPr>
          <w:rFonts w:ascii="Times New Roman" w:hAnsi="Times New Roman" w:cs="Times New Roman"/>
          <w:b/>
          <w:bCs/>
          <w:snapToGrid w:val="0"/>
          <w:color w:val="auto"/>
          <w:sz w:val="18"/>
          <w:szCs w:val="18"/>
          <w:highlight w:val="none"/>
        </w:rPr>
      </w:pPr>
      <w:r>
        <w:rPr>
          <w:rFonts w:hint="eastAsia" w:ascii="Times New Roman" w:hAnsi="Times New Roman" w:cs="Times New Roman"/>
          <w:b/>
          <w:bCs/>
          <w:snapToGrid w:val="0"/>
          <w:color w:val="auto"/>
          <w:sz w:val="18"/>
          <w:szCs w:val="18"/>
          <w:highlight w:val="none"/>
        </w:rPr>
        <w:t>合并</w:t>
      </w:r>
      <w:r>
        <w:rPr>
          <w:rFonts w:ascii="Times New Roman" w:hAnsi="Times New Roman" w:cs="Times New Roman"/>
          <w:b/>
          <w:bCs/>
          <w:snapToGrid w:val="0"/>
          <w:color w:val="auto"/>
          <w:sz w:val="18"/>
          <w:szCs w:val="18"/>
          <w:highlight w:val="none"/>
        </w:rPr>
        <w:t>资产负债表</w:t>
      </w:r>
    </w:p>
    <w:p>
      <w:pPr>
        <w:autoSpaceDE w:val="0"/>
        <w:autoSpaceDN w:val="0"/>
        <w:adjustRightInd w:val="0"/>
        <w:snapToGrid w:val="0"/>
        <w:spacing w:line="200" w:lineRule="atLeast"/>
        <w:jc w:val="center"/>
        <w:textAlignment w:val="bottom"/>
        <w:rPr>
          <w:rFonts w:ascii="Times New Roman" w:hAnsi="Times New Roman" w:cs="Times New Roman"/>
          <w:b/>
          <w:bCs/>
          <w:snapToGrid w:val="0"/>
          <w:color w:val="auto"/>
          <w:sz w:val="18"/>
          <w:szCs w:val="18"/>
          <w:highlight w:val="none"/>
        </w:rPr>
      </w:pPr>
      <w:r>
        <w:rPr>
          <w:rFonts w:ascii="Times New Roman" w:hAnsi="Times New Roman" w:cs="Times New Roman"/>
          <w:b/>
          <w:bCs/>
          <w:snapToGrid w:val="0"/>
          <w:color w:val="auto"/>
          <w:sz w:val="18"/>
          <w:szCs w:val="18"/>
          <w:highlight w:val="none"/>
        </w:rPr>
        <w:fldChar w:fldCharType="begin"/>
      </w:r>
      <w:r>
        <w:rPr>
          <w:rFonts w:ascii="Times New Roman" w:hAnsi="Times New Roman" w:cs="Times New Roman"/>
          <w:b/>
          <w:bCs/>
          <w:snapToGrid w:val="0"/>
          <w:color w:val="auto"/>
          <w:sz w:val="18"/>
          <w:szCs w:val="18"/>
          <w:highlight w:val="none"/>
        </w:rPr>
        <w:instrText xml:space="preserve"> DOCVARIABLE  基本信息_资产负债表日  \* MERGEFORMAT </w:instrText>
      </w:r>
      <w:r>
        <w:rPr>
          <w:rFonts w:ascii="Times New Roman" w:hAnsi="Times New Roman" w:cs="Times New Roman"/>
          <w:b/>
          <w:bCs/>
          <w:snapToGrid w:val="0"/>
          <w:color w:val="auto"/>
          <w:sz w:val="18"/>
          <w:szCs w:val="18"/>
          <w:highlight w:val="none"/>
        </w:rPr>
        <w:fldChar w:fldCharType="separate"/>
      </w:r>
      <w:r>
        <w:rPr>
          <w:rFonts w:hint="eastAsia" w:ascii="Times New Roman" w:hAnsi="Times New Roman" w:cs="Times New Roman"/>
          <w:b/>
          <w:bCs/>
          <w:snapToGrid w:val="0"/>
          <w:color w:val="auto"/>
          <w:sz w:val="18"/>
          <w:szCs w:val="18"/>
          <w:highlight w:val="none"/>
        </w:rPr>
        <w:t>2024年12月31日</w:t>
      </w:r>
      <w:r>
        <w:rPr>
          <w:rFonts w:ascii="Times New Roman" w:hAnsi="Times New Roman" w:cs="Times New Roman"/>
          <w:b/>
          <w:bCs/>
          <w:snapToGrid w:val="0"/>
          <w:color w:val="auto"/>
          <w:sz w:val="18"/>
          <w:szCs w:val="18"/>
          <w:highlight w:val="none"/>
        </w:rPr>
        <w:fldChar w:fldCharType="end"/>
      </w:r>
    </w:p>
    <w:p>
      <w:pPr>
        <w:adjustRightInd w:val="0"/>
        <w:snapToGrid w:val="0"/>
        <w:spacing w:after="120" w:afterLines="50" w:line="200" w:lineRule="atLeast"/>
        <w:jc w:val="center"/>
        <w:rPr>
          <w:rFonts w:ascii="Times New Roman" w:hAnsi="Times New Roman" w:cs="Times New Roman"/>
          <w:b/>
          <w:bCs/>
          <w:snapToGrid w:val="0"/>
          <w:color w:val="auto"/>
          <w:highlight w:val="none"/>
        </w:rPr>
      </w:pPr>
      <w:r>
        <w:rPr>
          <w:rFonts w:ascii="Times New Roman" w:hAnsi="Times New Roman" w:cs="Times New Roman"/>
          <w:b/>
          <w:bCs/>
          <w:snapToGrid w:val="0"/>
          <w:color w:val="auto"/>
          <w:sz w:val="18"/>
          <w:szCs w:val="18"/>
          <w:highlight w:val="none"/>
        </w:rPr>
        <w:t>（除特别注明外，金额单位均为人民币元）</w:t>
      </w:r>
      <w:r>
        <w:rPr>
          <w:rFonts w:ascii="Times New Roman" w:hAnsi="Times New Roman" w:cs="Times New Roman"/>
          <w:color w:val="auto"/>
          <w:highlight w:val="none"/>
        </w:rPr>
        <w:fldChar w:fldCharType="begin"/>
      </w:r>
      <w:r>
        <w:rPr>
          <w:rFonts w:ascii="Times New Roman" w:hAnsi="Times New Roman" w:cs="Times New Roman"/>
          <w:color w:val="auto"/>
          <w:highlight w:val="none"/>
        </w:rPr>
        <w:instrText xml:space="preserve"> LINK Excel.Sheet.12 E:\\雍\\附注排版\\2014年年报格式\\附注过渡表20150130V0910.xlsx 资合并!合并资产 \f 4 \h \* MERGEFORMAT </w:instrText>
      </w:r>
      <w:r>
        <w:rPr>
          <w:rFonts w:ascii="Times New Roman" w:hAnsi="Times New Roman" w:cs="Times New Roman"/>
          <w:color w:val="auto"/>
          <w:highlight w:val="none"/>
        </w:rPr>
        <w:fldChar w:fldCharType="separate"/>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12"/>
        <w:gridCol w:w="1325"/>
        <w:gridCol w:w="1660"/>
        <w:gridCol w:w="1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808"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项目</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附注</w:t>
            </w:r>
          </w:p>
        </w:tc>
        <w:tc>
          <w:tcPr>
            <w:tcW w:w="1616"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期末余额</w:t>
            </w:r>
          </w:p>
        </w:tc>
        <w:tc>
          <w:tcPr>
            <w:tcW w:w="1589"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期初余额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流动资产：</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rPr>
                <w:rFonts w:ascii="Times New Roman" w:hAnsi="Times New Roman" w:cs="Times New Roman"/>
                <w:color w:val="auto"/>
                <w:sz w:val="15"/>
                <w:szCs w:val="15"/>
                <w:highlight w:val="none"/>
              </w:rPr>
            </w:pPr>
          </w:p>
        </w:tc>
        <w:tc>
          <w:tcPr>
            <w:tcW w:w="1589" w:type="dxa"/>
            <w:vAlign w:val="center"/>
          </w:tcPr>
          <w:p>
            <w:pPr>
              <w:snapToGrid w:val="0"/>
              <w:spacing w:line="200" w:lineRule="atLeas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货币资金</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八、（一）</w:t>
            </w: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1,470,659,019.30</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1,068,115,348.52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△结算备付金</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△拆出资金</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交易性金融资产</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☆以公允价值计量且其变动计入当期损益的金融资产</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衍生金融资产</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应收票据</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八、（二）</w:t>
            </w: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109,893,330.14</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21,145,366.38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应收账款</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八、（三）</w:t>
            </w: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5,726,917,640.19</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4,851,082,613.23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应收款项融资</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预付款项</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八、（四）</w:t>
            </w: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446,267,579.46</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445,305,313.49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▲应收保费</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▲应收分保账款</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▲应收分保合同准备金</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应收资金集中管理款</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其他应收款</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八、（五）</w:t>
            </w: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546,267,352.60</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1,639,980,920.86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其中：应收股利</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41,552,068.64</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18,616,005.38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△买入返售金融资产</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存货</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八、（六）</w:t>
            </w: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1,247,630,630.33</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1,513,748,065.72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其中：原材料</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1,055,925,299.55</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1,162,795,733.53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库存商品（产成品）</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184,704,759.19</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342,614,162.31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合同资产</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八、（七）</w:t>
            </w: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12,478,726.78</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140,752,360.47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△保险合同资产</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△分出再保险合同资产</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持有待售资产</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一年内到期的非流动资产</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其他流动资产</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八、（八）</w:t>
            </w: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1,397,193,305.32</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1,314,808,052.33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b/>
                <w:color w:val="auto"/>
                <w:sz w:val="15"/>
                <w:szCs w:val="15"/>
                <w:highlight w:val="none"/>
              </w:rPr>
            </w:pPr>
            <w:r>
              <w:rPr>
                <w:rFonts w:ascii="Times New Roman" w:hAnsi="Times New Roman" w:cs="Times New Roman"/>
                <w:b/>
                <w:color w:val="auto"/>
                <w:sz w:val="15"/>
                <w:szCs w:val="15"/>
                <w:highlight w:val="none"/>
              </w:rPr>
              <w:t>流动资产合计</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10,957,307,584.12</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10,994,938,041.00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非流动资产：</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rPr>
                <w:rFonts w:ascii="Times New Roman" w:hAnsi="Times New Roman" w:cs="Times New Roman"/>
                <w:color w:val="auto"/>
                <w:sz w:val="15"/>
                <w:szCs w:val="15"/>
                <w:highlight w:val="none"/>
              </w:rPr>
            </w:pPr>
          </w:p>
        </w:tc>
        <w:tc>
          <w:tcPr>
            <w:tcW w:w="1589" w:type="dxa"/>
            <w:vAlign w:val="center"/>
          </w:tcPr>
          <w:p>
            <w:pPr>
              <w:snapToGrid w:val="0"/>
              <w:spacing w:line="200" w:lineRule="atLeas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△发放贷款和垫款</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债权投资</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八、（九）</w:t>
            </w: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5,556,721,330.61</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☆可供出售金融资产</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其他债权投资</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八、（十）</w:t>
            </w: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3,095,369,600.92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☆持有至到期投资</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长期应收款</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八、（十一）</w:t>
            </w: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225,530,898.20</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369,532,715.84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长期股权投资</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八、（十二）</w:t>
            </w: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1,741,604,559.28</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1,340,675,272.29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其他权益工具投资</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八、（十三）</w:t>
            </w: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904,190,344.55</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879,986,019.15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其他非流动金融资产</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投资性房地产</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八、（十四）</w:t>
            </w: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974,998,444.58</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999,945,225.79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固定资产</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八、（十五）</w:t>
            </w: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43,967,409,151.61</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41,582,044,069.31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其中：固定资产原价</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74,170,678,792.53</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70,923,243,008.86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累计折旧</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24,043,476,870.14</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23,078,823,003.43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固定资产减值准备</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6,167,045,598.35</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6,263,634,511.97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在建工程</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八、（十六）</w:t>
            </w: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4,572,870,572.56</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5,398,525,880.53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生产性生物资产</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油气资产</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使用权资产</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八、（十七）</w:t>
            </w: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3,072,290,227.09</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2,660,534,678.98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无形资产</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八、（十八）</w:t>
            </w: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1,047,272,775.79</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1,403,309,875.18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开发支出</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八、（十九）</w:t>
            </w: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30,489,314.27</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56,496,993.61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商誉</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八、（二十）</w:t>
            </w: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长期待摊费用</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八、（二十一）</w:t>
            </w: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84,674,858.49</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918,236,210.59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递延所得税资产</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八、（二十二）</w:t>
            </w: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9,126,510.55</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47,907,208.08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其他非流动资产</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八、（二十三）</w:t>
            </w: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848,388,889.45</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956,732,919.96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其中：特准储备物资</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b/>
                <w:color w:val="auto"/>
                <w:sz w:val="15"/>
                <w:szCs w:val="15"/>
                <w:highlight w:val="none"/>
              </w:rPr>
            </w:pPr>
            <w:r>
              <w:rPr>
                <w:rFonts w:ascii="Times New Roman" w:hAnsi="Times New Roman" w:cs="Times New Roman"/>
                <w:b/>
                <w:color w:val="auto"/>
                <w:sz w:val="15"/>
                <w:szCs w:val="15"/>
                <w:highlight w:val="none"/>
              </w:rPr>
              <w:t>非流动资产合计</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63,035,567,877.03</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59,709,296,670.23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b/>
                <w:color w:val="auto"/>
                <w:sz w:val="15"/>
                <w:szCs w:val="15"/>
                <w:highlight w:val="none"/>
              </w:rPr>
            </w:pPr>
            <w:r>
              <w:rPr>
                <w:rFonts w:ascii="Times New Roman" w:hAnsi="Times New Roman" w:cs="Times New Roman"/>
                <w:b/>
                <w:color w:val="auto"/>
                <w:sz w:val="15"/>
                <w:szCs w:val="15"/>
                <w:highlight w:val="none"/>
              </w:rPr>
              <w:t>资产总计</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73,992,875,461.15</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70,704,234,711.23</w:t>
            </w:r>
          </w:p>
        </w:tc>
      </w:tr>
    </w:tbl>
    <w:p>
      <w:pPr>
        <w:tabs>
          <w:tab w:val="left" w:pos="1440"/>
          <w:tab w:val="left" w:pos="1620"/>
          <w:tab w:val="left" w:pos="1800"/>
        </w:tabs>
        <w:adjustRightInd w:val="0"/>
        <w:snapToGrid w:val="0"/>
        <w:spacing w:before="80" w:line="240" w:lineRule="atLeast"/>
        <w:rPr>
          <w:rFonts w:ascii="Times New Roman" w:hAnsi="Times New Roman" w:cs="Times New Roman"/>
          <w:color w:val="auto"/>
          <w:sz w:val="18"/>
          <w:szCs w:val="18"/>
          <w:highlight w:val="none"/>
        </w:rPr>
      </w:pPr>
      <w:r>
        <w:rPr>
          <w:rFonts w:ascii="Times New Roman" w:hAnsi="Times New Roman" w:cs="Times New Roman"/>
          <w:color w:val="auto"/>
          <w:highlight w:val="none"/>
        </w:rPr>
        <w:fldChar w:fldCharType="end"/>
      </w:r>
      <w:r>
        <w:rPr>
          <w:rFonts w:hint="eastAsia" w:ascii="Times New Roman" w:hAnsi="Times New Roman" w:cs="Times New Roman"/>
          <w:color w:val="auto"/>
          <w:sz w:val="18"/>
          <w:szCs w:val="18"/>
          <w:highlight w:val="none"/>
        </w:rPr>
        <w:t>注：带△科目为金融类企业专用；带▲科目为未执行新保险合同准则企业专用；带#科目为外商投资企业专用；带☆科目为未执行新金融工具准则企业专用。</w:t>
      </w:r>
    </w:p>
    <w:p>
      <w:pPr>
        <w:tabs>
          <w:tab w:val="left" w:pos="1440"/>
          <w:tab w:val="left" w:pos="1620"/>
          <w:tab w:val="left" w:pos="1800"/>
        </w:tabs>
        <w:adjustRightInd w:val="0"/>
        <w:snapToGrid w:val="0"/>
        <w:spacing w:line="240" w:lineRule="atLeas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后附财务报表附注为财务报表的组成部分。</w:t>
      </w:r>
      <w:r>
        <w:rPr>
          <w:rFonts w:hint="eastAsia" w:ascii="Times New Roman" w:hAnsi="Times New Roman" w:cs="Times New Roman"/>
          <w:color w:val="auto"/>
          <w:sz w:val="18"/>
          <w:szCs w:val="18"/>
          <w:highlight w:val="none"/>
        </w:rPr>
        <w:t>下同。</w:t>
      </w:r>
    </w:p>
    <w:p>
      <w:pPr>
        <w:adjustRightInd w:val="0"/>
        <w:snapToGrid w:val="0"/>
        <w:spacing w:line="240" w:lineRule="atLeast"/>
        <w:rPr>
          <w:color w:val="auto"/>
          <w:highlight w:val="none"/>
        </w:rPr>
      </w:pPr>
      <w:r>
        <w:rPr>
          <w:rFonts w:ascii="Times New Roman" w:hAnsi="Times New Roman" w:cs="Times New Roman"/>
          <w:color w:val="auto"/>
          <w:sz w:val="18"/>
          <w:szCs w:val="18"/>
          <w:highlight w:val="none"/>
        </w:rPr>
        <w:t>企业法定代表人：             主管会计工作负责人：             会计机构负责人：</w:t>
      </w:r>
      <w:r>
        <w:rPr>
          <w:rFonts w:ascii="Times New Roman" w:hAnsi="Times New Roman" w:cs="Times New Roman"/>
          <w:color w:val="auto"/>
          <w:sz w:val="18"/>
          <w:szCs w:val="18"/>
          <w:highlight w:val="none"/>
        </w:rPr>
        <w:br w:type="page"/>
      </w:r>
    </w:p>
    <w:p>
      <w:pPr>
        <w:adjustRightInd w:val="0"/>
        <w:snapToGrid w:val="0"/>
        <w:spacing w:line="240" w:lineRule="auto"/>
        <w:jc w:val="center"/>
        <w:rPr>
          <w:rFonts w:ascii="Times New Roman" w:hAnsi="Times New Roman" w:cs="Times New Roman"/>
          <w:b/>
          <w:color w:val="auto"/>
          <w:sz w:val="18"/>
          <w:szCs w:val="18"/>
          <w:highlight w:val="none"/>
        </w:rPr>
      </w:pPr>
      <w:r>
        <w:rPr>
          <w:rFonts w:ascii="Times New Roman" w:hAnsi="Times New Roman" w:cs="Times New Roman"/>
          <w:b/>
          <w:color w:val="auto"/>
          <w:sz w:val="18"/>
          <w:szCs w:val="18"/>
          <w:highlight w:val="none"/>
        </w:rPr>
        <w:fldChar w:fldCharType="begin"/>
      </w:r>
      <w:r>
        <w:rPr>
          <w:rFonts w:ascii="Times New Roman" w:hAnsi="Times New Roman" w:cs="Times New Roman"/>
          <w:b/>
          <w:color w:val="auto"/>
          <w:sz w:val="18"/>
          <w:szCs w:val="18"/>
          <w:highlight w:val="none"/>
        </w:rPr>
        <w:instrText xml:space="preserve"> DOCVARIABLE  基本信息_企业名称  \* MERGEFORMAT </w:instrText>
      </w:r>
      <w:r>
        <w:rPr>
          <w:rFonts w:ascii="Times New Roman" w:hAnsi="Times New Roman" w:cs="Times New Roman"/>
          <w:b/>
          <w:color w:val="auto"/>
          <w:sz w:val="18"/>
          <w:szCs w:val="18"/>
          <w:highlight w:val="none"/>
        </w:rPr>
        <w:fldChar w:fldCharType="separate"/>
      </w:r>
      <w:r>
        <w:rPr>
          <w:rFonts w:hint="eastAsia" w:ascii="Times New Roman" w:hAnsi="Times New Roman" w:cs="Times New Roman"/>
          <w:b/>
          <w:color w:val="auto"/>
          <w:sz w:val="18"/>
          <w:szCs w:val="18"/>
          <w:highlight w:val="none"/>
        </w:rPr>
        <w:t>国家电投集团贵州金元股份有限公司</w:t>
      </w:r>
      <w:r>
        <w:rPr>
          <w:rFonts w:ascii="Times New Roman" w:hAnsi="Times New Roman" w:cs="Times New Roman"/>
          <w:b/>
          <w:color w:val="auto"/>
          <w:sz w:val="18"/>
          <w:szCs w:val="18"/>
          <w:highlight w:val="none"/>
        </w:rPr>
        <w:fldChar w:fldCharType="end"/>
      </w:r>
    </w:p>
    <w:p>
      <w:pPr>
        <w:adjustRightInd w:val="0"/>
        <w:snapToGrid w:val="0"/>
        <w:spacing w:line="240" w:lineRule="auto"/>
        <w:jc w:val="center"/>
        <w:rPr>
          <w:rFonts w:ascii="Times New Roman" w:hAnsi="Times New Roman" w:cs="Times New Roman"/>
          <w:b/>
          <w:color w:val="auto"/>
          <w:sz w:val="18"/>
          <w:szCs w:val="18"/>
          <w:highlight w:val="none"/>
        </w:rPr>
      </w:pPr>
      <w:r>
        <w:rPr>
          <w:rFonts w:hint="eastAsia" w:ascii="Times New Roman" w:hAnsi="Times New Roman" w:cs="Times New Roman"/>
          <w:b/>
          <w:color w:val="auto"/>
          <w:sz w:val="18"/>
          <w:szCs w:val="18"/>
          <w:highlight w:val="none"/>
        </w:rPr>
        <w:t>合并</w:t>
      </w:r>
      <w:r>
        <w:rPr>
          <w:rFonts w:ascii="Times New Roman" w:hAnsi="Times New Roman" w:cs="Times New Roman"/>
          <w:b/>
          <w:color w:val="auto"/>
          <w:sz w:val="18"/>
          <w:szCs w:val="18"/>
          <w:highlight w:val="none"/>
        </w:rPr>
        <w:t>资产负债表（续）</w:t>
      </w:r>
    </w:p>
    <w:p>
      <w:pPr>
        <w:adjustRightInd w:val="0"/>
        <w:snapToGrid w:val="0"/>
        <w:spacing w:line="240" w:lineRule="auto"/>
        <w:jc w:val="center"/>
        <w:rPr>
          <w:rFonts w:ascii="Times New Roman" w:hAnsi="Times New Roman" w:cs="Times New Roman"/>
          <w:b/>
          <w:color w:val="auto"/>
          <w:sz w:val="18"/>
          <w:szCs w:val="18"/>
          <w:highlight w:val="none"/>
        </w:rPr>
      </w:pPr>
      <w:r>
        <w:rPr>
          <w:rFonts w:ascii="Times New Roman" w:hAnsi="Times New Roman" w:cs="Times New Roman"/>
          <w:b/>
          <w:bCs/>
          <w:snapToGrid w:val="0"/>
          <w:color w:val="auto"/>
          <w:sz w:val="18"/>
          <w:szCs w:val="18"/>
          <w:highlight w:val="none"/>
        </w:rPr>
        <w:fldChar w:fldCharType="begin"/>
      </w:r>
      <w:r>
        <w:rPr>
          <w:rFonts w:ascii="Times New Roman" w:hAnsi="Times New Roman" w:cs="Times New Roman"/>
          <w:b/>
          <w:bCs/>
          <w:snapToGrid w:val="0"/>
          <w:color w:val="auto"/>
          <w:sz w:val="18"/>
          <w:szCs w:val="18"/>
          <w:highlight w:val="none"/>
        </w:rPr>
        <w:instrText xml:space="preserve"> DOCVARIABLE  基本信息_资产负债表日  \* MERGEFORMAT </w:instrText>
      </w:r>
      <w:r>
        <w:rPr>
          <w:rFonts w:ascii="Times New Roman" w:hAnsi="Times New Roman" w:cs="Times New Roman"/>
          <w:b/>
          <w:bCs/>
          <w:snapToGrid w:val="0"/>
          <w:color w:val="auto"/>
          <w:sz w:val="18"/>
          <w:szCs w:val="18"/>
          <w:highlight w:val="none"/>
        </w:rPr>
        <w:fldChar w:fldCharType="separate"/>
      </w:r>
      <w:r>
        <w:rPr>
          <w:rFonts w:hint="eastAsia" w:ascii="Times New Roman" w:hAnsi="Times New Roman" w:cs="Times New Roman"/>
          <w:b/>
          <w:bCs/>
          <w:snapToGrid w:val="0"/>
          <w:color w:val="auto"/>
          <w:sz w:val="18"/>
          <w:szCs w:val="18"/>
          <w:highlight w:val="none"/>
        </w:rPr>
        <w:t>2024年12月31日</w:t>
      </w:r>
      <w:r>
        <w:rPr>
          <w:rFonts w:ascii="Times New Roman" w:hAnsi="Times New Roman" w:cs="Times New Roman"/>
          <w:b/>
          <w:bCs/>
          <w:snapToGrid w:val="0"/>
          <w:color w:val="auto"/>
          <w:sz w:val="18"/>
          <w:szCs w:val="18"/>
          <w:highlight w:val="none"/>
        </w:rPr>
        <w:fldChar w:fldCharType="end"/>
      </w:r>
    </w:p>
    <w:p>
      <w:pPr>
        <w:adjustRightInd w:val="0"/>
        <w:snapToGrid w:val="0"/>
        <w:spacing w:after="120" w:afterLines="50" w:line="240" w:lineRule="auto"/>
        <w:jc w:val="center"/>
        <w:rPr>
          <w:rFonts w:ascii="Times New Roman" w:hAnsi="Times New Roman" w:cs="Times New Roman"/>
          <w:color w:val="auto"/>
          <w:kern w:val="0"/>
          <w:sz w:val="20"/>
          <w:szCs w:val="20"/>
          <w:highlight w:val="none"/>
        </w:rPr>
      </w:pPr>
      <w:r>
        <w:rPr>
          <w:rFonts w:ascii="Times New Roman" w:hAnsi="Times New Roman" w:cs="Times New Roman"/>
          <w:b/>
          <w:color w:val="auto"/>
          <w:sz w:val="18"/>
          <w:szCs w:val="18"/>
          <w:highlight w:val="none"/>
        </w:rPr>
        <w:t>（除特别注明外，</w:t>
      </w:r>
      <w:r>
        <w:rPr>
          <w:rFonts w:ascii="Times New Roman" w:hAnsi="Times New Roman" w:cs="Times New Roman"/>
          <w:b/>
          <w:bCs/>
          <w:snapToGrid w:val="0"/>
          <w:color w:val="auto"/>
          <w:sz w:val="18"/>
          <w:szCs w:val="18"/>
          <w:highlight w:val="none"/>
        </w:rPr>
        <w:t>金额单位均为人民币元</w:t>
      </w:r>
      <w:r>
        <w:rPr>
          <w:rFonts w:ascii="Times New Roman" w:hAnsi="Times New Roman" w:cs="Times New Roman"/>
          <w:b/>
          <w:color w:val="auto"/>
          <w:sz w:val="18"/>
          <w:szCs w:val="18"/>
          <w:highlight w:val="none"/>
        </w:rPr>
        <w:t>）</w:t>
      </w:r>
      <w:r>
        <w:rPr>
          <w:rFonts w:ascii="Times New Roman" w:hAnsi="Times New Roman" w:cs="Times New Roman"/>
          <w:color w:val="auto"/>
          <w:highlight w:val="none"/>
        </w:rPr>
        <w:fldChar w:fldCharType="begin"/>
      </w:r>
      <w:r>
        <w:rPr>
          <w:rFonts w:ascii="Times New Roman" w:hAnsi="Times New Roman" w:cs="Times New Roman"/>
          <w:color w:val="auto"/>
          <w:highlight w:val="none"/>
        </w:rPr>
        <w:instrText xml:space="preserve"> LINK Excel.Sheet.12 E:\\雍\\附注排版\\2014年年报格式\\附注过渡表20150130V0910.xlsx 资合并!合并负债及所有者权益 \f 4 \h \* MERGEFORMAT </w:instrText>
      </w:r>
      <w:r>
        <w:rPr>
          <w:rFonts w:ascii="Times New Roman" w:hAnsi="Times New Roman" w:cs="Times New Roman"/>
          <w:color w:val="auto"/>
          <w:highlight w:val="none"/>
        </w:rPr>
        <w:fldChar w:fldCharType="separate"/>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72"/>
        <w:gridCol w:w="1029"/>
        <w:gridCol w:w="1802"/>
        <w:gridCol w:w="16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964"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项目</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附注</w:t>
            </w:r>
          </w:p>
        </w:tc>
        <w:tc>
          <w:tcPr>
            <w:tcW w:w="1754"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期末余额</w:t>
            </w:r>
          </w:p>
        </w:tc>
        <w:tc>
          <w:tcPr>
            <w:tcW w:w="1583"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期初余额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流动负债：</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rPr>
                <w:rFonts w:ascii="Times New Roman" w:hAnsi="Times New Roman" w:cs="Times New Roman"/>
                <w:color w:val="auto"/>
                <w:sz w:val="11"/>
                <w:szCs w:val="11"/>
                <w:highlight w:val="none"/>
              </w:rPr>
            </w:pPr>
          </w:p>
        </w:tc>
        <w:tc>
          <w:tcPr>
            <w:tcW w:w="1583" w:type="dxa"/>
            <w:vAlign w:val="center"/>
          </w:tcPr>
          <w:p>
            <w:pPr>
              <w:snapToGrid w:val="0"/>
              <w:spacing w:line="160" w:lineRule="atLeas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短期借款</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八、（二十四）</w:t>
            </w: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8,301,400,836.00</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11,106,638,741.87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△向中央银行借款</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△拆入资金</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交易性金融负债</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☆以公允价值计量且其变动计入当期损益的金融负债</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衍生金融负债</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应付票据</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八、（二十五）</w:t>
            </w: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1,397,838,096.10</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271,568,840.46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应付账款</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八、（二十六）</w:t>
            </w: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5,633,788,437.83</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5,728,696,919.70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预收款项</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八、（二十七）</w:t>
            </w: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3,681,648.78</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165,142,574.64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合同负债</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八、（二十八）</w:t>
            </w: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180,332,803.24</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45,491,138.68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△卖出回购金融资产款</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△吸收存款及同业存放</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△代理买卖证券款</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△代理承销证券款</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△预收保费</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应付职工薪酬</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八、（二十九）</w:t>
            </w: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335,543,717.13</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266,137,835.06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其中：应付工资</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244,347,905.73</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151,570,933.33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应付福利费</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119,905.64</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119,905.64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#其中：职工奖励及福利基金</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应交税费</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八、（三十）</w:t>
            </w: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727,459,737.58</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813,779,058.04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其中：应交税金</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673,534,710.33</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699,559,379.32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其他应付款</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八、（三十一）</w:t>
            </w: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2,742,853,219.94</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2,297,435,956.83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其中：应付股利</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12,413,462.89</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7,408,138.55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▲应付手续费及佣金</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▲应付分保账款</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持有待售负债</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一年内到期的非流动负债</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八、（三十二）</w:t>
            </w: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6,908,418,809.60</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6,723,032,443.12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其他流动负债</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八、（三十三）</w:t>
            </w: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185,000,000.00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b/>
                <w:color w:val="auto"/>
                <w:sz w:val="11"/>
                <w:szCs w:val="11"/>
                <w:highlight w:val="none"/>
              </w:rPr>
            </w:pPr>
            <w:r>
              <w:rPr>
                <w:rFonts w:ascii="Times New Roman" w:hAnsi="Times New Roman" w:cs="Times New Roman"/>
                <w:b/>
                <w:color w:val="auto"/>
                <w:sz w:val="11"/>
                <w:szCs w:val="11"/>
                <w:highlight w:val="none"/>
              </w:rPr>
              <w:t>流动负债合计</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26,231,317,306.20</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27,602,923,508.40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非流动负债：</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rPr>
                <w:rFonts w:ascii="Times New Roman" w:hAnsi="Times New Roman" w:cs="Times New Roman"/>
                <w:color w:val="auto"/>
                <w:sz w:val="11"/>
                <w:szCs w:val="11"/>
                <w:highlight w:val="none"/>
              </w:rPr>
            </w:pPr>
          </w:p>
        </w:tc>
        <w:tc>
          <w:tcPr>
            <w:tcW w:w="1583" w:type="dxa"/>
            <w:vAlign w:val="center"/>
          </w:tcPr>
          <w:p>
            <w:pPr>
              <w:snapToGrid w:val="0"/>
              <w:spacing w:line="160" w:lineRule="atLeas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▲保险合同准备金</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长期借款</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八、（三十四）</w:t>
            </w: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28,488,713,773.26</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26,571,213,197.28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应付债券</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其中：优先股</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永续债</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△保险合同负债</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△分出再保险合同负债</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租赁负债</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八、（三十五）</w:t>
            </w: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1,340,983,020.14</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1,397,839,124.32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长期应付款</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八、（三十六）</w:t>
            </w: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2,593,204,242.10</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2,164,613,904.75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长期应付职工薪酬</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八、（三十七）</w:t>
            </w: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41,878,804.78</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15,385,092.24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预计负债</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八、（三十八）</w:t>
            </w: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59,704,138.99</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59,926,138.99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递延收益</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八、（三十九）</w:t>
            </w: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67,631,612.20</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68,838,121.30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递延所得税负债</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八、（二十二）</w:t>
            </w: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31,346,625.69</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28,901,459.94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其他非流动负债</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其中：特准储备基金</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b/>
                <w:color w:val="auto"/>
                <w:sz w:val="11"/>
                <w:szCs w:val="11"/>
                <w:highlight w:val="none"/>
              </w:rPr>
            </w:pPr>
            <w:r>
              <w:rPr>
                <w:rFonts w:ascii="Times New Roman" w:hAnsi="Times New Roman" w:cs="Times New Roman"/>
                <w:b/>
                <w:color w:val="auto"/>
                <w:sz w:val="11"/>
                <w:szCs w:val="11"/>
                <w:highlight w:val="none"/>
              </w:rPr>
              <w:t>非流动负债合计</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32,623,462,217.16</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30,306,717,038.82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b/>
                <w:color w:val="auto"/>
                <w:sz w:val="11"/>
                <w:szCs w:val="11"/>
                <w:highlight w:val="none"/>
              </w:rPr>
            </w:pPr>
            <w:r>
              <w:rPr>
                <w:rFonts w:ascii="Times New Roman" w:hAnsi="Times New Roman" w:cs="Times New Roman"/>
                <w:b/>
                <w:color w:val="auto"/>
                <w:sz w:val="11"/>
                <w:szCs w:val="11"/>
                <w:highlight w:val="none"/>
              </w:rPr>
              <w:t>负债合计</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58,854,779,523.36</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57,909,640,547.22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所有者权益（或股东权益）：</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rPr>
                <w:rFonts w:ascii="Times New Roman" w:hAnsi="Times New Roman" w:cs="Times New Roman"/>
                <w:color w:val="auto"/>
                <w:sz w:val="11"/>
                <w:szCs w:val="11"/>
                <w:highlight w:val="none"/>
              </w:rPr>
            </w:pPr>
          </w:p>
        </w:tc>
        <w:tc>
          <w:tcPr>
            <w:tcW w:w="1583" w:type="dxa"/>
            <w:vAlign w:val="center"/>
          </w:tcPr>
          <w:p>
            <w:pPr>
              <w:snapToGrid w:val="0"/>
              <w:spacing w:line="160" w:lineRule="atLeas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实收资本（或股本）</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八、（四十）</w:t>
            </w: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4,692,315,400.00</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5,892,315,400.00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国家资本</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国有法人资本</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4,376,227,400.00</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5,576,227,400.00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集体资本</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民营资本</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316,088,000.00</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316,088,000.00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外商资本</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#减：已归还投资</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实收资本（或股本）净额</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4,692,315,400.00</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5,892,315,400.00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其他权益工具</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八、（四十一）</w:t>
            </w: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19,318,660,000.00</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18,318,660,000.00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其中：优先股</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永续债</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19,318,660,000.00</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18,318,660,000.00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资本公积</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八、（四十二）</w:t>
            </w: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1,545,201,426.54</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411,548,322.64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减：库存股</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其他综合收益</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325,925,220.87</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301,720,895.47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其中：外币报表折算差额</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专项储备</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八、（四十三）</w:t>
            </w: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13,388,111.97</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26,288,187.65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盈余公积</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八、（四十四）</w:t>
            </w: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466,989,510.71</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466,989,510.71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其中：法定公积金</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466,989,510.71</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466,989,510.71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任意公积金</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#储备基金</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#企业发展基金</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#利润归还投资</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△一般风险准备</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未分配利润</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八、（四十五）</w:t>
            </w: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-27,099,250,489.96</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-25,806,459,189.66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归属于母公司所有者权益（或股东权益）合计</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-736,770,819.87</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-388,936,873.19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少数股东权益</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15,874,866,757.66</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13,183,531,037.20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b/>
                <w:color w:val="auto"/>
                <w:sz w:val="11"/>
                <w:szCs w:val="11"/>
                <w:highlight w:val="none"/>
              </w:rPr>
            </w:pPr>
            <w:r>
              <w:rPr>
                <w:rFonts w:ascii="Times New Roman" w:hAnsi="Times New Roman" w:cs="Times New Roman"/>
                <w:b/>
                <w:color w:val="auto"/>
                <w:sz w:val="11"/>
                <w:szCs w:val="11"/>
                <w:highlight w:val="none"/>
              </w:rPr>
              <w:t>所有者权益（或股东权益）合计</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15,138,095,937.79</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12,794,594,164.01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b/>
                <w:color w:val="auto"/>
                <w:sz w:val="11"/>
                <w:szCs w:val="11"/>
                <w:highlight w:val="none"/>
              </w:rPr>
            </w:pPr>
            <w:r>
              <w:rPr>
                <w:rFonts w:ascii="Times New Roman" w:hAnsi="Times New Roman" w:cs="Times New Roman"/>
                <w:b/>
                <w:color w:val="auto"/>
                <w:sz w:val="11"/>
                <w:szCs w:val="11"/>
                <w:highlight w:val="none"/>
              </w:rPr>
              <w:t>负债和所有者权益（或股东权益）总计</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73,992,875,461.15</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70,704,234,711.23</w:t>
            </w:r>
          </w:p>
        </w:tc>
      </w:tr>
    </w:tbl>
    <w:p>
      <w:pPr>
        <w:tabs>
          <w:tab w:val="left" w:pos="1440"/>
          <w:tab w:val="left" w:pos="1620"/>
          <w:tab w:val="left" w:pos="1800"/>
        </w:tabs>
        <w:adjustRightInd w:val="0"/>
        <w:snapToGrid w:val="0"/>
        <w:spacing w:before="80" w:line="200" w:lineRule="atLeast"/>
        <w:rPr>
          <w:rFonts w:ascii="Times New Roman" w:hAnsi="Times New Roman" w:cs="Times New Roman"/>
          <w:color w:val="auto"/>
          <w:sz w:val="15"/>
          <w:szCs w:val="15"/>
          <w:highlight w:val="none"/>
        </w:rPr>
      </w:pPr>
      <w:r>
        <w:rPr>
          <w:rFonts w:ascii="Times New Roman" w:hAnsi="Times New Roman" w:cs="Times New Roman"/>
          <w:color w:val="auto"/>
          <w:highlight w:val="none"/>
        </w:rPr>
        <w:fldChar w:fldCharType="end"/>
      </w:r>
      <w:r>
        <w:rPr>
          <w:rFonts w:ascii="Times New Roman" w:hAnsi="Times New Roman" w:cs="Times New Roman"/>
          <w:color w:val="auto"/>
          <w:sz w:val="15"/>
          <w:szCs w:val="15"/>
          <w:highlight w:val="none"/>
        </w:rPr>
        <w:t>企业法定代表人：             主管会计工作负责人：             会计机构负责人：</w:t>
      </w:r>
      <w:r>
        <w:rPr>
          <w:rFonts w:ascii="Times New Roman" w:hAnsi="Times New Roman" w:cs="Times New Roman"/>
          <w:color w:val="auto"/>
          <w:sz w:val="15"/>
          <w:szCs w:val="15"/>
          <w:highlight w:val="none"/>
        </w:rPr>
        <w:br w:type="page"/>
      </w:r>
    </w:p>
    <w:p>
      <w:pPr>
        <w:adjustRightInd w:val="0"/>
        <w:snapToGrid w:val="0"/>
        <w:spacing w:line="240" w:lineRule="auto"/>
        <w:jc w:val="center"/>
        <w:rPr>
          <w:rFonts w:ascii="Times New Roman" w:hAnsi="Times New Roman" w:cs="Times New Roman"/>
          <w:b/>
          <w:color w:val="auto"/>
          <w:sz w:val="18"/>
          <w:szCs w:val="18"/>
          <w:highlight w:val="none"/>
        </w:rPr>
      </w:pPr>
      <w:r>
        <w:rPr>
          <w:rFonts w:ascii="Times New Roman" w:hAnsi="Times New Roman" w:cs="Times New Roman"/>
          <w:b/>
          <w:color w:val="auto"/>
          <w:sz w:val="18"/>
          <w:szCs w:val="18"/>
          <w:highlight w:val="none"/>
        </w:rPr>
        <w:fldChar w:fldCharType="begin"/>
      </w:r>
      <w:r>
        <w:rPr>
          <w:rFonts w:ascii="Times New Roman" w:hAnsi="Times New Roman" w:cs="Times New Roman"/>
          <w:b/>
          <w:color w:val="auto"/>
          <w:sz w:val="18"/>
          <w:szCs w:val="18"/>
          <w:highlight w:val="none"/>
        </w:rPr>
        <w:instrText xml:space="preserve"> DOCVARIABLE  基本信息_企业名称  \* MERGEFORMAT </w:instrText>
      </w:r>
      <w:r>
        <w:rPr>
          <w:rFonts w:ascii="Times New Roman" w:hAnsi="Times New Roman" w:cs="Times New Roman"/>
          <w:b/>
          <w:color w:val="auto"/>
          <w:sz w:val="18"/>
          <w:szCs w:val="18"/>
          <w:highlight w:val="none"/>
        </w:rPr>
        <w:fldChar w:fldCharType="separate"/>
      </w:r>
      <w:r>
        <w:rPr>
          <w:rFonts w:hint="eastAsia" w:ascii="Times New Roman" w:hAnsi="Times New Roman" w:cs="Times New Roman"/>
          <w:b/>
          <w:color w:val="auto"/>
          <w:sz w:val="18"/>
          <w:szCs w:val="18"/>
          <w:highlight w:val="none"/>
        </w:rPr>
        <w:t>国家电投集团贵州金元股份有限公司</w:t>
      </w:r>
      <w:r>
        <w:rPr>
          <w:rFonts w:ascii="Times New Roman" w:hAnsi="Times New Roman" w:cs="Times New Roman"/>
          <w:b/>
          <w:color w:val="auto"/>
          <w:sz w:val="18"/>
          <w:szCs w:val="18"/>
          <w:highlight w:val="none"/>
        </w:rPr>
        <w:fldChar w:fldCharType="end"/>
      </w:r>
    </w:p>
    <w:p>
      <w:pPr>
        <w:adjustRightInd w:val="0"/>
        <w:snapToGrid w:val="0"/>
        <w:spacing w:line="240" w:lineRule="auto"/>
        <w:jc w:val="center"/>
        <w:outlineLvl w:val="0"/>
        <w:rPr>
          <w:rFonts w:ascii="Times New Roman" w:hAnsi="Times New Roman" w:cs="Times New Roman"/>
          <w:b/>
          <w:color w:val="auto"/>
          <w:sz w:val="18"/>
          <w:szCs w:val="18"/>
          <w:highlight w:val="none"/>
        </w:rPr>
      </w:pPr>
      <w:r>
        <w:rPr>
          <w:rFonts w:hint="eastAsia" w:ascii="Times New Roman" w:hAnsi="Times New Roman" w:cs="Times New Roman"/>
          <w:b/>
          <w:color w:val="auto"/>
          <w:sz w:val="18"/>
          <w:szCs w:val="18"/>
          <w:highlight w:val="none"/>
        </w:rPr>
        <w:t>母公司</w:t>
      </w:r>
      <w:r>
        <w:rPr>
          <w:rFonts w:ascii="Times New Roman" w:hAnsi="Times New Roman" w:cs="Times New Roman"/>
          <w:b/>
          <w:color w:val="auto"/>
          <w:sz w:val="18"/>
          <w:szCs w:val="18"/>
          <w:highlight w:val="none"/>
        </w:rPr>
        <w:t>资产负债表</w:t>
      </w:r>
    </w:p>
    <w:p>
      <w:pPr>
        <w:adjustRightInd w:val="0"/>
        <w:snapToGrid w:val="0"/>
        <w:spacing w:line="240" w:lineRule="auto"/>
        <w:jc w:val="center"/>
        <w:rPr>
          <w:rFonts w:ascii="Times New Roman" w:hAnsi="Times New Roman" w:cs="Times New Roman"/>
          <w:b/>
          <w:color w:val="auto"/>
          <w:sz w:val="18"/>
          <w:szCs w:val="18"/>
          <w:highlight w:val="none"/>
        </w:rPr>
      </w:pPr>
      <w:r>
        <w:rPr>
          <w:rFonts w:ascii="Times New Roman" w:hAnsi="Times New Roman" w:cs="Times New Roman"/>
          <w:b/>
          <w:bCs/>
          <w:snapToGrid w:val="0"/>
          <w:color w:val="auto"/>
          <w:sz w:val="18"/>
          <w:szCs w:val="18"/>
          <w:highlight w:val="none"/>
        </w:rPr>
        <w:fldChar w:fldCharType="begin"/>
      </w:r>
      <w:r>
        <w:rPr>
          <w:rFonts w:ascii="Times New Roman" w:hAnsi="Times New Roman" w:cs="Times New Roman"/>
          <w:b/>
          <w:bCs/>
          <w:snapToGrid w:val="0"/>
          <w:color w:val="auto"/>
          <w:sz w:val="18"/>
          <w:szCs w:val="18"/>
          <w:highlight w:val="none"/>
        </w:rPr>
        <w:instrText xml:space="preserve"> DOCVARIABLE  基本信息_资产负债表日  \* MERGEFORMAT </w:instrText>
      </w:r>
      <w:r>
        <w:rPr>
          <w:rFonts w:ascii="Times New Roman" w:hAnsi="Times New Roman" w:cs="Times New Roman"/>
          <w:b/>
          <w:bCs/>
          <w:snapToGrid w:val="0"/>
          <w:color w:val="auto"/>
          <w:sz w:val="18"/>
          <w:szCs w:val="18"/>
          <w:highlight w:val="none"/>
        </w:rPr>
        <w:fldChar w:fldCharType="separate"/>
      </w:r>
      <w:r>
        <w:rPr>
          <w:rFonts w:hint="eastAsia" w:ascii="Times New Roman" w:hAnsi="Times New Roman" w:cs="Times New Roman"/>
          <w:b/>
          <w:bCs/>
          <w:snapToGrid w:val="0"/>
          <w:color w:val="auto"/>
          <w:sz w:val="18"/>
          <w:szCs w:val="18"/>
          <w:highlight w:val="none"/>
        </w:rPr>
        <w:t>2024年12月31日</w:t>
      </w:r>
      <w:r>
        <w:rPr>
          <w:rFonts w:ascii="Times New Roman" w:hAnsi="Times New Roman" w:cs="Times New Roman"/>
          <w:b/>
          <w:bCs/>
          <w:snapToGrid w:val="0"/>
          <w:color w:val="auto"/>
          <w:sz w:val="18"/>
          <w:szCs w:val="18"/>
          <w:highlight w:val="none"/>
        </w:rPr>
        <w:fldChar w:fldCharType="end"/>
      </w:r>
    </w:p>
    <w:p>
      <w:pPr>
        <w:autoSpaceDE w:val="0"/>
        <w:autoSpaceDN w:val="0"/>
        <w:adjustRightInd w:val="0"/>
        <w:snapToGrid w:val="0"/>
        <w:spacing w:after="120" w:afterLines="50" w:line="240" w:lineRule="auto"/>
        <w:jc w:val="center"/>
        <w:rPr>
          <w:rFonts w:ascii="Times New Roman" w:hAnsi="Times New Roman" w:cs="Times New Roman"/>
          <w:b/>
          <w:color w:val="auto"/>
          <w:highlight w:val="none"/>
        </w:rPr>
      </w:pPr>
      <w:r>
        <w:rPr>
          <w:rFonts w:ascii="Times New Roman" w:hAnsi="Times New Roman" w:cs="Times New Roman"/>
          <w:b/>
          <w:color w:val="auto"/>
          <w:sz w:val="18"/>
          <w:szCs w:val="18"/>
          <w:highlight w:val="none"/>
        </w:rPr>
        <w:t>（除特别注明外，金额单位均为人民币元）</w:t>
      </w:r>
      <w:r>
        <w:rPr>
          <w:rFonts w:ascii="Times New Roman" w:hAnsi="Times New Roman" w:cs="Times New Roman"/>
          <w:color w:val="auto"/>
          <w:highlight w:val="none"/>
        </w:rPr>
        <w:fldChar w:fldCharType="begin"/>
      </w:r>
      <w:r>
        <w:rPr>
          <w:rFonts w:ascii="Times New Roman" w:hAnsi="Times New Roman" w:cs="Times New Roman"/>
          <w:color w:val="auto"/>
          <w:highlight w:val="none"/>
        </w:rPr>
        <w:instrText xml:space="preserve"> LINK Excel.Sheet.12 E:\\雍\\附注排版\\2014年年报格式\\附注过渡表20150130V0910.xlsx 资!母公司资产 \f 4 \h \* MERGEFORMAT </w:instrText>
      </w:r>
      <w:r>
        <w:rPr>
          <w:rFonts w:ascii="Times New Roman" w:hAnsi="Times New Roman" w:cs="Times New Roman"/>
          <w:color w:val="auto"/>
          <w:highlight w:val="none"/>
        </w:rPr>
        <w:fldChar w:fldCharType="separate"/>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27"/>
        <w:gridCol w:w="1149"/>
        <w:gridCol w:w="1814"/>
        <w:gridCol w:w="16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823"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项目</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附注</w:t>
            </w:r>
          </w:p>
        </w:tc>
        <w:tc>
          <w:tcPr>
            <w:tcW w:w="1766"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期末余额</w:t>
            </w:r>
          </w:p>
        </w:tc>
        <w:tc>
          <w:tcPr>
            <w:tcW w:w="1595"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期初余额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流动资产：</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rPr>
                <w:rFonts w:ascii="Times New Roman" w:hAnsi="Times New Roman" w:cs="Times New Roman"/>
                <w:color w:val="auto"/>
                <w:sz w:val="15"/>
                <w:szCs w:val="15"/>
                <w:highlight w:val="none"/>
              </w:rPr>
            </w:pPr>
          </w:p>
        </w:tc>
        <w:tc>
          <w:tcPr>
            <w:tcW w:w="1595" w:type="dxa"/>
            <w:vAlign w:val="center"/>
          </w:tcPr>
          <w:p>
            <w:pPr>
              <w:snapToGrid w:val="0"/>
              <w:spacing w:line="200" w:lineRule="atLeas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货币资金</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1,085,140,615.44</w:t>
            </w: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296,288,871.43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△结算备付金</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△拆出资金</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交易性金融资产</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☆以公允价值计量且其变动计入当期损益的金融资产</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衍生金融资产</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应收票据</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90,999,071.23</w:t>
            </w: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2,636,404.08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应收账款</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十二、（一）</w:t>
            </w: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103,122,241.74</w:t>
            </w: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265,551,121.42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应收款项融资</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预付款项</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67,314,259.40</w:t>
            </w: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68,147,228.13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▲应收保费</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▲应收分保账款</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▲应收分保合同准备金</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应收资金集中管理款</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其他应收款</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十二、（二）</w:t>
            </w: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636,947,290.38</w:t>
            </w: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1,566,903,450.83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其中：应收股利</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391,895,361.70</w:t>
            </w: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368,483,199.46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△买入返售金融资产</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存货</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1,067,080,123.05</w:t>
            </w: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187,735,216.96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其中：原材料</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282,083,231.29</w:t>
            </w: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187,472,257.58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库存商品（产成品）</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合同资产</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△保险合同资产</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△分出再保险合同资产</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持有待售资产</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一年内到期的非流动资产</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其他流动资产</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282,449,188.48</w:t>
            </w: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212,471,344.74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b/>
                <w:color w:val="auto"/>
                <w:sz w:val="15"/>
                <w:szCs w:val="15"/>
                <w:highlight w:val="none"/>
              </w:rPr>
            </w:pPr>
            <w:r>
              <w:rPr>
                <w:rFonts w:ascii="Times New Roman" w:hAnsi="Times New Roman" w:cs="Times New Roman"/>
                <w:b/>
                <w:color w:val="auto"/>
                <w:sz w:val="15"/>
                <w:szCs w:val="15"/>
                <w:highlight w:val="none"/>
              </w:rPr>
              <w:t>流动资产合计</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3,333,052,789.72</w:t>
            </w: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2,599,733,637.59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非流动资产：</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rPr>
                <w:rFonts w:ascii="Times New Roman" w:hAnsi="Times New Roman" w:cs="Times New Roman"/>
                <w:color w:val="auto"/>
                <w:sz w:val="15"/>
                <w:szCs w:val="15"/>
                <w:highlight w:val="none"/>
              </w:rPr>
            </w:pPr>
          </w:p>
        </w:tc>
        <w:tc>
          <w:tcPr>
            <w:tcW w:w="1595" w:type="dxa"/>
            <w:vAlign w:val="center"/>
          </w:tcPr>
          <w:p>
            <w:pPr>
              <w:snapToGrid w:val="0"/>
              <w:spacing w:line="200" w:lineRule="atLeas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△发放贷款和垫款</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债权投资</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14,167,300,422.99</w:t>
            </w: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☆可供出售金融资产</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其他债权投资</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14,446,212,447.29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☆持有至到期投资</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长期应收款</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185,914,396.72</w:t>
            </w: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205,450,486.07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长期股权投资</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十二、（三）</w:t>
            </w: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14,381,450,493.22</w:t>
            </w: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14,353,999,379.80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其他权益工具投资</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864,838,793.90</w:t>
            </w: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841,159,914.69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其他非流动金融资产</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投资性房地产</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14,961,300.00</w:t>
            </w: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16,276,700.00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固定资产</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1,066,819,575.65</w:t>
            </w: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1,049,865,016.55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其中：固定资产原价</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5,456,459,659.63</w:t>
            </w: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5,362,413,256.98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累计折旧</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3,774,351,578.96</w:t>
            </w: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3,697,259,735.41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固定资产减值准备</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615,288,505.02</w:t>
            </w: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615,288,505.02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在建工程</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114,319,686.42</w:t>
            </w: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121,530,861.50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生产性生物资产</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油气资产</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使用权资产</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842,078.76</w:t>
            </w: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1,560,826.53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无形资产</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57,798,424.22</w:t>
            </w: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52,661,185.78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开发支出</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5,212,890.31</w:t>
            </w: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30,104,319.00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商誉</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长期待摊费用</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递延所得税资产</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246,376.73</w:t>
            </w: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246,376.73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其他非流动资产</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166,083,953.05</w:t>
            </w: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其中：特准储备物资</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b/>
                <w:color w:val="auto"/>
                <w:sz w:val="15"/>
                <w:szCs w:val="15"/>
                <w:highlight w:val="none"/>
              </w:rPr>
            </w:pPr>
            <w:r>
              <w:rPr>
                <w:rFonts w:ascii="Times New Roman" w:hAnsi="Times New Roman" w:cs="Times New Roman"/>
                <w:b/>
                <w:color w:val="auto"/>
                <w:sz w:val="15"/>
                <w:szCs w:val="15"/>
                <w:highlight w:val="none"/>
              </w:rPr>
              <w:t>非流动资产合计</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31,025,788,391.97</w:t>
            </w: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31,119,067,513.94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3" w:type="dxa"/>
            <w:vAlign w:val="center"/>
          </w:tcPr>
          <w:p>
            <w:pPr>
              <w:snapToGrid w:val="0"/>
              <w:spacing w:line="200" w:lineRule="atLeast"/>
              <w:rPr>
                <w:rFonts w:ascii="Times New Roman" w:hAnsi="Times New Roman" w:cs="Times New Roman"/>
                <w:b/>
                <w:color w:val="auto"/>
                <w:sz w:val="15"/>
                <w:szCs w:val="15"/>
                <w:highlight w:val="none"/>
              </w:rPr>
            </w:pPr>
            <w:r>
              <w:rPr>
                <w:rFonts w:ascii="Times New Roman" w:hAnsi="Times New Roman" w:cs="Times New Roman"/>
                <w:b/>
                <w:color w:val="auto"/>
                <w:sz w:val="15"/>
                <w:szCs w:val="15"/>
                <w:highlight w:val="none"/>
              </w:rPr>
              <w:t>资产总计</w:t>
            </w:r>
          </w:p>
        </w:tc>
        <w:tc>
          <w:tcPr>
            <w:tcW w:w="1119"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76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34,358,841,181.69</w:t>
            </w:r>
          </w:p>
        </w:tc>
        <w:tc>
          <w:tcPr>
            <w:tcW w:w="1595"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33,718,801,151.53</w:t>
            </w:r>
          </w:p>
        </w:tc>
      </w:tr>
    </w:tbl>
    <w:p>
      <w:pPr>
        <w:tabs>
          <w:tab w:val="left" w:pos="1440"/>
          <w:tab w:val="left" w:pos="1620"/>
          <w:tab w:val="left" w:pos="1800"/>
        </w:tabs>
        <w:adjustRightInd w:val="0"/>
        <w:snapToGrid w:val="0"/>
        <w:spacing w:before="80" w:line="240" w:lineRule="atLeast"/>
        <w:rPr>
          <w:rFonts w:ascii="Times New Roman" w:hAnsi="Times New Roman" w:cs="Times New Roman"/>
          <w:color w:val="auto"/>
          <w:sz w:val="18"/>
          <w:szCs w:val="18"/>
          <w:highlight w:val="none"/>
        </w:rPr>
      </w:pPr>
      <w:r>
        <w:rPr>
          <w:rFonts w:ascii="Times New Roman" w:hAnsi="Times New Roman" w:cs="Times New Roman"/>
          <w:color w:val="auto"/>
          <w:highlight w:val="none"/>
        </w:rPr>
        <w:fldChar w:fldCharType="end"/>
      </w:r>
      <w:r>
        <w:rPr>
          <w:rFonts w:hint="eastAsia" w:ascii="Times New Roman" w:hAnsi="Times New Roman" w:cs="Times New Roman"/>
          <w:color w:val="auto"/>
          <w:sz w:val="18"/>
          <w:szCs w:val="18"/>
          <w:highlight w:val="none"/>
        </w:rPr>
        <w:t>企</w:t>
      </w:r>
      <w:r>
        <w:rPr>
          <w:rFonts w:ascii="Times New Roman" w:hAnsi="Times New Roman" w:cs="Times New Roman"/>
          <w:color w:val="auto"/>
          <w:sz w:val="18"/>
          <w:szCs w:val="18"/>
          <w:highlight w:val="none"/>
        </w:rPr>
        <w:t>业法定代表人：             主管会计工作负责人：             会计机构负责人</w:t>
      </w:r>
      <w:r>
        <w:rPr>
          <w:rFonts w:hint="eastAsia" w:ascii="Times New Roman" w:hAnsi="Times New Roman" w:cs="Times New Roman"/>
          <w:color w:val="auto"/>
          <w:sz w:val="18"/>
          <w:szCs w:val="18"/>
          <w:highlight w:val="none"/>
        </w:rPr>
        <w:t>：</w:t>
      </w:r>
      <w:r>
        <w:rPr>
          <w:rFonts w:ascii="Times New Roman" w:hAnsi="Times New Roman" w:cs="Times New Roman"/>
          <w:color w:val="auto"/>
          <w:sz w:val="18"/>
          <w:szCs w:val="18"/>
          <w:highlight w:val="none"/>
        </w:rPr>
        <w:br w:type="page"/>
      </w:r>
    </w:p>
    <w:p>
      <w:pPr>
        <w:adjustRightInd w:val="0"/>
        <w:snapToGrid w:val="0"/>
        <w:spacing w:line="240" w:lineRule="auto"/>
        <w:jc w:val="center"/>
        <w:rPr>
          <w:rFonts w:ascii="Times New Roman" w:hAnsi="Times New Roman" w:cs="Times New Roman"/>
          <w:b/>
          <w:color w:val="auto"/>
          <w:sz w:val="18"/>
          <w:szCs w:val="18"/>
          <w:highlight w:val="none"/>
        </w:rPr>
      </w:pPr>
      <w:r>
        <w:rPr>
          <w:rFonts w:ascii="Times New Roman" w:hAnsi="Times New Roman" w:cs="Times New Roman"/>
          <w:b/>
          <w:color w:val="auto"/>
          <w:sz w:val="18"/>
          <w:szCs w:val="18"/>
          <w:highlight w:val="none"/>
        </w:rPr>
        <w:fldChar w:fldCharType="begin"/>
      </w:r>
      <w:r>
        <w:rPr>
          <w:rFonts w:ascii="Times New Roman" w:hAnsi="Times New Roman" w:cs="Times New Roman"/>
          <w:b/>
          <w:color w:val="auto"/>
          <w:sz w:val="18"/>
          <w:szCs w:val="18"/>
          <w:highlight w:val="none"/>
        </w:rPr>
        <w:instrText xml:space="preserve"> DOCVARIABLE  基本信息_企业名称  \* MERGEFORMAT </w:instrText>
      </w:r>
      <w:r>
        <w:rPr>
          <w:rFonts w:ascii="Times New Roman" w:hAnsi="Times New Roman" w:cs="Times New Roman"/>
          <w:b/>
          <w:color w:val="auto"/>
          <w:sz w:val="18"/>
          <w:szCs w:val="18"/>
          <w:highlight w:val="none"/>
        </w:rPr>
        <w:fldChar w:fldCharType="separate"/>
      </w:r>
      <w:r>
        <w:rPr>
          <w:rFonts w:hint="eastAsia" w:ascii="Times New Roman" w:hAnsi="Times New Roman" w:cs="Times New Roman"/>
          <w:b/>
          <w:color w:val="auto"/>
          <w:sz w:val="18"/>
          <w:szCs w:val="18"/>
          <w:highlight w:val="none"/>
        </w:rPr>
        <w:t>国家电投集团贵州金元股份有限公司</w:t>
      </w:r>
      <w:r>
        <w:rPr>
          <w:rFonts w:ascii="Times New Roman" w:hAnsi="Times New Roman" w:cs="Times New Roman"/>
          <w:b/>
          <w:color w:val="auto"/>
          <w:sz w:val="18"/>
          <w:szCs w:val="18"/>
          <w:highlight w:val="none"/>
        </w:rPr>
        <w:fldChar w:fldCharType="end"/>
      </w:r>
    </w:p>
    <w:p>
      <w:pPr>
        <w:adjustRightInd w:val="0"/>
        <w:snapToGrid w:val="0"/>
        <w:spacing w:line="240" w:lineRule="auto"/>
        <w:jc w:val="center"/>
        <w:rPr>
          <w:rFonts w:ascii="Times New Roman" w:hAnsi="Times New Roman" w:cs="Times New Roman"/>
          <w:b/>
          <w:color w:val="auto"/>
          <w:sz w:val="18"/>
          <w:szCs w:val="18"/>
          <w:highlight w:val="none"/>
        </w:rPr>
      </w:pPr>
      <w:r>
        <w:rPr>
          <w:rFonts w:hint="eastAsia" w:ascii="Times New Roman" w:hAnsi="Times New Roman" w:cs="Times New Roman"/>
          <w:b/>
          <w:color w:val="auto"/>
          <w:sz w:val="18"/>
          <w:szCs w:val="18"/>
          <w:highlight w:val="none"/>
        </w:rPr>
        <w:t>母公司</w:t>
      </w:r>
      <w:r>
        <w:rPr>
          <w:rFonts w:ascii="Times New Roman" w:hAnsi="Times New Roman" w:cs="Times New Roman"/>
          <w:b/>
          <w:color w:val="auto"/>
          <w:sz w:val="18"/>
          <w:szCs w:val="18"/>
          <w:highlight w:val="none"/>
        </w:rPr>
        <w:t>资产负债表（续）</w:t>
      </w:r>
    </w:p>
    <w:p>
      <w:pPr>
        <w:adjustRightInd w:val="0"/>
        <w:snapToGrid w:val="0"/>
        <w:spacing w:line="240" w:lineRule="auto"/>
        <w:jc w:val="center"/>
        <w:rPr>
          <w:rFonts w:ascii="Times New Roman" w:hAnsi="Times New Roman" w:cs="Times New Roman"/>
          <w:b/>
          <w:color w:val="auto"/>
          <w:sz w:val="18"/>
          <w:szCs w:val="18"/>
          <w:highlight w:val="none"/>
        </w:rPr>
      </w:pPr>
      <w:r>
        <w:rPr>
          <w:rFonts w:ascii="Times New Roman" w:hAnsi="Times New Roman" w:cs="Times New Roman"/>
          <w:b/>
          <w:bCs/>
          <w:snapToGrid w:val="0"/>
          <w:color w:val="auto"/>
          <w:sz w:val="18"/>
          <w:szCs w:val="18"/>
          <w:highlight w:val="none"/>
        </w:rPr>
        <w:fldChar w:fldCharType="begin"/>
      </w:r>
      <w:r>
        <w:rPr>
          <w:rFonts w:ascii="Times New Roman" w:hAnsi="Times New Roman" w:cs="Times New Roman"/>
          <w:b/>
          <w:bCs/>
          <w:snapToGrid w:val="0"/>
          <w:color w:val="auto"/>
          <w:sz w:val="18"/>
          <w:szCs w:val="18"/>
          <w:highlight w:val="none"/>
        </w:rPr>
        <w:instrText xml:space="preserve"> DOCVARIABLE  基本信息_资产负债表日  \* MERGEFORMAT </w:instrText>
      </w:r>
      <w:r>
        <w:rPr>
          <w:rFonts w:ascii="Times New Roman" w:hAnsi="Times New Roman" w:cs="Times New Roman"/>
          <w:b/>
          <w:bCs/>
          <w:snapToGrid w:val="0"/>
          <w:color w:val="auto"/>
          <w:sz w:val="18"/>
          <w:szCs w:val="18"/>
          <w:highlight w:val="none"/>
        </w:rPr>
        <w:fldChar w:fldCharType="separate"/>
      </w:r>
      <w:r>
        <w:rPr>
          <w:rFonts w:hint="eastAsia" w:ascii="Times New Roman" w:hAnsi="Times New Roman" w:cs="Times New Roman"/>
          <w:b/>
          <w:bCs/>
          <w:snapToGrid w:val="0"/>
          <w:color w:val="auto"/>
          <w:sz w:val="18"/>
          <w:szCs w:val="18"/>
          <w:highlight w:val="none"/>
        </w:rPr>
        <w:t>2024年12月31日</w:t>
      </w:r>
      <w:r>
        <w:rPr>
          <w:rFonts w:ascii="Times New Roman" w:hAnsi="Times New Roman" w:cs="Times New Roman"/>
          <w:b/>
          <w:bCs/>
          <w:snapToGrid w:val="0"/>
          <w:color w:val="auto"/>
          <w:sz w:val="18"/>
          <w:szCs w:val="18"/>
          <w:highlight w:val="none"/>
        </w:rPr>
        <w:fldChar w:fldCharType="end"/>
      </w:r>
    </w:p>
    <w:p>
      <w:pPr>
        <w:adjustRightInd w:val="0"/>
        <w:snapToGrid w:val="0"/>
        <w:spacing w:after="120" w:afterLines="50" w:line="240" w:lineRule="auto"/>
        <w:jc w:val="center"/>
        <w:rPr>
          <w:rFonts w:ascii="Times New Roman" w:hAnsi="Times New Roman" w:cs="Times New Roman"/>
          <w:b/>
          <w:color w:val="auto"/>
          <w:highlight w:val="none"/>
        </w:rPr>
      </w:pPr>
      <w:r>
        <w:rPr>
          <w:rFonts w:ascii="Times New Roman" w:hAnsi="Times New Roman" w:cs="Times New Roman"/>
          <w:b/>
          <w:color w:val="auto"/>
          <w:sz w:val="18"/>
          <w:szCs w:val="18"/>
          <w:highlight w:val="none"/>
        </w:rPr>
        <w:t>（除特别注明外，金额单位均为人民币元）</w:t>
      </w:r>
      <w:r>
        <w:rPr>
          <w:rFonts w:ascii="Times New Roman" w:hAnsi="Times New Roman" w:cs="Times New Roman"/>
          <w:color w:val="auto"/>
          <w:sz w:val="18"/>
          <w:szCs w:val="18"/>
          <w:highlight w:val="none"/>
        </w:rPr>
        <w:fldChar w:fldCharType="begin"/>
      </w:r>
      <w:r>
        <w:rPr>
          <w:rFonts w:ascii="Times New Roman" w:hAnsi="Times New Roman" w:cs="Times New Roman"/>
          <w:color w:val="auto"/>
          <w:sz w:val="18"/>
          <w:szCs w:val="18"/>
          <w:highlight w:val="none"/>
        </w:rPr>
        <w:instrText xml:space="preserve"> LINK Excel.Sheet.12 E:\\雍\\附注排版\\2014年年报格式\\附注过渡表20150130V0910.xlsx 资!母公司负债及所有者权益 \f 4 \h \* MERGEFORMAT </w:instrText>
      </w:r>
      <w:r>
        <w:rPr>
          <w:rFonts w:ascii="Times New Roman" w:hAnsi="Times New Roman" w:cs="Times New Roman"/>
          <w:color w:val="auto"/>
          <w:sz w:val="18"/>
          <w:szCs w:val="18"/>
          <w:highlight w:val="none"/>
        </w:rPr>
        <w:fldChar w:fldCharType="separate"/>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01"/>
        <w:gridCol w:w="700"/>
        <w:gridCol w:w="1802"/>
        <w:gridCol w:w="16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285"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项目</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附注</w:t>
            </w:r>
          </w:p>
        </w:tc>
        <w:tc>
          <w:tcPr>
            <w:tcW w:w="1754"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期末余额</w:t>
            </w:r>
          </w:p>
        </w:tc>
        <w:tc>
          <w:tcPr>
            <w:tcW w:w="1583"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期初余额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流动负债：</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rPr>
                <w:rFonts w:ascii="Times New Roman" w:hAnsi="Times New Roman" w:cs="Times New Roman"/>
                <w:color w:val="auto"/>
                <w:sz w:val="11"/>
                <w:szCs w:val="11"/>
                <w:highlight w:val="none"/>
              </w:rPr>
            </w:pPr>
          </w:p>
        </w:tc>
        <w:tc>
          <w:tcPr>
            <w:tcW w:w="1583" w:type="dxa"/>
            <w:vAlign w:val="center"/>
          </w:tcPr>
          <w:p>
            <w:pPr>
              <w:snapToGrid w:val="0"/>
              <w:spacing w:line="160" w:lineRule="atLeas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短期借款</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5,845,787,461.12</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7,479,731,469.27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△向中央银行借款</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△拆入资金</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交易性金融负债</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☆以公允价值计量且其变动计入当期损益的金融负债</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衍生金融负债</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应付票据</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1,002,671,885.78</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216,595,878.56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应付账款</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680,221,074.80</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315,718,791.60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预收款项</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合同负债</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1,227,896.42</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1,568,203.63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△卖出回购金融资产款</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△吸收存款及同业存放</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△代理买卖证券款</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△代理承销证券款</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△预收保费</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应付职工薪酬</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104,671,278.13</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88,101,205.02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其中：应付工资</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71,480,599.00</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71,480,600.00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应付福利费</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#其中：职工奖励及福利基金</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应交税费</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190,090,977.46</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192,131,976.85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其中：应交税金</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189,489,121.41</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191,350,728.89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其他应付款</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8,893,464,677.60</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11,784,920,471.39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其中：应付股利</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72,053.64</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72,053.64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▲应付手续费及佣金</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▲应付分保账款</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持有待售负债</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一年内到期的非流动负债</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3,420,500,000.00</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2,311,500,000.00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其他流动负债</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185,000,000.00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b/>
                <w:color w:val="auto"/>
                <w:sz w:val="11"/>
                <w:szCs w:val="11"/>
                <w:highlight w:val="none"/>
              </w:rPr>
            </w:pPr>
            <w:r>
              <w:rPr>
                <w:rFonts w:ascii="Times New Roman" w:hAnsi="Times New Roman" w:cs="Times New Roman"/>
                <w:b/>
                <w:color w:val="auto"/>
                <w:sz w:val="11"/>
                <w:szCs w:val="11"/>
                <w:highlight w:val="none"/>
              </w:rPr>
              <w:t>流动负债合计</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20,138,635,251.31</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22,575,267,996.32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非流动负债：</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rPr>
                <w:rFonts w:ascii="Times New Roman" w:hAnsi="Times New Roman" w:cs="Times New Roman"/>
                <w:color w:val="auto"/>
                <w:sz w:val="11"/>
                <w:szCs w:val="11"/>
                <w:highlight w:val="none"/>
              </w:rPr>
            </w:pPr>
          </w:p>
        </w:tc>
        <w:tc>
          <w:tcPr>
            <w:tcW w:w="1583" w:type="dxa"/>
            <w:vAlign w:val="center"/>
          </w:tcPr>
          <w:p>
            <w:pPr>
              <w:snapToGrid w:val="0"/>
              <w:spacing w:line="160" w:lineRule="atLeas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▲保险合同准备金</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长期借款</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7,366,014,683.86</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6,510,563,763.80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应付债券</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其中：优先股</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永续债</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△保险合同负债</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△分出再保险合同负债</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租赁负债</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5,000,033.89</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6,810,219.52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长期应付款</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2,830,000,000.00</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35,552,717.74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长期应付职工薪酬</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7,011,483.39</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预计负债</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59,159,000.00</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59,381,000.00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递延收益</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2,815,647.52</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1,481,481.53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递延所得税负债</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其他非流动负债</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其中：特准储备基金</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85" w:type="dxa"/>
            <w:vAlign w:val="center"/>
          </w:tcPr>
          <w:p>
            <w:pPr>
              <w:snapToGrid w:val="0"/>
              <w:spacing w:line="160" w:lineRule="atLeast"/>
              <w:rPr>
                <w:rFonts w:ascii="Times New Roman" w:hAnsi="Times New Roman" w:cs="Times New Roman"/>
                <w:b/>
                <w:color w:val="auto"/>
                <w:sz w:val="11"/>
                <w:szCs w:val="11"/>
                <w:highlight w:val="none"/>
              </w:rPr>
            </w:pPr>
            <w:r>
              <w:rPr>
                <w:rFonts w:ascii="Times New Roman" w:hAnsi="Times New Roman" w:cs="Times New Roman"/>
                <w:b/>
                <w:color w:val="auto"/>
                <w:sz w:val="11"/>
                <w:szCs w:val="11"/>
                <w:highlight w:val="none"/>
              </w:rPr>
              <w:t>非流动负债合计</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10,270,000,848.66</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6,613,789,182.59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b/>
                <w:color w:val="auto"/>
                <w:sz w:val="11"/>
                <w:szCs w:val="11"/>
                <w:highlight w:val="none"/>
              </w:rPr>
            </w:pPr>
            <w:r>
              <w:rPr>
                <w:rFonts w:ascii="Times New Roman" w:hAnsi="Times New Roman" w:cs="Times New Roman"/>
                <w:b/>
                <w:color w:val="auto"/>
                <w:sz w:val="11"/>
                <w:szCs w:val="11"/>
                <w:highlight w:val="none"/>
              </w:rPr>
              <w:t>负债合计</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30,408,636,099.97</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29,189,057,178.91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所有者权益（或股东权益）：</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rPr>
                <w:rFonts w:ascii="Times New Roman" w:hAnsi="Times New Roman" w:cs="Times New Roman"/>
                <w:color w:val="auto"/>
                <w:sz w:val="11"/>
                <w:szCs w:val="11"/>
                <w:highlight w:val="none"/>
              </w:rPr>
            </w:pPr>
          </w:p>
        </w:tc>
        <w:tc>
          <w:tcPr>
            <w:tcW w:w="1583" w:type="dxa"/>
            <w:vAlign w:val="center"/>
          </w:tcPr>
          <w:p>
            <w:pPr>
              <w:snapToGrid w:val="0"/>
              <w:spacing w:line="160" w:lineRule="atLeas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实收资本（或股本）</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4,692,315,400.00</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5,892,315,400.00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国家资本</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国有法人资本</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4,376,227,400.00</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5,576,227,400.00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集体资本</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民营资本</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316,088,000.00</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316,088,000.00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外商资本</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#减：已归还投资</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实收资本（或股本）净额</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4,692,315,400.00</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5,892,315,400.00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其他权益工具</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19,318,660,000.00</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18,318,660,000.00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其中：优先股</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永续债</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19,318,660,000.00</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18,318,660,000.00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资本公积</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1,230,602,379.97</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249,283.58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减：库存股</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其他综合收益</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328,832,262.19</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305,153,382.98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其中：外币报表折算差额</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专项储备</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盈余公积</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371,156,099.04</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371,156,099.04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其中：法定公积金</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371,156,099.04</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371,156,099.04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任意公积金</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#储备基金</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#企业发展基金</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#利润归还投资</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△一般风险准备</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未分配利润</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-21,991,361,059.48</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-20,357,790,192.98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b/>
                <w:color w:val="auto"/>
                <w:sz w:val="11"/>
                <w:szCs w:val="11"/>
                <w:highlight w:val="none"/>
              </w:rPr>
            </w:pPr>
            <w:r>
              <w:rPr>
                <w:rFonts w:ascii="Times New Roman" w:hAnsi="Times New Roman" w:cs="Times New Roman"/>
                <w:b/>
                <w:color w:val="auto"/>
                <w:sz w:val="11"/>
                <w:szCs w:val="11"/>
                <w:highlight w:val="none"/>
              </w:rPr>
              <w:t>所有者权益（或股东权益）合计</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3,950,205,081.72</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4,529,743,972.62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5" w:type="dxa"/>
            <w:vAlign w:val="center"/>
          </w:tcPr>
          <w:p>
            <w:pPr>
              <w:snapToGrid w:val="0"/>
              <w:spacing w:line="160" w:lineRule="atLeast"/>
              <w:rPr>
                <w:rFonts w:ascii="Times New Roman" w:hAnsi="Times New Roman" w:cs="Times New Roman"/>
                <w:b/>
                <w:color w:val="auto"/>
                <w:sz w:val="11"/>
                <w:szCs w:val="11"/>
                <w:highlight w:val="none"/>
              </w:rPr>
            </w:pPr>
            <w:r>
              <w:rPr>
                <w:rFonts w:ascii="Times New Roman" w:hAnsi="Times New Roman" w:cs="Times New Roman"/>
                <w:b/>
                <w:color w:val="auto"/>
                <w:sz w:val="11"/>
                <w:szCs w:val="11"/>
                <w:highlight w:val="none"/>
              </w:rPr>
              <w:t>负债和所有者权益（或股东权益）总计</w:t>
            </w:r>
          </w:p>
        </w:tc>
        <w:tc>
          <w:tcPr>
            <w:tcW w:w="681"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34,358,841,181.69</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33,718,801,151.53</w:t>
            </w:r>
          </w:p>
        </w:tc>
      </w:tr>
    </w:tbl>
    <w:p>
      <w:pPr>
        <w:tabs>
          <w:tab w:val="left" w:pos="1440"/>
          <w:tab w:val="left" w:pos="1620"/>
          <w:tab w:val="left" w:pos="1800"/>
        </w:tabs>
        <w:adjustRightInd w:val="0"/>
        <w:snapToGrid w:val="0"/>
        <w:spacing w:before="80" w:line="240" w:lineRule="atLeas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fldChar w:fldCharType="end"/>
      </w:r>
      <w:r>
        <w:rPr>
          <w:rFonts w:ascii="Times New Roman" w:hAnsi="Times New Roman" w:cs="Times New Roman"/>
          <w:color w:val="auto"/>
          <w:sz w:val="18"/>
          <w:szCs w:val="18"/>
          <w:highlight w:val="none"/>
        </w:rPr>
        <w:t>企业法定代表人：             主管会计工作负责人：             会计机构负责人：</w:t>
      </w:r>
      <w:r>
        <w:rPr>
          <w:rFonts w:ascii="Times New Roman" w:hAnsi="Times New Roman" w:cs="Times New Roman"/>
          <w:color w:val="auto"/>
          <w:sz w:val="18"/>
          <w:szCs w:val="18"/>
          <w:highlight w:val="none"/>
        </w:rPr>
        <w:br w:type="page"/>
      </w:r>
    </w:p>
    <w:p>
      <w:pPr>
        <w:adjustRightInd w:val="0"/>
        <w:snapToGrid w:val="0"/>
        <w:spacing w:line="240" w:lineRule="auto"/>
        <w:jc w:val="center"/>
        <w:rPr>
          <w:rFonts w:ascii="Times New Roman" w:hAnsi="Times New Roman" w:cs="Times New Roman"/>
          <w:b/>
          <w:color w:val="auto"/>
          <w:sz w:val="18"/>
          <w:szCs w:val="18"/>
          <w:highlight w:val="none"/>
        </w:rPr>
      </w:pPr>
      <w:r>
        <w:rPr>
          <w:rFonts w:ascii="Times New Roman" w:hAnsi="Times New Roman" w:cs="Times New Roman"/>
          <w:b/>
          <w:color w:val="auto"/>
          <w:sz w:val="18"/>
          <w:szCs w:val="18"/>
          <w:highlight w:val="none"/>
        </w:rPr>
        <w:fldChar w:fldCharType="begin"/>
      </w:r>
      <w:r>
        <w:rPr>
          <w:rFonts w:ascii="Times New Roman" w:hAnsi="Times New Roman" w:cs="Times New Roman"/>
          <w:b/>
          <w:color w:val="auto"/>
          <w:sz w:val="18"/>
          <w:szCs w:val="18"/>
          <w:highlight w:val="none"/>
        </w:rPr>
        <w:instrText xml:space="preserve"> DOCVARIABLE  基本信息_企业名称  \* MERGEFORMAT </w:instrText>
      </w:r>
      <w:r>
        <w:rPr>
          <w:rFonts w:ascii="Times New Roman" w:hAnsi="Times New Roman" w:cs="Times New Roman"/>
          <w:b/>
          <w:color w:val="auto"/>
          <w:sz w:val="18"/>
          <w:szCs w:val="18"/>
          <w:highlight w:val="none"/>
        </w:rPr>
        <w:fldChar w:fldCharType="separate"/>
      </w:r>
      <w:r>
        <w:rPr>
          <w:rFonts w:hint="eastAsia" w:ascii="Times New Roman" w:hAnsi="Times New Roman" w:cs="Times New Roman"/>
          <w:b/>
          <w:color w:val="auto"/>
          <w:sz w:val="18"/>
          <w:szCs w:val="18"/>
          <w:highlight w:val="none"/>
        </w:rPr>
        <w:t>国家电投集团贵州金元股份有限公司</w:t>
      </w:r>
      <w:r>
        <w:rPr>
          <w:rFonts w:ascii="Times New Roman" w:hAnsi="Times New Roman" w:cs="Times New Roman"/>
          <w:b/>
          <w:color w:val="auto"/>
          <w:sz w:val="18"/>
          <w:szCs w:val="18"/>
          <w:highlight w:val="none"/>
        </w:rPr>
        <w:fldChar w:fldCharType="end"/>
      </w:r>
    </w:p>
    <w:p>
      <w:pPr>
        <w:adjustRightInd w:val="0"/>
        <w:snapToGrid w:val="0"/>
        <w:spacing w:line="240" w:lineRule="auto"/>
        <w:jc w:val="center"/>
        <w:outlineLvl w:val="0"/>
        <w:rPr>
          <w:rFonts w:ascii="Times New Roman" w:hAnsi="Times New Roman" w:cs="Times New Roman"/>
          <w:b/>
          <w:color w:val="auto"/>
          <w:sz w:val="18"/>
          <w:szCs w:val="18"/>
          <w:highlight w:val="none"/>
        </w:rPr>
      </w:pPr>
      <w:r>
        <w:rPr>
          <w:rFonts w:hint="eastAsia" w:ascii="Times New Roman" w:hAnsi="Times New Roman" w:cs="Times New Roman"/>
          <w:b/>
          <w:color w:val="auto"/>
          <w:sz w:val="18"/>
          <w:szCs w:val="18"/>
          <w:highlight w:val="none"/>
        </w:rPr>
        <w:t>合并</w:t>
      </w:r>
      <w:r>
        <w:rPr>
          <w:rFonts w:ascii="Times New Roman" w:hAnsi="Times New Roman" w:cs="Times New Roman"/>
          <w:b/>
          <w:color w:val="auto"/>
          <w:sz w:val="18"/>
          <w:szCs w:val="18"/>
          <w:highlight w:val="none"/>
        </w:rPr>
        <w:t>利润表</w:t>
      </w:r>
    </w:p>
    <w:p>
      <w:pPr>
        <w:adjustRightInd w:val="0"/>
        <w:snapToGrid w:val="0"/>
        <w:spacing w:line="240" w:lineRule="auto"/>
        <w:jc w:val="center"/>
        <w:rPr>
          <w:rFonts w:ascii="Times New Roman" w:hAnsi="Times New Roman" w:cs="Times New Roman"/>
          <w:b/>
          <w:color w:val="auto"/>
          <w:sz w:val="18"/>
          <w:szCs w:val="18"/>
          <w:highlight w:val="none"/>
        </w:rPr>
      </w:pPr>
      <w:r>
        <w:rPr>
          <w:rFonts w:ascii="Times New Roman" w:hAnsi="Times New Roman" w:cs="Times New Roman"/>
          <w:b/>
          <w:color w:val="auto"/>
          <w:sz w:val="18"/>
          <w:szCs w:val="18"/>
          <w:highlight w:val="none"/>
        </w:rPr>
        <w:fldChar w:fldCharType="begin"/>
      </w:r>
      <w:r>
        <w:rPr>
          <w:rFonts w:ascii="Times New Roman" w:hAnsi="Times New Roman" w:cs="Times New Roman"/>
          <w:b/>
          <w:color w:val="auto"/>
          <w:sz w:val="18"/>
          <w:szCs w:val="18"/>
          <w:highlight w:val="none"/>
        </w:rPr>
        <w:instrText xml:space="preserve"> DOCVARIABLE  基本信息_项目年度  \* MERGEFORMAT </w:instrText>
      </w:r>
      <w:r>
        <w:rPr>
          <w:rFonts w:ascii="Times New Roman" w:hAnsi="Times New Roman" w:cs="Times New Roman"/>
          <w:b/>
          <w:color w:val="auto"/>
          <w:sz w:val="18"/>
          <w:szCs w:val="18"/>
          <w:highlight w:val="none"/>
        </w:rPr>
        <w:fldChar w:fldCharType="separate"/>
      </w:r>
      <w:r>
        <w:rPr>
          <w:rFonts w:hint="eastAsia" w:ascii="Times New Roman" w:hAnsi="Times New Roman" w:cs="Times New Roman"/>
          <w:b/>
          <w:color w:val="auto"/>
          <w:sz w:val="18"/>
          <w:szCs w:val="18"/>
          <w:highlight w:val="none"/>
        </w:rPr>
        <w:t>2024年度</w:t>
      </w:r>
      <w:r>
        <w:rPr>
          <w:rFonts w:ascii="Times New Roman" w:hAnsi="Times New Roman" w:cs="Times New Roman"/>
          <w:b/>
          <w:color w:val="auto"/>
          <w:sz w:val="18"/>
          <w:szCs w:val="18"/>
          <w:highlight w:val="none"/>
        </w:rPr>
        <w:fldChar w:fldCharType="end"/>
      </w:r>
    </w:p>
    <w:p>
      <w:pPr>
        <w:adjustRightInd w:val="0"/>
        <w:snapToGrid w:val="0"/>
        <w:spacing w:after="120" w:afterLines="50" w:line="240" w:lineRule="auto"/>
        <w:jc w:val="center"/>
        <w:rPr>
          <w:rFonts w:ascii="Times New Roman" w:hAnsi="Times New Roman" w:cs="Times New Roman"/>
          <w:b/>
          <w:color w:val="auto"/>
          <w:highlight w:val="none"/>
        </w:rPr>
      </w:pPr>
      <w:r>
        <w:rPr>
          <w:rFonts w:ascii="Times New Roman" w:hAnsi="Times New Roman" w:cs="Times New Roman"/>
          <w:b/>
          <w:color w:val="auto"/>
          <w:sz w:val="18"/>
          <w:szCs w:val="18"/>
          <w:highlight w:val="none"/>
        </w:rPr>
        <w:t>（除特别注明外，金额单位均为人民币元）</w:t>
      </w:r>
      <w:r>
        <w:rPr>
          <w:rFonts w:ascii="Times New Roman" w:hAnsi="Times New Roman" w:cs="Times New Roman"/>
          <w:color w:val="auto"/>
          <w:sz w:val="18"/>
          <w:szCs w:val="18"/>
          <w:highlight w:val="none"/>
        </w:rPr>
        <w:fldChar w:fldCharType="begin"/>
      </w:r>
      <w:r>
        <w:rPr>
          <w:rFonts w:ascii="Times New Roman" w:hAnsi="Times New Roman" w:cs="Times New Roman"/>
          <w:color w:val="auto"/>
          <w:sz w:val="18"/>
          <w:szCs w:val="18"/>
          <w:highlight w:val="none"/>
        </w:rPr>
        <w:instrText xml:space="preserve"> LINK Excel.Sheet.12 E:\\雍\\附注排版\\2014年年报格式\\附注过渡表20150130V0910.xlsx 利合并!合并利润表 \f 4 \h \* MERGEFORMAT </w:instrText>
      </w:r>
      <w:r>
        <w:rPr>
          <w:rFonts w:ascii="Times New Roman" w:hAnsi="Times New Roman" w:cs="Times New Roman"/>
          <w:color w:val="auto"/>
          <w:sz w:val="18"/>
          <w:szCs w:val="18"/>
          <w:highlight w:val="none"/>
        </w:rPr>
        <w:fldChar w:fldCharType="separate"/>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90"/>
        <w:gridCol w:w="987"/>
        <w:gridCol w:w="1726"/>
        <w:gridCol w:w="17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982" w:type="dxa"/>
            <w:vAlign w:val="center"/>
          </w:tcPr>
          <w:p>
            <w:pPr>
              <w:snapToGrid w:val="0"/>
              <w:spacing w:line="8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项目</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附注</w:t>
            </w:r>
          </w:p>
        </w:tc>
        <w:tc>
          <w:tcPr>
            <w:tcW w:w="1680" w:type="dxa"/>
            <w:vAlign w:val="center"/>
          </w:tcPr>
          <w:p>
            <w:pPr>
              <w:snapToGrid w:val="0"/>
              <w:spacing w:line="8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本期金额</w:t>
            </w:r>
          </w:p>
        </w:tc>
        <w:tc>
          <w:tcPr>
            <w:tcW w:w="1680" w:type="dxa"/>
            <w:vAlign w:val="center"/>
          </w:tcPr>
          <w:p>
            <w:pPr>
              <w:snapToGrid w:val="0"/>
              <w:spacing w:line="8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上期金额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b/>
                <w:color w:val="auto"/>
                <w:sz w:val="11"/>
                <w:szCs w:val="11"/>
                <w:highlight w:val="none"/>
              </w:rPr>
            </w:pPr>
            <w:r>
              <w:rPr>
                <w:rFonts w:ascii="Times New Roman" w:hAnsi="Times New Roman" w:cs="Times New Roman"/>
                <w:b/>
                <w:color w:val="auto"/>
                <w:sz w:val="11"/>
                <w:szCs w:val="11"/>
                <w:highlight w:val="none"/>
              </w:rPr>
              <w:t>一、营业总收入</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16,321,005,879.66</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17,221,240,926.74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其中：营业收入</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八、（四十六）</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16,321,005,879.66</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17,221,240,926.74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△利息收入</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△保险服务收入</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▲已赚保费</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△手续费及佣金收入</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b/>
                <w:color w:val="auto"/>
                <w:sz w:val="11"/>
                <w:szCs w:val="11"/>
                <w:highlight w:val="none"/>
              </w:rPr>
            </w:pPr>
            <w:r>
              <w:rPr>
                <w:rFonts w:ascii="Times New Roman" w:hAnsi="Times New Roman" w:cs="Times New Roman"/>
                <w:b/>
                <w:color w:val="auto"/>
                <w:sz w:val="11"/>
                <w:szCs w:val="11"/>
                <w:highlight w:val="none"/>
              </w:rPr>
              <w:t>二、营业总成本</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17,406,757,119.62</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17,537,803,323.95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其中：营业成本</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八、（四十六）</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14,784,571,562.56</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14,514,214,513.67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△利息支出</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△手续费及佣金支出</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△保险服务费用</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△分出保费的分摊</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△减：摊回保险服务费用</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△承保财务损失</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△减：分出再保险财务收益</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▲退保金</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▲赔付支出净额</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▲提取保险责任准备金净额</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▲保单红利支出</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▲分保费用</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税金及附加</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212,115,930.00</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210,238,598.31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销售费用</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八、（四十七）</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94,656,503.60</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128,454,513.79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管理费用</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八、（四十七）</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650,624,212.18</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703,880,076.46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研发费用</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八、（四十七）</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129,579,443.34</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285,646,093.45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财务费用</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八、（四十七）</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1,535,209,467.94</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1,695,369,528.27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其中：利息费用</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1,555,891,589.30</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1,661,311,374.51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利息收入</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66,264,900.15</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53,867,012.53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汇兑净损失（净收益以“-”号填列）</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其他</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加：其他收益</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八、（四十八）</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86,415,816.01</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246,081,713.17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投资收益（损失以“-”号填列）</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八、（四十九）</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1,813,604,233.62</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657,804,783.43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其中：对联营企业和合营企业的投资收益</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44,407,853.19</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151,635,581.26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以摊余成本计量的金融资产终止确认收益</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△汇兑收益（损失以“-”号填列）</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净敞口套期收益（损失以“-”号填列）</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公允价值变动收益（损失以“-”号填列）</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八、（五十）</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-24,724,161.36</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-16,471,236.91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信用减值损失（损失以“-”号填列）</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八、（五十一）</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-12,183,109.32</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1,163,625,490.25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资产减值损失（损失以“-”号填列）</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八、（五十二）</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-502,902,323.36</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-3,498,021,961.79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资产处置收益（损失以“-”号填列）</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八、（五十三）</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130,879,954.49</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161,133,607.26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b/>
                <w:color w:val="auto"/>
                <w:sz w:val="11"/>
                <w:szCs w:val="11"/>
                <w:highlight w:val="none"/>
              </w:rPr>
            </w:pPr>
            <w:r>
              <w:rPr>
                <w:rFonts w:ascii="Times New Roman" w:hAnsi="Times New Roman" w:cs="Times New Roman"/>
                <w:b/>
                <w:color w:val="auto"/>
                <w:sz w:val="11"/>
                <w:szCs w:val="11"/>
                <w:highlight w:val="none"/>
              </w:rPr>
              <w:t>三、营业利润（亏损以“-”号填列）</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405,339,170.12</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-1,602,410,001.80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加：营业外收入</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八、（五十四）</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55,977,443.16</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24,054,067.13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其中：政府补助</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325,473.00</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200,900.00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减：营业外支出</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八、（五十五）</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251,642,589.40</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140,086,772.31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b/>
                <w:color w:val="auto"/>
                <w:sz w:val="11"/>
                <w:szCs w:val="11"/>
                <w:highlight w:val="none"/>
              </w:rPr>
            </w:pPr>
            <w:r>
              <w:rPr>
                <w:rFonts w:ascii="Times New Roman" w:hAnsi="Times New Roman" w:cs="Times New Roman"/>
                <w:b/>
                <w:color w:val="auto"/>
                <w:sz w:val="11"/>
                <w:szCs w:val="11"/>
                <w:highlight w:val="none"/>
              </w:rPr>
              <w:t>四、利润总额（亏损总额以“-”号填列）</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209,674,023.88</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-1,718,442,706.98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减：所得税费用</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八、（五十六）</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139,575,045.74</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176,257,241.84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b/>
                <w:color w:val="auto"/>
                <w:sz w:val="11"/>
                <w:szCs w:val="11"/>
                <w:highlight w:val="none"/>
              </w:rPr>
            </w:pPr>
            <w:r>
              <w:rPr>
                <w:rFonts w:ascii="Times New Roman" w:hAnsi="Times New Roman" w:cs="Times New Roman"/>
                <w:b/>
                <w:color w:val="auto"/>
                <w:sz w:val="11"/>
                <w:szCs w:val="11"/>
                <w:highlight w:val="none"/>
              </w:rPr>
              <w:t>五、净利润（净亏损以“-”号填列）</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70,098,978.14</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-1,894,699,948.82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（一）按所有权归属分类：</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rPr>
                <w:rFonts w:ascii="Times New Roman" w:hAnsi="Times New Roman" w:cs="Times New Roman"/>
                <w:color w:val="auto"/>
                <w:sz w:val="11"/>
                <w:szCs w:val="11"/>
                <w:highlight w:val="none"/>
              </w:rPr>
            </w:pPr>
          </w:p>
        </w:tc>
        <w:tc>
          <w:tcPr>
            <w:tcW w:w="1680" w:type="dxa"/>
            <w:vAlign w:val="center"/>
          </w:tcPr>
          <w:p>
            <w:pPr>
              <w:snapToGrid w:val="0"/>
              <w:spacing w:line="80" w:lineRule="atLeas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归属于母公司所有者的净利润</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-543,673,983.84</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-2,591,168,934.88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少数股东损益</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613,772,961.98</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696,468,986.06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（二）按经营持续性分类：</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rPr>
                <w:rFonts w:ascii="Times New Roman" w:hAnsi="Times New Roman" w:cs="Times New Roman"/>
                <w:color w:val="auto"/>
                <w:sz w:val="11"/>
                <w:szCs w:val="11"/>
                <w:highlight w:val="none"/>
              </w:rPr>
            </w:pPr>
          </w:p>
        </w:tc>
        <w:tc>
          <w:tcPr>
            <w:tcW w:w="1680" w:type="dxa"/>
            <w:vAlign w:val="center"/>
          </w:tcPr>
          <w:p>
            <w:pPr>
              <w:snapToGrid w:val="0"/>
              <w:spacing w:line="80" w:lineRule="atLeas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持续经营净利润</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70,098,978.14</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-1,894,699,948.82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终止经营净利润</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b/>
                <w:color w:val="auto"/>
                <w:sz w:val="11"/>
                <w:szCs w:val="11"/>
                <w:highlight w:val="none"/>
              </w:rPr>
            </w:pPr>
            <w:r>
              <w:rPr>
                <w:rFonts w:ascii="Times New Roman" w:hAnsi="Times New Roman" w:cs="Times New Roman"/>
                <w:b/>
                <w:color w:val="auto"/>
                <w:sz w:val="11"/>
                <w:szCs w:val="11"/>
                <w:highlight w:val="none"/>
              </w:rPr>
              <w:t>六、其他综合收益的税后净额</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24,204,325.40</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40,849,935.68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归属于母公司所有者的其他综合收益的税后净额</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八、（五十七）</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24,204,325.40</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40,849,935.68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（一）不能重分类进损益的其他综合收益</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24,204,325.40</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40,849,935.68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1．重新计量设定受益计划变动额</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2．权益法下不能转损益的其他综合收益</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3．其他权益工具投资公允价值变动</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24,204,325.40</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40,849,935.68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4．企业自身信用风险公允价值变动</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△5．不能转损益的保险合同金融变动</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6．其他</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（二）将重分类进损益的其他综合收益</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1．权益法下可转损益的其他综合收益</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2．其他债权投资公允价值变动</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☆3．可供出售金融资产公允价值变动损益</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4．金融资产重分类计入其他综合收益的金额</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☆5．持有至到期投资重分类为可供出售金融资产损益</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6．其他债权投资信用减值准备</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7．现金流量套期储备（现金流量套期损益的有效部分）</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8．外币财务报表折算差额</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△9．可转损益的保险合同金融变动</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△10．可转损益的分出再保险合同金融变动</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11．其他</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归属于少数股东的其他综合收益的税后净额</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b/>
                <w:color w:val="auto"/>
                <w:sz w:val="11"/>
                <w:szCs w:val="11"/>
                <w:highlight w:val="none"/>
              </w:rPr>
            </w:pPr>
            <w:r>
              <w:rPr>
                <w:rFonts w:ascii="Times New Roman" w:hAnsi="Times New Roman" w:cs="Times New Roman"/>
                <w:b/>
                <w:color w:val="auto"/>
                <w:sz w:val="11"/>
                <w:szCs w:val="11"/>
                <w:highlight w:val="none"/>
              </w:rPr>
              <w:t>七、综合收益总额</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94,303,303.54</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-1,853,850,013.14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归属于母公司所有者的综合收益总额</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-519,469,658.44</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-2,550,318,999.20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归属于少数股东的综合收益总额</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613,772,961.98</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696,468,986.06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b/>
                <w:color w:val="auto"/>
                <w:sz w:val="11"/>
                <w:szCs w:val="11"/>
                <w:highlight w:val="none"/>
              </w:rPr>
            </w:pPr>
            <w:r>
              <w:rPr>
                <w:rFonts w:ascii="Times New Roman" w:hAnsi="Times New Roman" w:cs="Times New Roman"/>
                <w:b/>
                <w:color w:val="auto"/>
                <w:sz w:val="11"/>
                <w:szCs w:val="11"/>
                <w:highlight w:val="none"/>
              </w:rPr>
              <w:t>八、每股收益：</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基本每股收益</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稀释每股收益</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bl>
    <w:p>
      <w:pPr>
        <w:tabs>
          <w:tab w:val="left" w:pos="1440"/>
          <w:tab w:val="left" w:pos="1620"/>
          <w:tab w:val="left" w:pos="1800"/>
        </w:tabs>
        <w:adjustRightInd w:val="0"/>
        <w:snapToGrid w:val="0"/>
        <w:spacing w:before="80" w:line="240" w:lineRule="atLeas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fldChar w:fldCharType="end"/>
      </w:r>
      <w:r>
        <w:rPr>
          <w:rFonts w:ascii="Times New Roman" w:hAnsi="Times New Roman" w:cs="Times New Roman"/>
          <w:color w:val="auto"/>
          <w:sz w:val="15"/>
          <w:szCs w:val="18"/>
          <w:highlight w:val="none"/>
        </w:rPr>
        <w:t xml:space="preserve">企业法定代表人：            </w:t>
      </w:r>
      <w:r>
        <w:rPr>
          <w:rFonts w:hint="eastAsia" w:ascii="Times New Roman" w:hAnsi="Times New Roman" w:cs="Times New Roman"/>
          <w:color w:val="auto"/>
          <w:sz w:val="15"/>
          <w:szCs w:val="18"/>
          <w:highlight w:val="none"/>
        </w:rPr>
        <w:t xml:space="preserve">         </w:t>
      </w:r>
      <w:r>
        <w:rPr>
          <w:rFonts w:ascii="Times New Roman" w:hAnsi="Times New Roman" w:cs="Times New Roman"/>
          <w:color w:val="auto"/>
          <w:sz w:val="15"/>
          <w:szCs w:val="18"/>
          <w:highlight w:val="none"/>
        </w:rPr>
        <w:t xml:space="preserve"> 主管会计工作负责人：     </w:t>
      </w:r>
      <w:r>
        <w:rPr>
          <w:rFonts w:hint="eastAsia" w:ascii="Times New Roman" w:hAnsi="Times New Roman" w:cs="Times New Roman"/>
          <w:color w:val="auto"/>
          <w:sz w:val="15"/>
          <w:szCs w:val="18"/>
          <w:highlight w:val="none"/>
        </w:rPr>
        <w:t xml:space="preserve">        </w:t>
      </w:r>
      <w:r>
        <w:rPr>
          <w:rFonts w:ascii="Times New Roman" w:hAnsi="Times New Roman" w:cs="Times New Roman"/>
          <w:color w:val="auto"/>
          <w:sz w:val="15"/>
          <w:szCs w:val="18"/>
          <w:highlight w:val="none"/>
        </w:rPr>
        <w:t xml:space="preserve">        会计机构负责人：</w:t>
      </w:r>
      <w:r>
        <w:rPr>
          <w:rFonts w:ascii="Times New Roman" w:hAnsi="Times New Roman" w:cs="Times New Roman"/>
          <w:color w:val="auto"/>
          <w:sz w:val="18"/>
          <w:szCs w:val="18"/>
          <w:highlight w:val="none"/>
        </w:rPr>
        <w:br w:type="page"/>
      </w:r>
    </w:p>
    <w:p>
      <w:pPr>
        <w:adjustRightInd w:val="0"/>
        <w:snapToGrid w:val="0"/>
        <w:spacing w:line="240" w:lineRule="auto"/>
        <w:jc w:val="center"/>
        <w:rPr>
          <w:rFonts w:ascii="Times New Roman" w:hAnsi="Times New Roman" w:cs="Times New Roman"/>
          <w:b/>
          <w:color w:val="auto"/>
          <w:sz w:val="18"/>
          <w:szCs w:val="18"/>
          <w:highlight w:val="none"/>
        </w:rPr>
      </w:pPr>
      <w:r>
        <w:rPr>
          <w:rFonts w:ascii="Times New Roman" w:hAnsi="Times New Roman" w:cs="Times New Roman"/>
          <w:b/>
          <w:color w:val="auto"/>
          <w:sz w:val="18"/>
          <w:szCs w:val="18"/>
          <w:highlight w:val="none"/>
        </w:rPr>
        <w:fldChar w:fldCharType="begin"/>
      </w:r>
      <w:r>
        <w:rPr>
          <w:rFonts w:ascii="Times New Roman" w:hAnsi="Times New Roman" w:cs="Times New Roman"/>
          <w:b/>
          <w:color w:val="auto"/>
          <w:sz w:val="18"/>
          <w:szCs w:val="18"/>
          <w:highlight w:val="none"/>
        </w:rPr>
        <w:instrText xml:space="preserve"> DOCVARIABLE  基本信息_企业名称  \* MERGEFORMAT </w:instrText>
      </w:r>
      <w:r>
        <w:rPr>
          <w:rFonts w:ascii="Times New Roman" w:hAnsi="Times New Roman" w:cs="Times New Roman"/>
          <w:b/>
          <w:color w:val="auto"/>
          <w:sz w:val="18"/>
          <w:szCs w:val="18"/>
          <w:highlight w:val="none"/>
        </w:rPr>
        <w:fldChar w:fldCharType="separate"/>
      </w:r>
      <w:r>
        <w:rPr>
          <w:rFonts w:hint="eastAsia" w:ascii="Times New Roman" w:hAnsi="Times New Roman" w:cs="Times New Roman"/>
          <w:b/>
          <w:color w:val="auto"/>
          <w:sz w:val="18"/>
          <w:szCs w:val="18"/>
          <w:highlight w:val="none"/>
        </w:rPr>
        <w:t>国家电投集团贵州金元股份有限公司</w:t>
      </w:r>
      <w:r>
        <w:rPr>
          <w:rFonts w:ascii="Times New Roman" w:hAnsi="Times New Roman" w:cs="Times New Roman"/>
          <w:b/>
          <w:color w:val="auto"/>
          <w:sz w:val="18"/>
          <w:szCs w:val="18"/>
          <w:highlight w:val="none"/>
        </w:rPr>
        <w:fldChar w:fldCharType="end"/>
      </w:r>
    </w:p>
    <w:p>
      <w:pPr>
        <w:adjustRightInd w:val="0"/>
        <w:snapToGrid w:val="0"/>
        <w:spacing w:line="240" w:lineRule="auto"/>
        <w:jc w:val="center"/>
        <w:outlineLvl w:val="0"/>
        <w:rPr>
          <w:rFonts w:ascii="Times New Roman" w:hAnsi="Times New Roman" w:cs="Times New Roman"/>
          <w:b/>
          <w:color w:val="auto"/>
          <w:sz w:val="18"/>
          <w:szCs w:val="18"/>
          <w:highlight w:val="none"/>
        </w:rPr>
      </w:pPr>
      <w:r>
        <w:rPr>
          <w:rFonts w:hint="eastAsia" w:ascii="Times New Roman" w:hAnsi="Times New Roman" w:cs="Times New Roman"/>
          <w:b/>
          <w:color w:val="auto"/>
          <w:sz w:val="18"/>
          <w:szCs w:val="18"/>
          <w:highlight w:val="none"/>
        </w:rPr>
        <w:t>母公司</w:t>
      </w:r>
      <w:r>
        <w:rPr>
          <w:rFonts w:ascii="Times New Roman" w:hAnsi="Times New Roman" w:cs="Times New Roman"/>
          <w:b/>
          <w:color w:val="auto"/>
          <w:sz w:val="18"/>
          <w:szCs w:val="18"/>
          <w:highlight w:val="none"/>
        </w:rPr>
        <w:t>利润表</w:t>
      </w:r>
    </w:p>
    <w:p>
      <w:pPr>
        <w:adjustRightInd w:val="0"/>
        <w:snapToGrid w:val="0"/>
        <w:spacing w:line="240" w:lineRule="auto"/>
        <w:jc w:val="center"/>
        <w:rPr>
          <w:rFonts w:ascii="Times New Roman" w:hAnsi="Times New Roman" w:cs="Times New Roman"/>
          <w:b/>
          <w:color w:val="auto"/>
          <w:sz w:val="18"/>
          <w:szCs w:val="18"/>
          <w:highlight w:val="none"/>
        </w:rPr>
      </w:pPr>
      <w:r>
        <w:rPr>
          <w:rFonts w:ascii="Times New Roman" w:hAnsi="Times New Roman" w:cs="Times New Roman"/>
          <w:b/>
          <w:color w:val="auto"/>
          <w:sz w:val="18"/>
          <w:szCs w:val="18"/>
          <w:highlight w:val="none"/>
        </w:rPr>
        <w:fldChar w:fldCharType="begin"/>
      </w:r>
      <w:r>
        <w:rPr>
          <w:rFonts w:ascii="Times New Roman" w:hAnsi="Times New Roman" w:cs="Times New Roman"/>
          <w:b/>
          <w:color w:val="auto"/>
          <w:sz w:val="18"/>
          <w:szCs w:val="18"/>
          <w:highlight w:val="none"/>
        </w:rPr>
        <w:instrText xml:space="preserve"> DOCVARIABLE  基本信息_项目年度  \* MERGEFORMAT </w:instrText>
      </w:r>
      <w:r>
        <w:rPr>
          <w:rFonts w:ascii="Times New Roman" w:hAnsi="Times New Roman" w:cs="Times New Roman"/>
          <w:b/>
          <w:color w:val="auto"/>
          <w:sz w:val="18"/>
          <w:szCs w:val="18"/>
          <w:highlight w:val="none"/>
        </w:rPr>
        <w:fldChar w:fldCharType="separate"/>
      </w:r>
      <w:r>
        <w:rPr>
          <w:rFonts w:hint="eastAsia" w:ascii="Times New Roman" w:hAnsi="Times New Roman" w:cs="Times New Roman"/>
          <w:b/>
          <w:color w:val="auto"/>
          <w:sz w:val="18"/>
          <w:szCs w:val="18"/>
          <w:highlight w:val="none"/>
        </w:rPr>
        <w:t>2024年度</w:t>
      </w:r>
      <w:r>
        <w:rPr>
          <w:rFonts w:ascii="Times New Roman" w:hAnsi="Times New Roman" w:cs="Times New Roman"/>
          <w:b/>
          <w:color w:val="auto"/>
          <w:sz w:val="18"/>
          <w:szCs w:val="18"/>
          <w:highlight w:val="none"/>
        </w:rPr>
        <w:fldChar w:fldCharType="end"/>
      </w:r>
    </w:p>
    <w:p>
      <w:pPr>
        <w:adjustRightInd w:val="0"/>
        <w:snapToGrid w:val="0"/>
        <w:spacing w:after="120" w:afterLines="50" w:line="240" w:lineRule="auto"/>
        <w:jc w:val="center"/>
        <w:rPr>
          <w:rFonts w:ascii="Times New Roman" w:hAnsi="Times New Roman" w:cs="Times New Roman"/>
          <w:color w:val="auto"/>
          <w:kern w:val="0"/>
          <w:sz w:val="20"/>
          <w:szCs w:val="20"/>
          <w:highlight w:val="none"/>
        </w:rPr>
      </w:pPr>
      <w:r>
        <w:rPr>
          <w:rFonts w:ascii="Times New Roman" w:hAnsi="Times New Roman" w:cs="Times New Roman"/>
          <w:b/>
          <w:color w:val="auto"/>
          <w:sz w:val="18"/>
          <w:szCs w:val="18"/>
          <w:highlight w:val="none"/>
        </w:rPr>
        <w:t>（除特别注明外，金额单位均为人民币元）</w:t>
      </w:r>
      <w:r>
        <w:rPr>
          <w:rFonts w:ascii="Times New Roman" w:hAnsi="Times New Roman" w:cs="Times New Roman"/>
          <w:color w:val="auto"/>
          <w:sz w:val="18"/>
          <w:szCs w:val="18"/>
          <w:highlight w:val="none"/>
        </w:rPr>
        <w:fldChar w:fldCharType="begin"/>
      </w:r>
      <w:r>
        <w:rPr>
          <w:rFonts w:ascii="Times New Roman" w:hAnsi="Times New Roman" w:cs="Times New Roman"/>
          <w:color w:val="auto"/>
          <w:sz w:val="18"/>
          <w:szCs w:val="18"/>
          <w:highlight w:val="none"/>
        </w:rPr>
        <w:instrText xml:space="preserve"> LINK Excel.Sheet.12 E:\\雍\\附注排版\\2014年年报格式\\附注过渡表20150130V0910.xlsx 利!母公司利润表 \f 4 \h \* MERGEFORMAT </w:instrText>
      </w:r>
      <w:r>
        <w:rPr>
          <w:rFonts w:ascii="Times New Roman" w:hAnsi="Times New Roman" w:cs="Times New Roman"/>
          <w:color w:val="auto"/>
          <w:sz w:val="18"/>
          <w:szCs w:val="18"/>
          <w:highlight w:val="none"/>
        </w:rPr>
        <w:fldChar w:fldCharType="separate"/>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72"/>
        <w:gridCol w:w="998"/>
        <w:gridCol w:w="1702"/>
        <w:gridCol w:w="17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964" w:type="dxa"/>
            <w:vAlign w:val="center"/>
          </w:tcPr>
          <w:p>
            <w:pPr>
              <w:snapToGrid w:val="0"/>
              <w:spacing w:line="160" w:lineRule="atLeast"/>
              <w:jc w:val="center"/>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项目</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附注</w:t>
            </w:r>
          </w:p>
        </w:tc>
        <w:tc>
          <w:tcPr>
            <w:tcW w:w="1657" w:type="dxa"/>
            <w:vAlign w:val="center"/>
          </w:tcPr>
          <w:p>
            <w:pPr>
              <w:snapToGrid w:val="0"/>
              <w:spacing w:line="160" w:lineRule="atLeast"/>
              <w:jc w:val="center"/>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本期金额</w:t>
            </w:r>
          </w:p>
        </w:tc>
        <w:tc>
          <w:tcPr>
            <w:tcW w:w="1710" w:type="dxa"/>
            <w:vAlign w:val="center"/>
          </w:tcPr>
          <w:p>
            <w:pPr>
              <w:snapToGrid w:val="0"/>
              <w:spacing w:line="160" w:lineRule="atLeast"/>
              <w:jc w:val="center"/>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上期金额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b/>
                <w:color w:val="auto"/>
                <w:sz w:val="13"/>
                <w:szCs w:val="13"/>
                <w:highlight w:val="none"/>
              </w:rPr>
            </w:pPr>
            <w:r>
              <w:rPr>
                <w:rFonts w:ascii="Times New Roman" w:hAnsi="Times New Roman" w:cs="Times New Roman"/>
                <w:b/>
                <w:color w:val="auto"/>
                <w:sz w:val="13"/>
                <w:szCs w:val="13"/>
                <w:highlight w:val="none"/>
              </w:rPr>
              <w:t>一、营业总收入</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2,163,229,295.65</w:t>
            </w: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2,138,114,873.20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其中：营业收入</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十二、（四）</w:t>
            </w: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2,163,229,295.65</w:t>
            </w: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2,138,114,873.20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△利息收入</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△保险服务收入</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▲已赚保费</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△手续费及佣金收入</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b/>
                <w:color w:val="auto"/>
                <w:sz w:val="13"/>
                <w:szCs w:val="13"/>
                <w:highlight w:val="none"/>
              </w:rPr>
            </w:pPr>
            <w:r>
              <w:rPr>
                <w:rFonts w:ascii="Times New Roman" w:hAnsi="Times New Roman" w:cs="Times New Roman"/>
                <w:b/>
                <w:color w:val="auto"/>
                <w:sz w:val="13"/>
                <w:szCs w:val="13"/>
                <w:highlight w:val="none"/>
              </w:rPr>
              <w:t>二、营业总成本</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2,628,024,591.99</w:t>
            </w: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2,760,095,871.49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其中：营业成本</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十二、（四）</w:t>
            </w: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2,015,568,008.61</w:t>
            </w: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1,888,406,954.69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△利息支出</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△手续费及佣金支出</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△保险服务费用</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△分出保费的分摊</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△减：摊回保险服务费用</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△承保财务损失</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△减：分出再保险财务收益</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▲退保金</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▲赔付支出净额</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▲提取保险责任准备金净额</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▲保单红利支出</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▲分保费用</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税金及附加</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23,151,913.58</w:t>
            </w: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17,938,448.84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销售费用</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管理费用</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90,309,371.56</w:t>
            </w: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167,252,050.66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研发费用</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42,316,239.42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财务费用</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498,995,298.24</w:t>
            </w: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644,182,177.88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其中：利息费用</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659,909,414.43</w:t>
            </w: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927,620,049.60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利息收入</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310,102,963.65</w:t>
            </w: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311,007,161.30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汇兑净损失（净收益以“-”号填列）</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其他</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加：其他收益</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5,549,121.56</w:t>
            </w: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4,976,536.38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投资收益（损失以“-”号填列）</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十二、（五）</w:t>
            </w: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-45,730,793.60</w:t>
            </w: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383,780,918.42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其中：对联营企业和合营企业的投资收益</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8,127,195.20</w:t>
            </w: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12,349,147.59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以摊余成本计量的金融资产终止确认收益</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△汇兑收益（损失以“-”号填列）</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净敞口套期收益（损失以“-”号填列）</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公允价值变动收益（损失以“-”号填列）</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-1,315,400.00</w:t>
            </w: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-1,197,445.00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信用减值损失（损失以“-”号填列）</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1,500,000.00</w:t>
            </w: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287,736,112.41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资产减值损失（损失以“-”号填列）</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-3,337,613,581.40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资产处置收益（损失以“-”号填列）</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2,144.29</w:t>
            </w: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9,636,566.27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b/>
                <w:color w:val="auto"/>
                <w:sz w:val="13"/>
                <w:szCs w:val="13"/>
                <w:highlight w:val="none"/>
              </w:rPr>
            </w:pPr>
            <w:r>
              <w:rPr>
                <w:rFonts w:ascii="Times New Roman" w:hAnsi="Times New Roman" w:cs="Times New Roman"/>
                <w:b/>
                <w:color w:val="auto"/>
                <w:sz w:val="13"/>
                <w:szCs w:val="13"/>
                <w:highlight w:val="none"/>
              </w:rPr>
              <w:t>三、营业利润（亏损以“-”号填列）</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-504,790,224.09</w:t>
            </w: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-3,274,661,891.21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加：营业外收入</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793,236.78</w:t>
            </w: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1,431,362.22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其中：政府补助</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减：营业外支出</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69,628,110.76</w:t>
            </w: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16,486,130.45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b/>
                <w:color w:val="auto"/>
                <w:sz w:val="13"/>
                <w:szCs w:val="13"/>
                <w:highlight w:val="none"/>
              </w:rPr>
            </w:pPr>
            <w:r>
              <w:rPr>
                <w:rFonts w:ascii="Times New Roman" w:hAnsi="Times New Roman" w:cs="Times New Roman"/>
                <w:b/>
                <w:color w:val="auto"/>
                <w:sz w:val="13"/>
                <w:szCs w:val="13"/>
                <w:highlight w:val="none"/>
              </w:rPr>
              <w:t>四、利润总额（亏损总额以“-”号填列）</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-573,625,098.07</w:t>
            </w: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-3,289,716,659.44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减：所得税费用</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-298,640.61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b/>
                <w:color w:val="auto"/>
                <w:sz w:val="13"/>
                <w:szCs w:val="13"/>
                <w:highlight w:val="none"/>
              </w:rPr>
            </w:pPr>
            <w:r>
              <w:rPr>
                <w:rFonts w:ascii="Times New Roman" w:hAnsi="Times New Roman" w:cs="Times New Roman"/>
                <w:b/>
                <w:color w:val="auto"/>
                <w:sz w:val="13"/>
                <w:szCs w:val="13"/>
                <w:highlight w:val="none"/>
              </w:rPr>
              <w:t>五、净利润（净亏损以“-”号填列）</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-573,625,098.07</w:t>
            </w: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-3,289,418,018.83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（一）持续经营净利润</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-573,625,098.07</w:t>
            </w: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-3,289,418,018.83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（二）终止经营净利润</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b/>
                <w:color w:val="auto"/>
                <w:sz w:val="13"/>
                <w:szCs w:val="13"/>
                <w:highlight w:val="none"/>
              </w:rPr>
            </w:pPr>
            <w:r>
              <w:rPr>
                <w:rFonts w:ascii="Times New Roman" w:hAnsi="Times New Roman" w:cs="Times New Roman"/>
                <w:b/>
                <w:color w:val="auto"/>
                <w:sz w:val="13"/>
                <w:szCs w:val="13"/>
                <w:highlight w:val="none"/>
              </w:rPr>
              <w:t>六、其他综合收益的税后净额</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23,678,879.21</w:t>
            </w: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40,668,123.50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（一）不能重分类进损益的其他综合收益</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23,678,879.21</w:t>
            </w: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40,668,123.50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1．重新计量设定受益计划变动额</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2．权益法下不能转损益的其他综合收益</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3．其他权益工具投资公允价值变动</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23,678,879.21</w:t>
            </w: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40,668,123.50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4．企业自身信用风险公允价值变动</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△5．不能转损益的保险合同金融变动</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6．其他</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（二）将重分类进损益的其他综合收益</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1．权益法下可转损益的其他综合收益</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2．其他债权投资公允价值变动</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☆3．可供出售金融资产公允价值变动损益</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4．金融资产重分类计入其他综合收益的金额</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☆5．持有至到期投资重分类为可供出售金融资产损益</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6．其他债权投资信用减值准备</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7．现金流量套期储备（现金流量套期损益的有效部分）</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8．外币财务报表折算差额</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△9．可转损益的保险合同金融变动</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△10．可转损益的分出再保险合同金融变动</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11．其他</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b/>
                <w:color w:val="auto"/>
                <w:sz w:val="13"/>
                <w:szCs w:val="13"/>
                <w:highlight w:val="none"/>
              </w:rPr>
            </w:pPr>
            <w:r>
              <w:rPr>
                <w:rFonts w:ascii="Times New Roman" w:hAnsi="Times New Roman" w:cs="Times New Roman"/>
                <w:b/>
                <w:color w:val="auto"/>
                <w:sz w:val="13"/>
                <w:szCs w:val="13"/>
                <w:highlight w:val="none"/>
              </w:rPr>
              <w:t>七、综合收益总额</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-549,946,218.86</w:t>
            </w: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-3,248,749,895.33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b/>
                <w:color w:val="auto"/>
                <w:sz w:val="13"/>
                <w:szCs w:val="13"/>
                <w:highlight w:val="none"/>
              </w:rPr>
            </w:pPr>
            <w:r>
              <w:rPr>
                <w:rFonts w:ascii="Times New Roman" w:hAnsi="Times New Roman" w:cs="Times New Roman"/>
                <w:b/>
                <w:color w:val="auto"/>
                <w:sz w:val="13"/>
                <w:szCs w:val="13"/>
                <w:highlight w:val="none"/>
              </w:rPr>
              <w:t>八、每股收益：</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基本每股收益</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3"/>
                <w:szCs w:val="13"/>
                <w:highlight w:val="none"/>
              </w:rPr>
            </w:pPr>
            <w:r>
              <w:rPr>
                <w:rFonts w:ascii="Times New Roman" w:hAnsi="Times New Roman" w:cs="Times New Roman"/>
                <w:color w:val="auto"/>
                <w:sz w:val="13"/>
                <w:szCs w:val="13"/>
                <w:highlight w:val="none"/>
              </w:rPr>
              <w:t xml:space="preserve">    稀释每股收益</w:t>
            </w:r>
          </w:p>
        </w:tc>
        <w:tc>
          <w:tcPr>
            <w:tcW w:w="972" w:type="dxa"/>
            <w:vAlign w:val="center"/>
          </w:tcPr>
          <w:p>
            <w:pPr>
              <w:snapToGrid w:val="0"/>
              <w:spacing w:line="160" w:lineRule="atLeast"/>
              <w:jc w:val="center"/>
              <w:rPr>
                <w:rFonts w:ascii="Times New Roman" w:hAnsi="Times New Roman" w:cs="Times New Roman"/>
                <w:color w:val="auto"/>
                <w:sz w:val="13"/>
                <w:szCs w:val="13"/>
                <w:highlight w:val="none"/>
              </w:rPr>
            </w:pPr>
          </w:p>
        </w:tc>
        <w:tc>
          <w:tcPr>
            <w:tcW w:w="1657" w:type="dxa"/>
            <w:vAlign w:val="center"/>
          </w:tcPr>
          <w:p>
            <w:pPr>
              <w:snapToGrid w:val="0"/>
              <w:spacing w:line="160" w:lineRule="atLeast"/>
              <w:jc w:val="right"/>
              <w:rPr>
                <w:rFonts w:ascii="Times New Roman" w:hAnsi="Times New Roman" w:cs="Times New Roman"/>
                <w:color w:val="auto"/>
                <w:sz w:val="13"/>
                <w:szCs w:val="13"/>
                <w:highlight w:val="none"/>
              </w:rPr>
            </w:pPr>
          </w:p>
        </w:tc>
        <w:tc>
          <w:tcPr>
            <w:tcW w:w="1710" w:type="dxa"/>
            <w:vAlign w:val="center"/>
          </w:tcPr>
          <w:p>
            <w:pPr>
              <w:snapToGrid w:val="0"/>
              <w:spacing w:line="160" w:lineRule="atLeast"/>
              <w:jc w:val="right"/>
              <w:rPr>
                <w:rFonts w:ascii="Times New Roman" w:hAnsi="Times New Roman" w:cs="Times New Roman"/>
                <w:color w:val="auto"/>
                <w:sz w:val="13"/>
                <w:szCs w:val="13"/>
                <w:highlight w:val="none"/>
              </w:rPr>
            </w:pPr>
          </w:p>
        </w:tc>
      </w:tr>
    </w:tbl>
    <w:p>
      <w:pPr>
        <w:tabs>
          <w:tab w:val="left" w:pos="1440"/>
          <w:tab w:val="left" w:pos="1620"/>
          <w:tab w:val="left" w:pos="1800"/>
        </w:tabs>
        <w:adjustRightInd w:val="0"/>
        <w:snapToGrid w:val="0"/>
        <w:spacing w:before="80" w:line="240" w:lineRule="atLeas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fldChar w:fldCharType="end"/>
      </w:r>
      <w:r>
        <w:rPr>
          <w:rFonts w:ascii="Times New Roman" w:hAnsi="Times New Roman" w:cs="Times New Roman"/>
          <w:color w:val="auto"/>
          <w:sz w:val="18"/>
          <w:szCs w:val="18"/>
          <w:highlight w:val="none"/>
        </w:rPr>
        <w:t>企业法定代表人：             主管会计工作负责人：             会计机构负责人：</w:t>
      </w:r>
      <w:r>
        <w:rPr>
          <w:rFonts w:ascii="Times New Roman" w:hAnsi="Times New Roman" w:cs="Times New Roman"/>
          <w:color w:val="auto"/>
          <w:sz w:val="18"/>
          <w:szCs w:val="18"/>
          <w:highlight w:val="none"/>
        </w:rPr>
        <w:br w:type="page"/>
      </w:r>
    </w:p>
    <w:p>
      <w:pPr>
        <w:adjustRightInd w:val="0"/>
        <w:snapToGrid w:val="0"/>
        <w:spacing w:line="240" w:lineRule="auto"/>
        <w:jc w:val="center"/>
        <w:rPr>
          <w:rFonts w:ascii="Times New Roman" w:hAnsi="Times New Roman" w:cs="Times New Roman"/>
          <w:b/>
          <w:color w:val="auto"/>
          <w:sz w:val="18"/>
          <w:szCs w:val="18"/>
          <w:highlight w:val="none"/>
        </w:rPr>
      </w:pPr>
      <w:r>
        <w:rPr>
          <w:rFonts w:ascii="Times New Roman" w:hAnsi="Times New Roman" w:cs="Times New Roman"/>
          <w:b/>
          <w:color w:val="auto"/>
          <w:sz w:val="18"/>
          <w:szCs w:val="18"/>
          <w:highlight w:val="none"/>
        </w:rPr>
        <w:fldChar w:fldCharType="begin"/>
      </w:r>
      <w:r>
        <w:rPr>
          <w:rFonts w:ascii="Times New Roman" w:hAnsi="Times New Roman" w:cs="Times New Roman"/>
          <w:b/>
          <w:color w:val="auto"/>
          <w:sz w:val="18"/>
          <w:szCs w:val="18"/>
          <w:highlight w:val="none"/>
        </w:rPr>
        <w:instrText xml:space="preserve"> DOCVARIABLE  基本信息_企业名称  \* MERGEFORMAT </w:instrText>
      </w:r>
      <w:r>
        <w:rPr>
          <w:rFonts w:ascii="Times New Roman" w:hAnsi="Times New Roman" w:cs="Times New Roman"/>
          <w:b/>
          <w:color w:val="auto"/>
          <w:sz w:val="18"/>
          <w:szCs w:val="18"/>
          <w:highlight w:val="none"/>
        </w:rPr>
        <w:fldChar w:fldCharType="separate"/>
      </w:r>
      <w:r>
        <w:rPr>
          <w:rFonts w:hint="eastAsia" w:ascii="Times New Roman" w:hAnsi="Times New Roman" w:cs="Times New Roman"/>
          <w:b/>
          <w:color w:val="auto"/>
          <w:sz w:val="18"/>
          <w:szCs w:val="18"/>
          <w:highlight w:val="none"/>
        </w:rPr>
        <w:t>国家电投集团贵州金元股份有限公司</w:t>
      </w:r>
      <w:r>
        <w:rPr>
          <w:rFonts w:ascii="Times New Roman" w:hAnsi="Times New Roman" w:cs="Times New Roman"/>
          <w:b/>
          <w:color w:val="auto"/>
          <w:sz w:val="18"/>
          <w:szCs w:val="18"/>
          <w:highlight w:val="none"/>
        </w:rPr>
        <w:fldChar w:fldCharType="end"/>
      </w:r>
    </w:p>
    <w:p>
      <w:pPr>
        <w:adjustRightInd w:val="0"/>
        <w:snapToGrid w:val="0"/>
        <w:spacing w:line="240" w:lineRule="auto"/>
        <w:jc w:val="center"/>
        <w:outlineLvl w:val="0"/>
        <w:rPr>
          <w:rFonts w:ascii="Times New Roman" w:hAnsi="Times New Roman" w:cs="Times New Roman"/>
          <w:b/>
          <w:color w:val="auto"/>
          <w:sz w:val="18"/>
          <w:szCs w:val="18"/>
          <w:highlight w:val="none"/>
        </w:rPr>
      </w:pPr>
      <w:r>
        <w:rPr>
          <w:rFonts w:hint="eastAsia" w:ascii="Times New Roman" w:hAnsi="Times New Roman" w:cs="Times New Roman"/>
          <w:b/>
          <w:color w:val="auto"/>
          <w:sz w:val="18"/>
          <w:szCs w:val="18"/>
          <w:highlight w:val="none"/>
        </w:rPr>
        <w:t>合并</w:t>
      </w:r>
      <w:r>
        <w:rPr>
          <w:rFonts w:ascii="Times New Roman" w:hAnsi="Times New Roman" w:cs="Times New Roman"/>
          <w:b/>
          <w:color w:val="auto"/>
          <w:sz w:val="18"/>
          <w:szCs w:val="18"/>
          <w:highlight w:val="none"/>
        </w:rPr>
        <w:t>现金流量表</w:t>
      </w:r>
    </w:p>
    <w:p>
      <w:pPr>
        <w:adjustRightInd w:val="0"/>
        <w:snapToGrid w:val="0"/>
        <w:spacing w:line="240" w:lineRule="auto"/>
        <w:jc w:val="center"/>
        <w:rPr>
          <w:rFonts w:ascii="Times New Roman" w:hAnsi="Times New Roman" w:cs="Times New Roman"/>
          <w:b/>
          <w:color w:val="auto"/>
          <w:sz w:val="18"/>
          <w:szCs w:val="18"/>
          <w:highlight w:val="none"/>
        </w:rPr>
      </w:pPr>
      <w:r>
        <w:rPr>
          <w:rFonts w:ascii="Times New Roman" w:hAnsi="Times New Roman" w:cs="Times New Roman"/>
          <w:b/>
          <w:color w:val="auto"/>
          <w:sz w:val="18"/>
          <w:szCs w:val="18"/>
          <w:highlight w:val="none"/>
        </w:rPr>
        <w:fldChar w:fldCharType="begin"/>
      </w:r>
      <w:r>
        <w:rPr>
          <w:rFonts w:ascii="Times New Roman" w:hAnsi="Times New Roman" w:cs="Times New Roman"/>
          <w:b/>
          <w:color w:val="auto"/>
          <w:sz w:val="18"/>
          <w:szCs w:val="18"/>
          <w:highlight w:val="none"/>
        </w:rPr>
        <w:instrText xml:space="preserve"> DOCVARIABLE  基本信息_项目年度  \* MERGEFORMAT </w:instrText>
      </w:r>
      <w:r>
        <w:rPr>
          <w:rFonts w:ascii="Times New Roman" w:hAnsi="Times New Roman" w:cs="Times New Roman"/>
          <w:b/>
          <w:color w:val="auto"/>
          <w:sz w:val="18"/>
          <w:szCs w:val="18"/>
          <w:highlight w:val="none"/>
        </w:rPr>
        <w:fldChar w:fldCharType="separate"/>
      </w:r>
      <w:r>
        <w:rPr>
          <w:rFonts w:hint="eastAsia" w:ascii="Times New Roman" w:hAnsi="Times New Roman" w:cs="Times New Roman"/>
          <w:b/>
          <w:color w:val="auto"/>
          <w:sz w:val="18"/>
          <w:szCs w:val="18"/>
          <w:highlight w:val="none"/>
        </w:rPr>
        <w:t>2024年度</w:t>
      </w:r>
      <w:r>
        <w:rPr>
          <w:rFonts w:ascii="Times New Roman" w:hAnsi="Times New Roman" w:cs="Times New Roman"/>
          <w:b/>
          <w:color w:val="auto"/>
          <w:sz w:val="18"/>
          <w:szCs w:val="18"/>
          <w:highlight w:val="none"/>
        </w:rPr>
        <w:fldChar w:fldCharType="end"/>
      </w:r>
    </w:p>
    <w:p>
      <w:pPr>
        <w:adjustRightInd w:val="0"/>
        <w:snapToGrid w:val="0"/>
        <w:spacing w:after="120" w:afterLines="50" w:line="240" w:lineRule="auto"/>
        <w:jc w:val="center"/>
        <w:rPr>
          <w:rFonts w:ascii="Times New Roman" w:hAnsi="Times New Roman" w:cs="Times New Roman"/>
          <w:b/>
          <w:color w:val="auto"/>
          <w:highlight w:val="none"/>
        </w:rPr>
      </w:pPr>
      <w:r>
        <w:rPr>
          <w:rFonts w:ascii="Times New Roman" w:hAnsi="Times New Roman" w:cs="Times New Roman"/>
          <w:b/>
          <w:color w:val="auto"/>
          <w:sz w:val="18"/>
          <w:szCs w:val="18"/>
          <w:highlight w:val="none"/>
        </w:rPr>
        <w:t>（除特别注明外，金额单位均为人民币元）</w:t>
      </w:r>
      <w:r>
        <w:rPr>
          <w:rFonts w:ascii="Times New Roman" w:hAnsi="Times New Roman" w:cs="Times New Roman"/>
          <w:color w:val="auto"/>
          <w:sz w:val="18"/>
          <w:szCs w:val="18"/>
          <w:highlight w:val="none"/>
        </w:rPr>
        <w:fldChar w:fldCharType="begin"/>
      </w:r>
      <w:r>
        <w:rPr>
          <w:rFonts w:ascii="Times New Roman" w:hAnsi="Times New Roman" w:cs="Times New Roman"/>
          <w:color w:val="auto"/>
          <w:sz w:val="18"/>
          <w:szCs w:val="18"/>
          <w:highlight w:val="none"/>
        </w:rPr>
        <w:instrText xml:space="preserve"> LINK Excel.Sheet.12 E:\\雍\\附注排版\\2014年年报格式\\附注过渡表20150130V0910.xlsx 现合并!合并现金流量表 \f 4 \h \* MERGEFORMAT </w:instrText>
      </w:r>
      <w:r>
        <w:rPr>
          <w:rFonts w:ascii="Times New Roman" w:hAnsi="Times New Roman" w:cs="Times New Roman"/>
          <w:color w:val="auto"/>
          <w:sz w:val="18"/>
          <w:szCs w:val="18"/>
          <w:highlight w:val="none"/>
        </w:rPr>
        <w:fldChar w:fldCharType="separate"/>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50"/>
        <w:gridCol w:w="714"/>
        <w:gridCol w:w="1704"/>
        <w:gridCol w:w="17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235" w:type="dxa"/>
            <w:vAlign w:val="center"/>
          </w:tcPr>
          <w:p>
            <w:pPr>
              <w:snapToGrid w:val="0"/>
              <w:spacing w:line="16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项目</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附注</w:t>
            </w:r>
          </w:p>
        </w:tc>
        <w:tc>
          <w:tcPr>
            <w:tcW w:w="1659" w:type="dxa"/>
            <w:vAlign w:val="center"/>
          </w:tcPr>
          <w:p>
            <w:pPr>
              <w:snapToGrid w:val="0"/>
              <w:spacing w:line="16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本期金额</w:t>
            </w:r>
          </w:p>
        </w:tc>
        <w:tc>
          <w:tcPr>
            <w:tcW w:w="1714" w:type="dxa"/>
            <w:vAlign w:val="center"/>
          </w:tcPr>
          <w:p>
            <w:pPr>
              <w:snapToGrid w:val="0"/>
              <w:spacing w:line="16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上期金额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b/>
                <w:color w:val="auto"/>
                <w:sz w:val="15"/>
                <w:szCs w:val="15"/>
                <w:highlight w:val="none"/>
              </w:rPr>
            </w:pPr>
            <w:r>
              <w:rPr>
                <w:rFonts w:ascii="Times New Roman" w:hAnsi="Times New Roman" w:cs="Times New Roman"/>
                <w:b/>
                <w:color w:val="auto"/>
                <w:sz w:val="15"/>
                <w:szCs w:val="15"/>
                <w:highlight w:val="none"/>
              </w:rPr>
              <w:t>一、经营活动产生的现金流量：</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714" w:type="dxa"/>
            <w:vAlign w:val="center"/>
          </w:tcPr>
          <w:p>
            <w:pPr>
              <w:snapToGrid w:val="0"/>
              <w:spacing w:line="160" w:lineRule="atLeast"/>
              <w:jc w:val="center"/>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销售商品、提供劳务收到的现金</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21,993,522,858.53</w:t>
            </w: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22,437,550,496.99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△客户存款和同业存放款项净增加额</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△向中央银行借款净增加额</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△向其他金融机构拆入资金净增加额</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△收到签发保险合同保费取得的现金</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△收到分入再保险合同的现金净额</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▲收到原保险合同保费取得的现金</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▲收到再保业务现金净额</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▲保户储金及投资款净增加额</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△处置以公允价值计量且其变动计入当期损益的金融资产净增加额</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△收取利息、手续费及佣金的现金</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△拆入资金净增加额</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△回购业务资金净增加额</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△代理买卖证券收到的现金净额</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收到的税费返还</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48,305,278.02</w:t>
            </w: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90,691,832.60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收到其他与经营活动有关的现金</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517,116,452.99</w:t>
            </w: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618,898,285.65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经营活动现金流入小计</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22,558,944,589.54</w:t>
            </w: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23,147,140,615.24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购买商品、接受劳务支付的现金</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13,649,598,521.16</w:t>
            </w: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15,900,965,016.27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△客户贷款及垫款净增加额</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△存放中央银行和同业款项净增加额</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△支付签发保险合同赔款的现金</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△支付分出再保险合同的现金净额</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△保单质押贷款净增加额</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▲支付原保险合同赔付款项的现金</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△拆出资金净增加额</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△支付利息、手续费及佣金的现金</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▲支付保单红利的现金</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支付给职工及为职工支付的现金</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2,461,928,361.21</w:t>
            </w: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2,573,249,777.25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支付的各项税费</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1,083,150,818.68</w:t>
            </w: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1,005,534,273.94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支付其他与经营活动有关的现金</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173,482,185.97</w:t>
            </w: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144,005,993.30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经营活动现金流出小计</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17,368,159,887.02</w:t>
            </w: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19,623,755,060.76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b/>
                <w:color w:val="auto"/>
                <w:sz w:val="15"/>
                <w:szCs w:val="15"/>
                <w:highlight w:val="none"/>
              </w:rPr>
            </w:pPr>
            <w:r>
              <w:rPr>
                <w:rFonts w:ascii="Times New Roman" w:hAnsi="Times New Roman" w:cs="Times New Roman"/>
                <w:b/>
                <w:color w:val="auto"/>
                <w:sz w:val="15"/>
                <w:szCs w:val="15"/>
                <w:highlight w:val="none"/>
              </w:rPr>
              <w:t>经营活动产生的现金流量净额</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5,190,784,702.52</w:t>
            </w: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3,523,385,554.48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b/>
                <w:color w:val="auto"/>
                <w:sz w:val="15"/>
                <w:szCs w:val="15"/>
                <w:highlight w:val="none"/>
              </w:rPr>
            </w:pPr>
            <w:r>
              <w:rPr>
                <w:rFonts w:ascii="Times New Roman" w:hAnsi="Times New Roman" w:cs="Times New Roman"/>
                <w:b/>
                <w:color w:val="auto"/>
                <w:sz w:val="15"/>
                <w:szCs w:val="15"/>
                <w:highlight w:val="none"/>
              </w:rPr>
              <w:t>二、投资活动产生的现金流量：</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收回投资收到的现金</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取得投资收益收到的现金</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149,654,266.88</w:t>
            </w: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136,551,809.90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处置固定资产、无形资产和其他长期资产收回的现金净额</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11,394.65</w:t>
            </w: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411,833,518.47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处置子公司及其他营业单位收到的现金净额</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730,002,376.96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收到其他与投资活动有关的现金</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18,150,881.90</w:t>
            </w: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投资活动现金流入小计</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167,816,543.43</w:t>
            </w: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1,278,387,705.33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购建固定资产、无形资产和其他长期资产支付的现金</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5,574,434,426.22</w:t>
            </w: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6,142,734,947.35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投资支付的现金</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163,096,300.00</w:t>
            </w: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728,799,067.07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▲质押贷款净增加额</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取得子公司及其他营业单位支付的现金净额</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506,556,523.44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支付其他与投资活动有关的现金</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17,839,580.24</w:t>
            </w: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918,921,000.00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投资活动现金流出小计</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5,755,370,306.46</w:t>
            </w: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8,297,011,537.86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b/>
                <w:color w:val="auto"/>
                <w:sz w:val="15"/>
                <w:szCs w:val="15"/>
                <w:highlight w:val="none"/>
              </w:rPr>
            </w:pPr>
            <w:r>
              <w:rPr>
                <w:rFonts w:ascii="Times New Roman" w:hAnsi="Times New Roman" w:cs="Times New Roman"/>
                <w:b/>
                <w:color w:val="auto"/>
                <w:sz w:val="15"/>
                <w:szCs w:val="15"/>
                <w:highlight w:val="none"/>
              </w:rPr>
              <w:t>投资活动产生的现金流量净额</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-5,587,553,763.03</w:t>
            </w: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-7,018,623,832.53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b/>
                <w:color w:val="auto"/>
                <w:sz w:val="15"/>
                <w:szCs w:val="15"/>
                <w:highlight w:val="none"/>
              </w:rPr>
            </w:pPr>
            <w:r>
              <w:rPr>
                <w:rFonts w:ascii="Times New Roman" w:hAnsi="Times New Roman" w:cs="Times New Roman"/>
                <w:b/>
                <w:color w:val="auto"/>
                <w:sz w:val="15"/>
                <w:szCs w:val="15"/>
                <w:highlight w:val="none"/>
              </w:rPr>
              <w:t>三、筹资活动产生的现金流量：</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吸收投资收到的现金</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7,243,420,000.00</w:t>
            </w: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70,090,000.00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其中：子公司吸收少数股东投资收到的现金</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80,420,000.00</w:t>
            </w: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70,090,000.00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取得借款收到的现金</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34,838,090,408.17</w:t>
            </w: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31,062,817,061.43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收到其他与筹资活动有关的现金</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2,025,232,870.19</w:t>
            </w: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8,971,089,520.00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筹资活动现金流入小计</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44,106,743,278.36</w:t>
            </w: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40,103,996,581.43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偿还债务支付的现金</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35,476,665,348.51</w:t>
            </w: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31,332,160,639.03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分配股利、利润或偿付利息支付的现金</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2,204,020,727.62</w:t>
            </w: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1,746,587,214.62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其中：子公司支付给少数股东的股利、利润</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247,040,694.23</w:t>
            </w: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16,197,534.25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支付其他与筹资活动有关的现金</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5,512,378,207.94</w:t>
            </w: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5,979,250,196.89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筹资活动现金流出小计</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43,193,064,284.07</w:t>
            </w: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39,057,998,050.54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b/>
                <w:color w:val="auto"/>
                <w:sz w:val="15"/>
                <w:szCs w:val="15"/>
                <w:highlight w:val="none"/>
              </w:rPr>
            </w:pPr>
            <w:r>
              <w:rPr>
                <w:rFonts w:ascii="Times New Roman" w:hAnsi="Times New Roman" w:cs="Times New Roman"/>
                <w:b/>
                <w:color w:val="auto"/>
                <w:sz w:val="15"/>
                <w:szCs w:val="15"/>
                <w:highlight w:val="none"/>
              </w:rPr>
              <w:t>筹资活动产生的现金流量净额</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913,678,994.29</w:t>
            </w: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1,045,998,530.89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b/>
                <w:color w:val="auto"/>
                <w:sz w:val="15"/>
                <w:szCs w:val="15"/>
                <w:highlight w:val="none"/>
              </w:rPr>
            </w:pPr>
            <w:r>
              <w:rPr>
                <w:rFonts w:ascii="Times New Roman" w:hAnsi="Times New Roman" w:cs="Times New Roman"/>
                <w:b/>
                <w:color w:val="auto"/>
                <w:sz w:val="15"/>
                <w:szCs w:val="15"/>
                <w:highlight w:val="none"/>
              </w:rPr>
              <w:t>四、汇率变动对现金及现金等价物的影响</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b/>
                <w:color w:val="auto"/>
                <w:sz w:val="15"/>
                <w:szCs w:val="15"/>
                <w:highlight w:val="none"/>
              </w:rPr>
            </w:pPr>
            <w:r>
              <w:rPr>
                <w:rFonts w:ascii="Times New Roman" w:hAnsi="Times New Roman" w:cs="Times New Roman"/>
                <w:b/>
                <w:color w:val="auto"/>
                <w:sz w:val="15"/>
                <w:szCs w:val="15"/>
                <w:highlight w:val="none"/>
              </w:rPr>
              <w:t>五、现金及现金等价物净增加额</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516,909,933.78</w:t>
            </w: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-2,449,239,747.16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加：期初现金及现金等价物余额</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895,717,263.20</w:t>
            </w: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3,344,957,010.36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5" w:type="dxa"/>
            <w:vAlign w:val="center"/>
          </w:tcPr>
          <w:p>
            <w:pPr>
              <w:snapToGrid w:val="0"/>
              <w:spacing w:line="160" w:lineRule="atLeast"/>
              <w:rPr>
                <w:rFonts w:ascii="Times New Roman" w:hAnsi="Times New Roman" w:cs="Times New Roman"/>
                <w:b/>
                <w:color w:val="auto"/>
                <w:sz w:val="15"/>
                <w:szCs w:val="15"/>
                <w:highlight w:val="none"/>
              </w:rPr>
            </w:pPr>
            <w:r>
              <w:rPr>
                <w:rFonts w:ascii="Times New Roman" w:hAnsi="Times New Roman" w:cs="Times New Roman"/>
                <w:b/>
                <w:color w:val="auto"/>
                <w:sz w:val="15"/>
                <w:szCs w:val="15"/>
                <w:highlight w:val="none"/>
              </w:rPr>
              <w:t>六、期末现金及现金等价物余额</w:t>
            </w:r>
          </w:p>
        </w:tc>
        <w:tc>
          <w:tcPr>
            <w:tcW w:w="695" w:type="dxa"/>
            <w:vAlign w:val="center"/>
          </w:tcPr>
          <w:p>
            <w:pPr>
              <w:snapToGrid w:val="0"/>
              <w:spacing w:line="160" w:lineRule="atLeast"/>
              <w:jc w:val="center"/>
              <w:rPr>
                <w:rFonts w:ascii="Times New Roman" w:hAnsi="Times New Roman" w:cs="Times New Roman"/>
                <w:color w:val="auto"/>
                <w:sz w:val="15"/>
                <w:szCs w:val="15"/>
                <w:highlight w:val="none"/>
              </w:rPr>
            </w:pPr>
          </w:p>
        </w:tc>
        <w:tc>
          <w:tcPr>
            <w:tcW w:w="1659"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1,412,627,196.98</w:t>
            </w:r>
          </w:p>
        </w:tc>
        <w:tc>
          <w:tcPr>
            <w:tcW w:w="1714" w:type="dxa"/>
            <w:vAlign w:val="center"/>
          </w:tcPr>
          <w:p>
            <w:pPr>
              <w:snapToGrid w:val="0"/>
              <w:spacing w:line="16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895,717,263.20</w:t>
            </w:r>
          </w:p>
        </w:tc>
      </w:tr>
    </w:tbl>
    <w:p>
      <w:pPr>
        <w:tabs>
          <w:tab w:val="left" w:pos="1440"/>
          <w:tab w:val="left" w:pos="1620"/>
          <w:tab w:val="left" w:pos="1800"/>
        </w:tabs>
        <w:adjustRightInd w:val="0"/>
        <w:snapToGrid w:val="0"/>
        <w:spacing w:before="80" w:line="240" w:lineRule="atLeas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fldChar w:fldCharType="end"/>
      </w:r>
      <w:r>
        <w:rPr>
          <w:rFonts w:ascii="Times New Roman" w:hAnsi="Times New Roman" w:cs="Times New Roman"/>
          <w:color w:val="auto"/>
          <w:sz w:val="18"/>
          <w:szCs w:val="18"/>
          <w:highlight w:val="none"/>
        </w:rPr>
        <w:t>企业法定代表人：             主管会计工作负责人：             会计机构负责人：</w:t>
      </w:r>
      <w:r>
        <w:rPr>
          <w:rFonts w:ascii="Times New Roman" w:hAnsi="Times New Roman" w:cs="Times New Roman"/>
          <w:color w:val="auto"/>
          <w:sz w:val="18"/>
          <w:szCs w:val="18"/>
          <w:highlight w:val="none"/>
        </w:rPr>
        <w:br w:type="page"/>
      </w:r>
    </w:p>
    <w:p>
      <w:pPr>
        <w:adjustRightInd w:val="0"/>
        <w:snapToGrid w:val="0"/>
        <w:spacing w:line="240" w:lineRule="auto"/>
        <w:jc w:val="center"/>
        <w:rPr>
          <w:rFonts w:ascii="Times New Roman" w:hAnsi="Times New Roman" w:cs="Times New Roman"/>
          <w:b/>
          <w:color w:val="auto"/>
          <w:sz w:val="18"/>
          <w:szCs w:val="18"/>
          <w:highlight w:val="none"/>
        </w:rPr>
      </w:pPr>
      <w:r>
        <w:rPr>
          <w:rFonts w:ascii="Times New Roman" w:hAnsi="Times New Roman" w:cs="Times New Roman"/>
          <w:b/>
          <w:color w:val="auto"/>
          <w:sz w:val="18"/>
          <w:szCs w:val="18"/>
          <w:highlight w:val="none"/>
        </w:rPr>
        <w:fldChar w:fldCharType="begin"/>
      </w:r>
      <w:r>
        <w:rPr>
          <w:rFonts w:ascii="Times New Roman" w:hAnsi="Times New Roman" w:cs="Times New Roman"/>
          <w:b/>
          <w:color w:val="auto"/>
          <w:sz w:val="18"/>
          <w:szCs w:val="18"/>
          <w:highlight w:val="none"/>
        </w:rPr>
        <w:instrText xml:space="preserve"> DOCVARIABLE  基本信息_企业名称  \* MERGEFORMAT </w:instrText>
      </w:r>
      <w:r>
        <w:rPr>
          <w:rFonts w:ascii="Times New Roman" w:hAnsi="Times New Roman" w:cs="Times New Roman"/>
          <w:b/>
          <w:color w:val="auto"/>
          <w:sz w:val="18"/>
          <w:szCs w:val="18"/>
          <w:highlight w:val="none"/>
        </w:rPr>
        <w:fldChar w:fldCharType="separate"/>
      </w:r>
      <w:r>
        <w:rPr>
          <w:rFonts w:hint="eastAsia" w:ascii="Times New Roman" w:hAnsi="Times New Roman" w:cs="Times New Roman"/>
          <w:b/>
          <w:color w:val="auto"/>
          <w:sz w:val="18"/>
          <w:szCs w:val="18"/>
          <w:highlight w:val="none"/>
        </w:rPr>
        <w:t>国家电投集团贵州金元股份有限公司</w:t>
      </w:r>
      <w:r>
        <w:rPr>
          <w:rFonts w:ascii="Times New Roman" w:hAnsi="Times New Roman" w:cs="Times New Roman"/>
          <w:b/>
          <w:color w:val="auto"/>
          <w:sz w:val="18"/>
          <w:szCs w:val="18"/>
          <w:highlight w:val="none"/>
        </w:rPr>
        <w:fldChar w:fldCharType="end"/>
      </w:r>
    </w:p>
    <w:p>
      <w:pPr>
        <w:adjustRightInd w:val="0"/>
        <w:snapToGrid w:val="0"/>
        <w:spacing w:line="240" w:lineRule="auto"/>
        <w:jc w:val="center"/>
        <w:outlineLvl w:val="0"/>
        <w:rPr>
          <w:rFonts w:ascii="Times New Roman" w:hAnsi="Times New Roman" w:cs="Times New Roman"/>
          <w:b/>
          <w:color w:val="auto"/>
          <w:sz w:val="18"/>
          <w:szCs w:val="18"/>
          <w:highlight w:val="none"/>
        </w:rPr>
      </w:pPr>
      <w:r>
        <w:rPr>
          <w:rFonts w:hint="eastAsia" w:ascii="Times New Roman" w:hAnsi="Times New Roman" w:cs="Times New Roman"/>
          <w:b/>
          <w:color w:val="auto"/>
          <w:sz w:val="18"/>
          <w:szCs w:val="18"/>
          <w:highlight w:val="none"/>
        </w:rPr>
        <w:t>母公司</w:t>
      </w:r>
      <w:r>
        <w:rPr>
          <w:rFonts w:ascii="Times New Roman" w:hAnsi="Times New Roman" w:cs="Times New Roman"/>
          <w:b/>
          <w:color w:val="auto"/>
          <w:sz w:val="18"/>
          <w:szCs w:val="18"/>
          <w:highlight w:val="none"/>
        </w:rPr>
        <w:t>现金流量表</w:t>
      </w:r>
    </w:p>
    <w:p>
      <w:pPr>
        <w:adjustRightInd w:val="0"/>
        <w:snapToGrid w:val="0"/>
        <w:spacing w:line="240" w:lineRule="auto"/>
        <w:jc w:val="center"/>
        <w:rPr>
          <w:rFonts w:ascii="Times New Roman" w:hAnsi="Times New Roman" w:cs="Times New Roman"/>
          <w:b/>
          <w:color w:val="auto"/>
          <w:sz w:val="18"/>
          <w:szCs w:val="18"/>
          <w:highlight w:val="none"/>
        </w:rPr>
      </w:pPr>
      <w:r>
        <w:rPr>
          <w:rFonts w:ascii="Times New Roman" w:hAnsi="Times New Roman" w:cs="Times New Roman"/>
          <w:b/>
          <w:color w:val="auto"/>
          <w:sz w:val="18"/>
          <w:szCs w:val="18"/>
          <w:highlight w:val="none"/>
        </w:rPr>
        <w:fldChar w:fldCharType="begin"/>
      </w:r>
      <w:r>
        <w:rPr>
          <w:rFonts w:ascii="Times New Roman" w:hAnsi="Times New Roman" w:cs="Times New Roman"/>
          <w:b/>
          <w:color w:val="auto"/>
          <w:sz w:val="18"/>
          <w:szCs w:val="18"/>
          <w:highlight w:val="none"/>
        </w:rPr>
        <w:instrText xml:space="preserve"> DOCVARIABLE  基本信息_项目年度  \* MERGEFORMAT </w:instrText>
      </w:r>
      <w:r>
        <w:rPr>
          <w:rFonts w:ascii="Times New Roman" w:hAnsi="Times New Roman" w:cs="Times New Roman"/>
          <w:b/>
          <w:color w:val="auto"/>
          <w:sz w:val="18"/>
          <w:szCs w:val="18"/>
          <w:highlight w:val="none"/>
        </w:rPr>
        <w:fldChar w:fldCharType="separate"/>
      </w:r>
      <w:r>
        <w:rPr>
          <w:rFonts w:hint="eastAsia" w:ascii="Times New Roman" w:hAnsi="Times New Roman" w:cs="Times New Roman"/>
          <w:b/>
          <w:color w:val="auto"/>
          <w:sz w:val="18"/>
          <w:szCs w:val="18"/>
          <w:highlight w:val="none"/>
        </w:rPr>
        <w:t>2024年度</w:t>
      </w:r>
      <w:r>
        <w:rPr>
          <w:rFonts w:ascii="Times New Roman" w:hAnsi="Times New Roman" w:cs="Times New Roman"/>
          <w:b/>
          <w:color w:val="auto"/>
          <w:sz w:val="18"/>
          <w:szCs w:val="18"/>
          <w:highlight w:val="none"/>
        </w:rPr>
        <w:fldChar w:fldCharType="end"/>
      </w:r>
    </w:p>
    <w:p>
      <w:pPr>
        <w:adjustRightInd w:val="0"/>
        <w:snapToGrid w:val="0"/>
        <w:spacing w:after="120" w:afterLines="50" w:line="240" w:lineRule="auto"/>
        <w:jc w:val="center"/>
        <w:rPr>
          <w:rFonts w:ascii="Times New Roman" w:hAnsi="Times New Roman" w:cs="Times New Roman"/>
          <w:b/>
          <w:color w:val="auto"/>
          <w:highlight w:val="none"/>
        </w:rPr>
      </w:pPr>
      <w:r>
        <w:rPr>
          <w:rFonts w:ascii="Times New Roman" w:hAnsi="Times New Roman" w:cs="Times New Roman"/>
          <w:b/>
          <w:color w:val="auto"/>
          <w:sz w:val="18"/>
          <w:szCs w:val="18"/>
          <w:highlight w:val="none"/>
        </w:rPr>
        <w:t>（除特别注明外，金额单位均为人民币元）</w:t>
      </w:r>
      <w:r>
        <w:rPr>
          <w:rFonts w:ascii="Times New Roman" w:hAnsi="Times New Roman" w:cs="Times New Roman"/>
          <w:color w:val="auto"/>
          <w:sz w:val="18"/>
          <w:szCs w:val="18"/>
          <w:highlight w:val="none"/>
        </w:rPr>
        <w:fldChar w:fldCharType="begin"/>
      </w:r>
      <w:r>
        <w:rPr>
          <w:rFonts w:ascii="Times New Roman" w:hAnsi="Times New Roman" w:cs="Times New Roman"/>
          <w:color w:val="auto"/>
          <w:sz w:val="18"/>
          <w:szCs w:val="18"/>
          <w:highlight w:val="none"/>
        </w:rPr>
        <w:instrText xml:space="preserve"> LINK Excel.Sheet.12 E:\\雍\\附注排版\\2014年年报格式\\附注过渡表20150130V0910.xlsx 现!母公司现金流量表 \f 4 \h \* MERGEFORMAT </w:instrText>
      </w:r>
      <w:r>
        <w:rPr>
          <w:rFonts w:ascii="Times New Roman" w:hAnsi="Times New Roman" w:cs="Times New Roman"/>
          <w:color w:val="auto"/>
          <w:sz w:val="18"/>
          <w:szCs w:val="18"/>
          <w:highlight w:val="none"/>
        </w:rPr>
        <w:fldChar w:fldCharType="separate"/>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07"/>
        <w:gridCol w:w="858"/>
        <w:gridCol w:w="1703"/>
        <w:gridCol w:w="17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096"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项目</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附注</w:t>
            </w:r>
          </w:p>
        </w:tc>
        <w:tc>
          <w:tcPr>
            <w:tcW w:w="1658"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本期金额</w:t>
            </w:r>
          </w:p>
        </w:tc>
        <w:tc>
          <w:tcPr>
            <w:tcW w:w="1714"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上期金额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b/>
                <w:color w:val="auto"/>
                <w:sz w:val="15"/>
                <w:szCs w:val="15"/>
                <w:highlight w:val="none"/>
              </w:rPr>
            </w:pPr>
            <w:r>
              <w:rPr>
                <w:rFonts w:ascii="Times New Roman" w:hAnsi="Times New Roman" w:cs="Times New Roman"/>
                <w:b/>
                <w:color w:val="auto"/>
                <w:sz w:val="15"/>
                <w:szCs w:val="15"/>
                <w:highlight w:val="none"/>
              </w:rPr>
              <w:t>一、经营活动产生的现金流量：</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rPr>
                <w:rFonts w:ascii="Times New Roman" w:hAnsi="Times New Roman" w:cs="Times New Roman"/>
                <w:color w:val="auto"/>
                <w:sz w:val="15"/>
                <w:szCs w:val="15"/>
                <w:highlight w:val="none"/>
              </w:rPr>
            </w:pPr>
          </w:p>
        </w:tc>
        <w:tc>
          <w:tcPr>
            <w:tcW w:w="1714" w:type="dxa"/>
            <w:vAlign w:val="center"/>
          </w:tcPr>
          <w:p>
            <w:pPr>
              <w:snapToGrid w:val="0"/>
              <w:spacing w:line="200" w:lineRule="atLeas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销售商品、提供劳务收到的现金</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3,241,386,742.57</w:t>
            </w: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3,383,778,767.92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△客户存款和同业存放款项净增加额</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△向中央银行借款净增加额</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△向其他金融机构拆入资金净增加额</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△收到签发保险合同保费取得的现金</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△收到分入再保险合同的现金净额</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▲收到原保险合同保费取得的现金</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▲收到再保业务现金净额</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▲保户储金及投资款净增加额</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△处置以公允价值计量且其变动计入当期损益的金融资产净增加额</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△收取利息、手续费及佣金的现金</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△拆入资金净增加额</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△回购业务资金净增加额</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△代理买卖证券收到的现金净额</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收到的税费返还</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13,888.88</w:t>
            </w: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收到其他与经营活动有关的现金</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5,450,809,699.45</w:t>
            </w: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9,124,643,275.11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经营活动现金流入小计</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8,692,210,330.90</w:t>
            </w: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12,508,422,043.03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购买商品、接受劳务支付的现金</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1,658,253,476.62</w:t>
            </w: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1,371,970,680.67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△客户贷款及垫款净增加额</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△存放中央银行和同业款项净增加额</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△支付签发保险合同赔款的现金</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△支付分出再保险合同的现金净额</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△保单质押贷款净增加额</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▲支付原保险合同赔付款项的现金</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△拆出资金净增加额</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△支付利息、手续费及佣金的现金</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▲支付保单红利的现金</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支付给职工及为职工支付的现金</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366,116,657.52</w:t>
            </w: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313,404,481.60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支付的各项税费</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74,062,968.71</w:t>
            </w: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83,287,661.51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支付其他与经营活动有关的现金</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6,145,318,878.72</w:t>
            </w: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3,077,171,120.34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经营活动现金流出小计</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8,243,751,981.57</w:t>
            </w: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4,845,833,944.12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b/>
                <w:color w:val="auto"/>
                <w:sz w:val="15"/>
                <w:szCs w:val="15"/>
                <w:highlight w:val="none"/>
              </w:rPr>
            </w:pPr>
            <w:r>
              <w:rPr>
                <w:rFonts w:ascii="Times New Roman" w:hAnsi="Times New Roman" w:cs="Times New Roman"/>
                <w:b/>
                <w:color w:val="auto"/>
                <w:sz w:val="15"/>
                <w:szCs w:val="15"/>
                <w:highlight w:val="none"/>
              </w:rPr>
              <w:t>经营活动产生的现金流量净额</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448,458,349.33</w:t>
            </w: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7,662,588,098.91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b/>
                <w:color w:val="auto"/>
                <w:sz w:val="15"/>
                <w:szCs w:val="15"/>
                <w:highlight w:val="none"/>
              </w:rPr>
            </w:pPr>
            <w:r>
              <w:rPr>
                <w:rFonts w:ascii="Times New Roman" w:hAnsi="Times New Roman" w:cs="Times New Roman"/>
                <w:b/>
                <w:color w:val="auto"/>
                <w:sz w:val="15"/>
                <w:szCs w:val="15"/>
                <w:highlight w:val="none"/>
              </w:rPr>
              <w:t>二、投资活动产生的现金流量：</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rPr>
                <w:rFonts w:ascii="Times New Roman" w:hAnsi="Times New Roman" w:cs="Times New Roman"/>
                <w:color w:val="auto"/>
                <w:sz w:val="15"/>
                <w:szCs w:val="15"/>
                <w:highlight w:val="none"/>
              </w:rPr>
            </w:pPr>
          </w:p>
        </w:tc>
        <w:tc>
          <w:tcPr>
            <w:tcW w:w="1714" w:type="dxa"/>
            <w:vAlign w:val="center"/>
          </w:tcPr>
          <w:p>
            <w:pPr>
              <w:snapToGrid w:val="0"/>
              <w:spacing w:line="200" w:lineRule="atLeas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收回投资收到的现金</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2,372,701,231.97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取得投资收益收到的现金</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240,417,778.03</w:t>
            </w: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347,004,414.62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处置固定资产、无形资产和其他长期资产收回的现金净额</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2,144.29</w:t>
            </w: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214,655,574.66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处置子公司及其他营业单位收到的现金净额</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收到其他与投资活动有关的现金</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4,241,400,385.65</w:t>
            </w: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2,828,951,767.39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投资活动现金流入小计</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4,481,820,307.97</w:t>
            </w: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5,763,312,988.64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购建固定资产、无形资产和其他长期资产支付的现金</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68,734,609.66</w:t>
            </w: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97,298,218.09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投资支付的现金</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161,596,300.00</w:t>
            </w: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6,641,213,048.47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▲质押贷款净增加额</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取得子公司及其他营业单位支付的现金净额</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支付其他与投资活动有关的现金</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3,580,910,600.00</w:t>
            </w: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3,374,080,471.40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投资活动现金流出小计</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3,811,241,509.66</w:t>
            </w: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10,112,591,737.96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b/>
                <w:color w:val="auto"/>
                <w:sz w:val="15"/>
                <w:szCs w:val="15"/>
                <w:highlight w:val="none"/>
              </w:rPr>
            </w:pPr>
            <w:r>
              <w:rPr>
                <w:rFonts w:ascii="Times New Roman" w:hAnsi="Times New Roman" w:cs="Times New Roman"/>
                <w:b/>
                <w:color w:val="auto"/>
                <w:sz w:val="15"/>
                <w:szCs w:val="15"/>
                <w:highlight w:val="none"/>
              </w:rPr>
              <w:t>投资活动产生的现金流量净额</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670,578,798.31</w:t>
            </w: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-4,349,278,749.32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b/>
                <w:color w:val="auto"/>
                <w:sz w:val="15"/>
                <w:szCs w:val="15"/>
                <w:highlight w:val="none"/>
              </w:rPr>
            </w:pPr>
            <w:r>
              <w:rPr>
                <w:rFonts w:ascii="Times New Roman" w:hAnsi="Times New Roman" w:cs="Times New Roman"/>
                <w:b/>
                <w:color w:val="auto"/>
                <w:sz w:val="15"/>
                <w:szCs w:val="15"/>
                <w:highlight w:val="none"/>
              </w:rPr>
              <w:t>三、筹资活动产生的现金流量：</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rPr>
                <w:rFonts w:ascii="Times New Roman" w:hAnsi="Times New Roman" w:cs="Times New Roman"/>
                <w:color w:val="auto"/>
                <w:sz w:val="15"/>
                <w:szCs w:val="15"/>
                <w:highlight w:val="none"/>
              </w:rPr>
            </w:pPr>
          </w:p>
        </w:tc>
        <w:tc>
          <w:tcPr>
            <w:tcW w:w="1714" w:type="dxa"/>
            <w:vAlign w:val="center"/>
          </w:tcPr>
          <w:p>
            <w:pPr>
              <w:snapToGrid w:val="0"/>
              <w:spacing w:line="200" w:lineRule="atLeas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吸收投资收到的现金</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4,000,000,000.00</w:t>
            </w: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6,605,510,000.00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取得借款收到的现金</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27,077,456,783.37</w:t>
            </w: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13,306,003,091.98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收到其他与筹资活动有关的现金</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22,004,709,385.62</w:t>
            </w: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24,243,550,431.51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筹资活动现金流入小计</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53,082,166,168.99</w:t>
            </w: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44,155,063,523.49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偿还债务支付的现金</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28,896,735,539.43</w:t>
            </w: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21,916,841,419.38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分配股利、利润或偿付利息支付的现金</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1,764,480,368.93</w:t>
            </w: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1,527,032,465.99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支付其他与筹资活动有关的现金</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22,657,790,904.96</w:t>
            </w: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24,235,246,238.35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筹资活动现金流出小计</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53,319,006,813.32</w:t>
            </w: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47,679,120,123.72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b/>
                <w:color w:val="auto"/>
                <w:sz w:val="15"/>
                <w:szCs w:val="15"/>
                <w:highlight w:val="none"/>
              </w:rPr>
            </w:pPr>
            <w:r>
              <w:rPr>
                <w:rFonts w:ascii="Times New Roman" w:hAnsi="Times New Roman" w:cs="Times New Roman"/>
                <w:b/>
                <w:color w:val="auto"/>
                <w:sz w:val="15"/>
                <w:szCs w:val="15"/>
                <w:highlight w:val="none"/>
              </w:rPr>
              <w:t>筹资活动产生的现金流量净额</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-236,840,644.33</w:t>
            </w: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-3,524,056,600.23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b/>
                <w:color w:val="auto"/>
                <w:sz w:val="15"/>
                <w:szCs w:val="15"/>
                <w:highlight w:val="none"/>
              </w:rPr>
            </w:pPr>
            <w:r>
              <w:rPr>
                <w:rFonts w:ascii="Times New Roman" w:hAnsi="Times New Roman" w:cs="Times New Roman"/>
                <w:b/>
                <w:color w:val="auto"/>
                <w:sz w:val="15"/>
                <w:szCs w:val="15"/>
                <w:highlight w:val="none"/>
              </w:rPr>
              <w:t>四、汇率变动对现金及现金等价物的影响</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b/>
                <w:color w:val="auto"/>
                <w:sz w:val="15"/>
                <w:szCs w:val="15"/>
                <w:highlight w:val="none"/>
              </w:rPr>
            </w:pPr>
            <w:r>
              <w:rPr>
                <w:rFonts w:ascii="Times New Roman" w:hAnsi="Times New Roman" w:cs="Times New Roman"/>
                <w:b/>
                <w:color w:val="auto"/>
                <w:sz w:val="15"/>
                <w:szCs w:val="15"/>
                <w:highlight w:val="none"/>
              </w:rPr>
              <w:t>五、现金及现金等价物净增加额</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882,196,503.31</w:t>
            </w: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-210,747,250.64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加：期初现金及现金等价物余额</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202,944,112.13</w:t>
            </w: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413,691,362.77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6" w:type="dxa"/>
            <w:vAlign w:val="center"/>
          </w:tcPr>
          <w:p>
            <w:pPr>
              <w:snapToGrid w:val="0"/>
              <w:spacing w:line="200" w:lineRule="atLeast"/>
              <w:rPr>
                <w:rFonts w:ascii="Times New Roman" w:hAnsi="Times New Roman" w:cs="Times New Roman"/>
                <w:b/>
                <w:color w:val="auto"/>
                <w:sz w:val="15"/>
                <w:szCs w:val="15"/>
                <w:highlight w:val="none"/>
              </w:rPr>
            </w:pPr>
            <w:r>
              <w:rPr>
                <w:rFonts w:ascii="Times New Roman" w:hAnsi="Times New Roman" w:cs="Times New Roman"/>
                <w:b/>
                <w:color w:val="auto"/>
                <w:sz w:val="15"/>
                <w:szCs w:val="15"/>
                <w:highlight w:val="none"/>
              </w:rPr>
              <w:t>六、期末现金及现金等价物余额</w:t>
            </w:r>
          </w:p>
        </w:tc>
        <w:tc>
          <w:tcPr>
            <w:tcW w:w="835"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58"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1,085,140,615.44</w:t>
            </w:r>
          </w:p>
        </w:tc>
        <w:tc>
          <w:tcPr>
            <w:tcW w:w="1714"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202,944,112.13</w:t>
            </w:r>
          </w:p>
        </w:tc>
      </w:tr>
    </w:tbl>
    <w:p>
      <w:pPr>
        <w:tabs>
          <w:tab w:val="left" w:pos="1440"/>
          <w:tab w:val="left" w:pos="1620"/>
          <w:tab w:val="left" w:pos="1800"/>
        </w:tabs>
        <w:adjustRightInd w:val="0"/>
        <w:snapToGrid w:val="0"/>
        <w:spacing w:before="80" w:line="240" w:lineRule="atLeast"/>
        <w:rPr>
          <w:color w:val="auto"/>
          <w:highlight w:val="none"/>
        </w:rPr>
      </w:pPr>
      <w:r>
        <w:rPr>
          <w:rFonts w:ascii="Times New Roman" w:hAnsi="Times New Roman" w:cs="Times New Roman"/>
          <w:color w:val="auto"/>
          <w:sz w:val="18"/>
          <w:szCs w:val="18"/>
          <w:highlight w:val="none"/>
        </w:rPr>
        <w:fldChar w:fldCharType="end"/>
      </w:r>
      <w:r>
        <w:rPr>
          <w:rFonts w:ascii="Times New Roman" w:hAnsi="Times New Roman" w:cs="Times New Roman"/>
          <w:color w:val="auto"/>
          <w:sz w:val="18"/>
          <w:szCs w:val="18"/>
          <w:highlight w:val="none"/>
        </w:rPr>
        <w:t>企业法定代表人：             主管会计工作负责人：             会计机构负责人：</w:t>
      </w:r>
      <w:r>
        <w:rPr>
          <w:color w:val="auto"/>
          <w:highlight w:val="none"/>
        </w:rPr>
        <w:t xml:space="preserve"> </w:t>
      </w:r>
    </w:p>
    <w:p>
      <w:pPr>
        <w:pStyle w:val="41"/>
        <w:rPr>
          <w:rFonts w:eastAsiaTheme="minorEastAsia"/>
          <w:color w:val="auto"/>
          <w:highlight w:val="none"/>
        </w:rPr>
        <w:sectPr>
          <w:headerReference r:id="rId17" w:type="default"/>
          <w:footerReference r:id="rId18" w:type="default"/>
          <w:pgSz w:w="11907" w:h="16839"/>
          <w:pgMar w:top="964" w:right="1797" w:bottom="964" w:left="1797" w:header="567" w:footer="567" w:gutter="0"/>
          <w:pgNumType w:start="1"/>
          <w:cols w:space="425" w:num="1"/>
          <w:docGrid w:linePitch="398" w:charSpace="0"/>
        </w:sectPr>
      </w:pPr>
    </w:p>
    <w:p>
      <w:pPr>
        <w:adjustRightInd w:val="0"/>
        <w:snapToGrid w:val="0"/>
        <w:spacing w:line="240" w:lineRule="auto"/>
        <w:jc w:val="center"/>
        <w:rPr>
          <w:rFonts w:ascii="Times New Roman" w:hAnsi="Times New Roman" w:cs="Times New Roman"/>
          <w:b/>
          <w:color w:val="auto"/>
          <w:sz w:val="18"/>
          <w:szCs w:val="18"/>
          <w:highlight w:val="none"/>
        </w:rPr>
      </w:pPr>
      <w:r>
        <w:rPr>
          <w:rFonts w:ascii="Times New Roman" w:hAnsi="Times New Roman" w:cs="Times New Roman"/>
          <w:b/>
          <w:color w:val="auto"/>
          <w:sz w:val="18"/>
          <w:szCs w:val="18"/>
          <w:highlight w:val="none"/>
        </w:rPr>
        <w:fldChar w:fldCharType="begin"/>
      </w:r>
      <w:r>
        <w:rPr>
          <w:rFonts w:ascii="Times New Roman" w:hAnsi="Times New Roman" w:cs="Times New Roman"/>
          <w:b/>
          <w:color w:val="auto"/>
          <w:sz w:val="18"/>
          <w:szCs w:val="18"/>
          <w:highlight w:val="none"/>
        </w:rPr>
        <w:instrText xml:space="preserve"> DOCVARIABLE  基本信息_企业名称  \* MERGEFORMAT </w:instrText>
      </w:r>
      <w:r>
        <w:rPr>
          <w:rFonts w:ascii="Times New Roman" w:hAnsi="Times New Roman" w:cs="Times New Roman"/>
          <w:b/>
          <w:color w:val="auto"/>
          <w:sz w:val="18"/>
          <w:szCs w:val="18"/>
          <w:highlight w:val="none"/>
        </w:rPr>
        <w:fldChar w:fldCharType="separate"/>
      </w:r>
      <w:r>
        <w:rPr>
          <w:rFonts w:hint="eastAsia" w:ascii="Times New Roman" w:hAnsi="Times New Roman" w:cs="Times New Roman"/>
          <w:b/>
          <w:color w:val="auto"/>
          <w:sz w:val="18"/>
          <w:szCs w:val="18"/>
          <w:highlight w:val="none"/>
        </w:rPr>
        <w:t>国家电投集团贵州金元股份有限公司</w:t>
      </w:r>
      <w:r>
        <w:rPr>
          <w:rFonts w:ascii="Times New Roman" w:hAnsi="Times New Roman" w:cs="Times New Roman"/>
          <w:b/>
          <w:color w:val="auto"/>
          <w:sz w:val="18"/>
          <w:szCs w:val="18"/>
          <w:highlight w:val="none"/>
        </w:rPr>
        <w:fldChar w:fldCharType="end"/>
      </w:r>
    </w:p>
    <w:p>
      <w:pPr>
        <w:adjustRightInd w:val="0"/>
        <w:snapToGrid w:val="0"/>
        <w:spacing w:line="240" w:lineRule="auto"/>
        <w:jc w:val="center"/>
        <w:outlineLvl w:val="0"/>
        <w:rPr>
          <w:rFonts w:ascii="Times New Roman" w:hAnsi="Times New Roman" w:cs="Times New Roman"/>
          <w:b/>
          <w:color w:val="auto"/>
          <w:sz w:val="18"/>
          <w:szCs w:val="18"/>
          <w:highlight w:val="none"/>
        </w:rPr>
      </w:pPr>
      <w:r>
        <w:rPr>
          <w:rFonts w:hint="eastAsia" w:ascii="Times New Roman" w:hAnsi="Times New Roman" w:cs="Times New Roman"/>
          <w:b/>
          <w:color w:val="auto"/>
          <w:sz w:val="18"/>
          <w:szCs w:val="18"/>
          <w:highlight w:val="none"/>
        </w:rPr>
        <w:t>合并</w:t>
      </w:r>
      <w:r>
        <w:rPr>
          <w:rFonts w:ascii="Times New Roman" w:hAnsi="Times New Roman" w:cs="Times New Roman"/>
          <w:b/>
          <w:color w:val="auto"/>
          <w:sz w:val="18"/>
          <w:szCs w:val="18"/>
          <w:highlight w:val="none"/>
        </w:rPr>
        <w:t>所有者权益变动表</w:t>
      </w:r>
    </w:p>
    <w:p>
      <w:pPr>
        <w:adjustRightInd w:val="0"/>
        <w:snapToGrid w:val="0"/>
        <w:spacing w:line="240" w:lineRule="auto"/>
        <w:jc w:val="center"/>
        <w:rPr>
          <w:rFonts w:ascii="Times New Roman" w:hAnsi="Times New Roman" w:cs="Times New Roman"/>
          <w:b/>
          <w:color w:val="auto"/>
          <w:sz w:val="18"/>
          <w:szCs w:val="18"/>
          <w:highlight w:val="none"/>
        </w:rPr>
      </w:pPr>
      <w:r>
        <w:rPr>
          <w:rFonts w:ascii="Times New Roman" w:hAnsi="Times New Roman" w:cs="Times New Roman"/>
          <w:b/>
          <w:color w:val="auto"/>
          <w:sz w:val="18"/>
          <w:szCs w:val="18"/>
          <w:highlight w:val="none"/>
        </w:rPr>
        <w:fldChar w:fldCharType="begin"/>
      </w:r>
      <w:r>
        <w:rPr>
          <w:rFonts w:ascii="Times New Roman" w:hAnsi="Times New Roman" w:cs="Times New Roman"/>
          <w:b/>
          <w:color w:val="auto"/>
          <w:sz w:val="18"/>
          <w:szCs w:val="18"/>
          <w:highlight w:val="none"/>
        </w:rPr>
        <w:instrText xml:space="preserve"> DOCVARIABLE  基本信息_项目年度  \* MERGEFORMAT </w:instrText>
      </w:r>
      <w:r>
        <w:rPr>
          <w:rFonts w:ascii="Times New Roman" w:hAnsi="Times New Roman" w:cs="Times New Roman"/>
          <w:b/>
          <w:color w:val="auto"/>
          <w:sz w:val="18"/>
          <w:szCs w:val="18"/>
          <w:highlight w:val="none"/>
        </w:rPr>
        <w:fldChar w:fldCharType="separate"/>
      </w:r>
      <w:r>
        <w:rPr>
          <w:rFonts w:hint="eastAsia" w:ascii="Times New Roman" w:hAnsi="Times New Roman" w:cs="Times New Roman"/>
          <w:b/>
          <w:color w:val="auto"/>
          <w:sz w:val="18"/>
          <w:szCs w:val="18"/>
          <w:highlight w:val="none"/>
        </w:rPr>
        <w:t>2024年度</w:t>
      </w:r>
      <w:r>
        <w:rPr>
          <w:rFonts w:ascii="Times New Roman" w:hAnsi="Times New Roman" w:cs="Times New Roman"/>
          <w:b/>
          <w:color w:val="auto"/>
          <w:sz w:val="18"/>
          <w:szCs w:val="18"/>
          <w:highlight w:val="none"/>
        </w:rPr>
        <w:fldChar w:fldCharType="end"/>
      </w:r>
    </w:p>
    <w:p>
      <w:pPr>
        <w:adjustRightInd w:val="0"/>
        <w:snapToGrid w:val="0"/>
        <w:spacing w:after="120" w:afterLines="50" w:line="240" w:lineRule="auto"/>
        <w:jc w:val="center"/>
        <w:rPr>
          <w:rFonts w:ascii="Times New Roman" w:hAnsi="Times New Roman" w:cs="Times New Roman"/>
          <w:color w:val="auto"/>
          <w:kern w:val="0"/>
          <w:sz w:val="20"/>
          <w:szCs w:val="20"/>
          <w:highlight w:val="none"/>
        </w:rPr>
      </w:pPr>
      <w:r>
        <w:rPr>
          <w:rFonts w:ascii="Times New Roman" w:hAnsi="Times New Roman" w:cs="Times New Roman"/>
          <w:b/>
          <w:color w:val="auto"/>
          <w:sz w:val="18"/>
          <w:szCs w:val="18"/>
          <w:highlight w:val="none"/>
        </w:rPr>
        <w:t>（除特别注明外，金额单位均为人民币元）</w:t>
      </w:r>
      <w:r>
        <w:rPr>
          <w:rFonts w:ascii="Times New Roman" w:hAnsi="Times New Roman" w:cs="Times New Roman"/>
          <w:color w:val="auto"/>
          <w:highlight w:val="none"/>
        </w:rPr>
        <w:fldChar w:fldCharType="begin"/>
      </w:r>
      <w:r>
        <w:rPr>
          <w:rFonts w:ascii="Times New Roman" w:hAnsi="Times New Roman" w:cs="Times New Roman"/>
          <w:color w:val="auto"/>
          <w:highlight w:val="none"/>
        </w:rPr>
        <w:instrText xml:space="preserve"> LINK Excel.Sheet.12 E:\\雍\\附注排版\\2014年年报格式\\附注过渡表20150130V0910.xlsx 所合并!合并所有者权益变动表本年 \f 4 \h \* MERGEFORMAT </w:instrText>
      </w:r>
      <w:r>
        <w:rPr>
          <w:rFonts w:ascii="Times New Roman" w:hAnsi="Times New Roman" w:cs="Times New Roman"/>
          <w:color w:val="auto"/>
          <w:highlight w:val="none"/>
        </w:rPr>
        <w:fldChar w:fldCharType="separate"/>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41"/>
        <w:gridCol w:w="979"/>
        <w:gridCol w:w="564"/>
        <w:gridCol w:w="981"/>
        <w:gridCol w:w="517"/>
        <w:gridCol w:w="930"/>
        <w:gridCol w:w="834"/>
        <w:gridCol w:w="864"/>
        <w:gridCol w:w="1007"/>
        <w:gridCol w:w="863"/>
        <w:gridCol w:w="1008"/>
        <w:gridCol w:w="1254"/>
        <w:gridCol w:w="930"/>
        <w:gridCol w:w="1027"/>
        <w:gridCol w:w="11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208" w:type="dxa"/>
            <w:vMerge w:val="restart"/>
            <w:vAlign w:val="center"/>
          </w:tcPr>
          <w:p>
            <w:pPr>
              <w:snapToGrid w:val="0"/>
              <w:spacing w:line="16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项目</w:t>
            </w:r>
          </w:p>
        </w:tc>
        <w:tc>
          <w:tcPr>
            <w:tcW w:w="12693" w:type="dxa"/>
            <w:gridSpan w:val="14"/>
            <w:vAlign w:val="center"/>
          </w:tcPr>
          <w:p>
            <w:pPr>
              <w:snapToGrid w:val="0"/>
              <w:spacing w:line="16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本年金额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208" w:type="dxa"/>
            <w:vMerge w:val="continue"/>
            <w:vAlign w:val="center"/>
          </w:tcPr>
          <w:p>
            <w:pPr>
              <w:rPr>
                <w:color w:val="auto"/>
                <w:highlight w:val="none"/>
              </w:rPr>
            </w:pPr>
          </w:p>
        </w:tc>
        <w:tc>
          <w:tcPr>
            <w:tcW w:w="10570" w:type="dxa"/>
            <w:gridSpan w:val="12"/>
            <w:vAlign w:val="center"/>
          </w:tcPr>
          <w:p>
            <w:pPr>
              <w:snapToGrid w:val="0"/>
              <w:spacing w:line="16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归属于母公司所有者权益</w:t>
            </w:r>
          </w:p>
        </w:tc>
        <w:tc>
          <w:tcPr>
            <w:tcW w:w="1012" w:type="dxa"/>
            <w:vMerge w:val="restart"/>
            <w:vAlign w:val="center"/>
          </w:tcPr>
          <w:p>
            <w:pPr>
              <w:snapToGrid w:val="0"/>
              <w:spacing w:line="16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少数股东权益</w:t>
            </w:r>
          </w:p>
        </w:tc>
        <w:tc>
          <w:tcPr>
            <w:tcW w:w="1111" w:type="dxa"/>
            <w:vMerge w:val="restart"/>
            <w:vAlign w:val="center"/>
          </w:tcPr>
          <w:p>
            <w:pPr>
              <w:snapToGrid w:val="0"/>
              <w:spacing w:line="16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所有者权益合计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208" w:type="dxa"/>
            <w:vMerge w:val="continue"/>
            <w:vAlign w:val="center"/>
          </w:tcPr>
          <w:p>
            <w:pPr>
              <w:rPr>
                <w:color w:val="auto"/>
                <w:highlight w:val="none"/>
              </w:rPr>
            </w:pPr>
          </w:p>
        </w:tc>
        <w:tc>
          <w:tcPr>
            <w:tcW w:w="964" w:type="dxa"/>
            <w:vMerge w:val="restart"/>
            <w:vAlign w:val="center"/>
          </w:tcPr>
          <w:p>
            <w:pPr>
              <w:snapToGrid w:val="0"/>
              <w:spacing w:line="16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股本</w:t>
            </w:r>
          </w:p>
        </w:tc>
        <w:tc>
          <w:tcPr>
            <w:tcW w:w="2031" w:type="dxa"/>
            <w:gridSpan w:val="3"/>
            <w:vAlign w:val="center"/>
          </w:tcPr>
          <w:p>
            <w:pPr>
              <w:snapToGrid w:val="0"/>
              <w:spacing w:line="16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其他权益工具</w:t>
            </w:r>
          </w:p>
        </w:tc>
        <w:tc>
          <w:tcPr>
            <w:tcW w:w="916" w:type="dxa"/>
            <w:vMerge w:val="restart"/>
            <w:vAlign w:val="center"/>
          </w:tcPr>
          <w:p>
            <w:pPr>
              <w:snapToGrid w:val="0"/>
              <w:spacing w:line="16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资本公积</w:t>
            </w:r>
          </w:p>
        </w:tc>
        <w:tc>
          <w:tcPr>
            <w:tcW w:w="822" w:type="dxa"/>
            <w:vMerge w:val="restart"/>
            <w:vAlign w:val="center"/>
          </w:tcPr>
          <w:p>
            <w:pPr>
              <w:snapToGrid w:val="0"/>
              <w:spacing w:line="16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减：库存股</w:t>
            </w:r>
          </w:p>
        </w:tc>
        <w:tc>
          <w:tcPr>
            <w:tcW w:w="851" w:type="dxa"/>
            <w:vMerge w:val="restart"/>
            <w:vAlign w:val="center"/>
          </w:tcPr>
          <w:p>
            <w:pPr>
              <w:snapToGrid w:val="0"/>
              <w:spacing w:line="16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其他综合收益</w:t>
            </w:r>
          </w:p>
        </w:tc>
        <w:tc>
          <w:tcPr>
            <w:tcW w:w="992" w:type="dxa"/>
            <w:vMerge w:val="restart"/>
            <w:vAlign w:val="center"/>
          </w:tcPr>
          <w:p>
            <w:pPr>
              <w:snapToGrid w:val="0"/>
              <w:spacing w:line="16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专项储备</w:t>
            </w:r>
          </w:p>
        </w:tc>
        <w:tc>
          <w:tcPr>
            <w:tcW w:w="850" w:type="dxa"/>
            <w:vMerge w:val="restart"/>
            <w:vAlign w:val="center"/>
          </w:tcPr>
          <w:p>
            <w:pPr>
              <w:snapToGrid w:val="0"/>
              <w:spacing w:line="16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盈余公积</w:t>
            </w:r>
          </w:p>
        </w:tc>
        <w:tc>
          <w:tcPr>
            <w:tcW w:w="993" w:type="dxa"/>
            <w:vMerge w:val="restart"/>
            <w:vAlign w:val="center"/>
          </w:tcPr>
          <w:p>
            <w:pPr>
              <w:snapToGrid w:val="0"/>
              <w:spacing w:line="16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△一般风险准备</w:t>
            </w:r>
          </w:p>
        </w:tc>
        <w:tc>
          <w:tcPr>
            <w:tcW w:w="1235" w:type="dxa"/>
            <w:vMerge w:val="restart"/>
            <w:vAlign w:val="center"/>
          </w:tcPr>
          <w:p>
            <w:pPr>
              <w:snapToGrid w:val="0"/>
              <w:spacing w:line="16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未分配利润</w:t>
            </w:r>
          </w:p>
        </w:tc>
        <w:tc>
          <w:tcPr>
            <w:tcW w:w="916" w:type="dxa"/>
            <w:vMerge w:val="restart"/>
            <w:vAlign w:val="center"/>
          </w:tcPr>
          <w:p>
            <w:pPr>
              <w:snapToGrid w:val="0"/>
              <w:spacing w:line="16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小计</w:t>
            </w:r>
          </w:p>
        </w:tc>
        <w:tc>
          <w:tcPr>
            <w:tcW w:w="1012" w:type="dxa"/>
            <w:vMerge w:val="continue"/>
            <w:vAlign w:val="center"/>
          </w:tcPr>
          <w:p>
            <w:pPr>
              <w:rPr>
                <w:color w:val="auto"/>
                <w:highlight w:val="none"/>
              </w:rPr>
            </w:pPr>
          </w:p>
        </w:tc>
        <w:tc>
          <w:tcPr>
            <w:tcW w:w="1111" w:type="dxa"/>
            <w:vMerge w:val="continue"/>
            <w:vAlign w:val="center"/>
          </w:tcPr>
          <w:p>
            <w:pP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208" w:type="dxa"/>
            <w:vMerge w:val="continue"/>
            <w:vAlign w:val="center"/>
          </w:tcPr>
          <w:p>
            <w:pPr>
              <w:rPr>
                <w:color w:val="auto"/>
                <w:highlight w:val="none"/>
              </w:rPr>
            </w:pPr>
          </w:p>
        </w:tc>
        <w:tc>
          <w:tcPr>
            <w:tcW w:w="964" w:type="dxa"/>
            <w:vMerge w:val="continue"/>
            <w:vAlign w:val="center"/>
          </w:tcPr>
          <w:p>
            <w:pPr>
              <w:rPr>
                <w:color w:val="auto"/>
                <w:highlight w:val="none"/>
              </w:rPr>
            </w:pPr>
          </w:p>
        </w:tc>
        <w:tc>
          <w:tcPr>
            <w:tcW w:w="556" w:type="dxa"/>
            <w:vAlign w:val="center"/>
          </w:tcPr>
          <w:p>
            <w:pPr>
              <w:snapToGrid w:val="0"/>
              <w:spacing w:line="16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优先股</w:t>
            </w:r>
          </w:p>
        </w:tc>
        <w:tc>
          <w:tcPr>
            <w:tcW w:w="966" w:type="dxa"/>
            <w:vAlign w:val="center"/>
          </w:tcPr>
          <w:p>
            <w:pPr>
              <w:snapToGrid w:val="0"/>
              <w:spacing w:line="16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永续债</w:t>
            </w:r>
          </w:p>
        </w:tc>
        <w:tc>
          <w:tcPr>
            <w:tcW w:w="509" w:type="dxa"/>
            <w:vAlign w:val="center"/>
          </w:tcPr>
          <w:p>
            <w:pPr>
              <w:snapToGrid w:val="0"/>
              <w:spacing w:line="16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其他</w:t>
            </w:r>
          </w:p>
        </w:tc>
        <w:tc>
          <w:tcPr>
            <w:tcW w:w="916" w:type="dxa"/>
            <w:vMerge w:val="continue"/>
            <w:vAlign w:val="center"/>
          </w:tcPr>
          <w:p>
            <w:pPr>
              <w:rPr>
                <w:color w:val="auto"/>
                <w:highlight w:val="none"/>
              </w:rPr>
            </w:pPr>
          </w:p>
        </w:tc>
        <w:tc>
          <w:tcPr>
            <w:tcW w:w="822" w:type="dxa"/>
            <w:vMerge w:val="continue"/>
            <w:vAlign w:val="center"/>
          </w:tcPr>
          <w:p>
            <w:pPr>
              <w:rPr>
                <w:color w:val="auto"/>
                <w:highlight w:val="none"/>
              </w:rPr>
            </w:pPr>
          </w:p>
        </w:tc>
        <w:tc>
          <w:tcPr>
            <w:tcW w:w="851" w:type="dxa"/>
            <w:vMerge w:val="continue"/>
            <w:vAlign w:val="center"/>
          </w:tcPr>
          <w:p>
            <w:pPr>
              <w:rPr>
                <w:color w:val="auto"/>
                <w:highlight w:val="none"/>
              </w:rPr>
            </w:pPr>
          </w:p>
        </w:tc>
        <w:tc>
          <w:tcPr>
            <w:tcW w:w="992" w:type="dxa"/>
            <w:vMerge w:val="continue"/>
            <w:vAlign w:val="center"/>
          </w:tcPr>
          <w:p>
            <w:pPr>
              <w:rPr>
                <w:color w:val="auto"/>
                <w:highlight w:val="none"/>
              </w:rPr>
            </w:pPr>
          </w:p>
        </w:tc>
        <w:tc>
          <w:tcPr>
            <w:tcW w:w="850" w:type="dxa"/>
            <w:vMerge w:val="continue"/>
            <w:vAlign w:val="center"/>
          </w:tcPr>
          <w:p>
            <w:pPr>
              <w:rPr>
                <w:color w:val="auto"/>
                <w:highlight w:val="none"/>
              </w:rPr>
            </w:pPr>
          </w:p>
        </w:tc>
        <w:tc>
          <w:tcPr>
            <w:tcW w:w="993" w:type="dxa"/>
            <w:vMerge w:val="continue"/>
            <w:vAlign w:val="center"/>
          </w:tcPr>
          <w:p>
            <w:pPr>
              <w:rPr>
                <w:color w:val="auto"/>
                <w:highlight w:val="none"/>
              </w:rPr>
            </w:pPr>
          </w:p>
        </w:tc>
        <w:tc>
          <w:tcPr>
            <w:tcW w:w="1235" w:type="dxa"/>
            <w:vMerge w:val="continue"/>
            <w:vAlign w:val="center"/>
          </w:tcPr>
          <w:p>
            <w:pPr>
              <w:rPr>
                <w:color w:val="auto"/>
                <w:highlight w:val="none"/>
              </w:rPr>
            </w:pPr>
          </w:p>
        </w:tc>
        <w:tc>
          <w:tcPr>
            <w:tcW w:w="916" w:type="dxa"/>
            <w:vMerge w:val="continue"/>
            <w:vAlign w:val="center"/>
          </w:tcPr>
          <w:p>
            <w:pPr>
              <w:rPr>
                <w:color w:val="auto"/>
                <w:highlight w:val="none"/>
              </w:rPr>
            </w:pPr>
          </w:p>
        </w:tc>
        <w:tc>
          <w:tcPr>
            <w:tcW w:w="1012" w:type="dxa"/>
            <w:vMerge w:val="continue"/>
            <w:vAlign w:val="center"/>
          </w:tcPr>
          <w:p>
            <w:pPr>
              <w:rPr>
                <w:color w:val="auto"/>
                <w:highlight w:val="none"/>
              </w:rPr>
            </w:pPr>
          </w:p>
        </w:tc>
        <w:tc>
          <w:tcPr>
            <w:tcW w:w="1111" w:type="dxa"/>
            <w:vMerge w:val="continue"/>
            <w:vAlign w:val="center"/>
          </w:tcPr>
          <w:p>
            <w:pP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8"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一、上年年末余额</w:t>
            </w:r>
          </w:p>
        </w:tc>
        <w:tc>
          <w:tcPr>
            <w:tcW w:w="964"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5,892,315,400.00</w:t>
            </w:r>
          </w:p>
        </w:tc>
        <w:tc>
          <w:tcPr>
            <w:tcW w:w="55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18,318,660,000.00</w:t>
            </w:r>
          </w:p>
        </w:tc>
        <w:tc>
          <w:tcPr>
            <w:tcW w:w="5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411,548,322.64</w:t>
            </w:r>
          </w:p>
        </w:tc>
        <w:tc>
          <w:tcPr>
            <w:tcW w:w="82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301,720,895.47</w:t>
            </w: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26,288,187.65</w:t>
            </w: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466,989,510.71</w:t>
            </w: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235"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-25,806,459,189.66</w:t>
            </w: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-388,936,873.19</w:t>
            </w:r>
          </w:p>
        </w:tc>
        <w:tc>
          <w:tcPr>
            <w:tcW w:w="1012"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13,183,531,037.20</w:t>
            </w:r>
          </w:p>
        </w:tc>
        <w:tc>
          <w:tcPr>
            <w:tcW w:w="1111"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12,794,594,164.01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8"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加：会计政策变更</w:t>
            </w:r>
          </w:p>
        </w:tc>
        <w:tc>
          <w:tcPr>
            <w:tcW w:w="96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5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2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23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01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11" w:type="dxa"/>
            <w:vAlign w:val="center"/>
          </w:tcPr>
          <w:p>
            <w:pPr>
              <w:snapToGrid w:val="0"/>
              <w:spacing w:line="16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8"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前期差错更正</w:t>
            </w:r>
          </w:p>
        </w:tc>
        <w:tc>
          <w:tcPr>
            <w:tcW w:w="96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5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2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23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01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11" w:type="dxa"/>
            <w:vAlign w:val="center"/>
          </w:tcPr>
          <w:p>
            <w:pPr>
              <w:snapToGrid w:val="0"/>
              <w:spacing w:line="16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8"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其他</w:t>
            </w:r>
          </w:p>
        </w:tc>
        <w:tc>
          <w:tcPr>
            <w:tcW w:w="96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5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2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23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01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11" w:type="dxa"/>
            <w:vAlign w:val="center"/>
          </w:tcPr>
          <w:p>
            <w:pPr>
              <w:snapToGrid w:val="0"/>
              <w:spacing w:line="16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8"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二、本年年初余额</w:t>
            </w:r>
          </w:p>
        </w:tc>
        <w:tc>
          <w:tcPr>
            <w:tcW w:w="964"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5,892,315,400.00</w:t>
            </w:r>
          </w:p>
        </w:tc>
        <w:tc>
          <w:tcPr>
            <w:tcW w:w="55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18,318,660,000.00</w:t>
            </w:r>
          </w:p>
        </w:tc>
        <w:tc>
          <w:tcPr>
            <w:tcW w:w="5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411,548,322.64</w:t>
            </w:r>
          </w:p>
        </w:tc>
        <w:tc>
          <w:tcPr>
            <w:tcW w:w="82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301,720,895.47</w:t>
            </w: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26,288,187.65</w:t>
            </w: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466,989,510.71</w:t>
            </w: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235"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-25,806,459,189.66</w:t>
            </w: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-388,936,873.19</w:t>
            </w:r>
          </w:p>
        </w:tc>
        <w:tc>
          <w:tcPr>
            <w:tcW w:w="1012"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13,183,531,037.20</w:t>
            </w:r>
          </w:p>
        </w:tc>
        <w:tc>
          <w:tcPr>
            <w:tcW w:w="1111"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12,794,594,164.01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8"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三、本年增减变动金额（减少以“-”号填列）</w:t>
            </w:r>
          </w:p>
        </w:tc>
        <w:tc>
          <w:tcPr>
            <w:tcW w:w="964"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-1,200,000,000.00</w:t>
            </w:r>
          </w:p>
        </w:tc>
        <w:tc>
          <w:tcPr>
            <w:tcW w:w="55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1,000,000,000.00</w:t>
            </w:r>
          </w:p>
        </w:tc>
        <w:tc>
          <w:tcPr>
            <w:tcW w:w="5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1,133,653,103.90</w:t>
            </w:r>
          </w:p>
        </w:tc>
        <w:tc>
          <w:tcPr>
            <w:tcW w:w="82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24,204,325.40</w:t>
            </w: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-12,900,075.68</w:t>
            </w: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235"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-1,292,791,300.30</w:t>
            </w: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-347,833,946.68</w:t>
            </w:r>
          </w:p>
        </w:tc>
        <w:tc>
          <w:tcPr>
            <w:tcW w:w="1012"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2,691,335,720.46</w:t>
            </w:r>
          </w:p>
        </w:tc>
        <w:tc>
          <w:tcPr>
            <w:tcW w:w="1111"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2,343,501,773.78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8"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（一）综合收益总额</w:t>
            </w:r>
          </w:p>
        </w:tc>
        <w:tc>
          <w:tcPr>
            <w:tcW w:w="96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5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2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24,204,325.40</w:t>
            </w: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235"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-543,673,983.84</w:t>
            </w: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-519,469,658.44</w:t>
            </w:r>
          </w:p>
        </w:tc>
        <w:tc>
          <w:tcPr>
            <w:tcW w:w="1012"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613,772,961.98</w:t>
            </w:r>
          </w:p>
        </w:tc>
        <w:tc>
          <w:tcPr>
            <w:tcW w:w="1111"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94,303,303.54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8"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（二）所有者投入和减少资本</w:t>
            </w:r>
          </w:p>
        </w:tc>
        <w:tc>
          <w:tcPr>
            <w:tcW w:w="96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5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1,000,000,000.00</w:t>
            </w:r>
          </w:p>
        </w:tc>
        <w:tc>
          <w:tcPr>
            <w:tcW w:w="5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-66,346,896.10</w:t>
            </w:r>
          </w:p>
        </w:tc>
        <w:tc>
          <w:tcPr>
            <w:tcW w:w="82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23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933,653,103.90</w:t>
            </w:r>
          </w:p>
        </w:tc>
        <w:tc>
          <w:tcPr>
            <w:tcW w:w="1012"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2,508,005,768.30</w:t>
            </w:r>
          </w:p>
        </w:tc>
        <w:tc>
          <w:tcPr>
            <w:tcW w:w="1111"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3,441,658,872.20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8"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1．所有者投入的普通股</w:t>
            </w:r>
          </w:p>
        </w:tc>
        <w:tc>
          <w:tcPr>
            <w:tcW w:w="96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5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2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23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012"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2,484,421,500.92</w:t>
            </w:r>
          </w:p>
        </w:tc>
        <w:tc>
          <w:tcPr>
            <w:tcW w:w="1111"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2,484,421,500.92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8"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2．其他权益工具持有者投入资本</w:t>
            </w:r>
          </w:p>
        </w:tc>
        <w:tc>
          <w:tcPr>
            <w:tcW w:w="96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5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1,000,000,000.00</w:t>
            </w:r>
          </w:p>
        </w:tc>
        <w:tc>
          <w:tcPr>
            <w:tcW w:w="5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2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23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1,000,000,000.00</w:t>
            </w:r>
          </w:p>
        </w:tc>
        <w:tc>
          <w:tcPr>
            <w:tcW w:w="101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11"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1,000,000,000.00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8"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3．股份支付计入所有者权益的金额</w:t>
            </w:r>
          </w:p>
        </w:tc>
        <w:tc>
          <w:tcPr>
            <w:tcW w:w="96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5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2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23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01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11" w:type="dxa"/>
            <w:vAlign w:val="center"/>
          </w:tcPr>
          <w:p>
            <w:pPr>
              <w:snapToGrid w:val="0"/>
              <w:spacing w:line="16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8"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4．其他</w:t>
            </w:r>
          </w:p>
        </w:tc>
        <w:tc>
          <w:tcPr>
            <w:tcW w:w="96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5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-66,346,896.10</w:t>
            </w:r>
          </w:p>
        </w:tc>
        <w:tc>
          <w:tcPr>
            <w:tcW w:w="82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23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-66,346,896.10</w:t>
            </w:r>
          </w:p>
        </w:tc>
        <w:tc>
          <w:tcPr>
            <w:tcW w:w="1012"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23,584,267.38</w:t>
            </w:r>
          </w:p>
        </w:tc>
        <w:tc>
          <w:tcPr>
            <w:tcW w:w="1111"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-42,762,628.72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8"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（三）专项储备提取和使用</w:t>
            </w:r>
          </w:p>
        </w:tc>
        <w:tc>
          <w:tcPr>
            <w:tcW w:w="96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5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2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-12,900,075.68</w:t>
            </w: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23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-12,900,075.68</w:t>
            </w:r>
          </w:p>
        </w:tc>
        <w:tc>
          <w:tcPr>
            <w:tcW w:w="1012"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1,196,854.12</w:t>
            </w:r>
          </w:p>
        </w:tc>
        <w:tc>
          <w:tcPr>
            <w:tcW w:w="1111"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-11,703,221.56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8"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1．提取专项储备</w:t>
            </w:r>
          </w:p>
        </w:tc>
        <w:tc>
          <w:tcPr>
            <w:tcW w:w="96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5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2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209,158,954.65</w:t>
            </w: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23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209,158,954.65</w:t>
            </w:r>
          </w:p>
        </w:tc>
        <w:tc>
          <w:tcPr>
            <w:tcW w:w="1012"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31,692,405.61</w:t>
            </w:r>
          </w:p>
        </w:tc>
        <w:tc>
          <w:tcPr>
            <w:tcW w:w="1111"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240,851,360.26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8"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2．使用专项储备</w:t>
            </w:r>
          </w:p>
        </w:tc>
        <w:tc>
          <w:tcPr>
            <w:tcW w:w="96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5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2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-222,059,030.33</w:t>
            </w: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23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-222,059,030.33</w:t>
            </w:r>
          </w:p>
        </w:tc>
        <w:tc>
          <w:tcPr>
            <w:tcW w:w="1012"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-30,495,551.49</w:t>
            </w:r>
          </w:p>
        </w:tc>
        <w:tc>
          <w:tcPr>
            <w:tcW w:w="1111"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-252,554,581.82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8"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（四）利润分配</w:t>
            </w:r>
          </w:p>
        </w:tc>
        <w:tc>
          <w:tcPr>
            <w:tcW w:w="96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5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2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235"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-749,117,316.46</w:t>
            </w: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-749,117,316.46</w:t>
            </w:r>
          </w:p>
        </w:tc>
        <w:tc>
          <w:tcPr>
            <w:tcW w:w="1012"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-431,639,863.94</w:t>
            </w:r>
          </w:p>
        </w:tc>
        <w:tc>
          <w:tcPr>
            <w:tcW w:w="1111"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-1,180,757,180.40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8"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1．提取盈余公积</w:t>
            </w:r>
          </w:p>
        </w:tc>
        <w:tc>
          <w:tcPr>
            <w:tcW w:w="96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5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2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23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01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11" w:type="dxa"/>
            <w:vAlign w:val="center"/>
          </w:tcPr>
          <w:p>
            <w:pPr>
              <w:snapToGrid w:val="0"/>
              <w:spacing w:line="16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8"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其中：法定公积金</w:t>
            </w:r>
          </w:p>
        </w:tc>
        <w:tc>
          <w:tcPr>
            <w:tcW w:w="96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5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2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23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01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11" w:type="dxa"/>
            <w:vAlign w:val="center"/>
          </w:tcPr>
          <w:p>
            <w:pPr>
              <w:snapToGrid w:val="0"/>
              <w:spacing w:line="16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8"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任意公积金</w:t>
            </w:r>
          </w:p>
        </w:tc>
        <w:tc>
          <w:tcPr>
            <w:tcW w:w="96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5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2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23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01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11" w:type="dxa"/>
            <w:vAlign w:val="center"/>
          </w:tcPr>
          <w:p>
            <w:pPr>
              <w:snapToGrid w:val="0"/>
              <w:spacing w:line="16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8"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#储备基金</w:t>
            </w:r>
          </w:p>
        </w:tc>
        <w:tc>
          <w:tcPr>
            <w:tcW w:w="96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5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2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23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01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11" w:type="dxa"/>
            <w:vAlign w:val="center"/>
          </w:tcPr>
          <w:p>
            <w:pPr>
              <w:snapToGrid w:val="0"/>
              <w:spacing w:line="16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8"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#企业发展基金</w:t>
            </w:r>
          </w:p>
        </w:tc>
        <w:tc>
          <w:tcPr>
            <w:tcW w:w="96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5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2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23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01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11" w:type="dxa"/>
            <w:vAlign w:val="center"/>
          </w:tcPr>
          <w:p>
            <w:pPr>
              <w:snapToGrid w:val="0"/>
              <w:spacing w:line="16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8"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#利润归还投资</w:t>
            </w:r>
          </w:p>
        </w:tc>
        <w:tc>
          <w:tcPr>
            <w:tcW w:w="96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5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2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23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01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11" w:type="dxa"/>
            <w:vAlign w:val="center"/>
          </w:tcPr>
          <w:p>
            <w:pPr>
              <w:snapToGrid w:val="0"/>
              <w:spacing w:line="16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8"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△2．提取一般风险准备</w:t>
            </w:r>
          </w:p>
        </w:tc>
        <w:tc>
          <w:tcPr>
            <w:tcW w:w="96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5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2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23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01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11" w:type="dxa"/>
            <w:vAlign w:val="center"/>
          </w:tcPr>
          <w:p>
            <w:pPr>
              <w:snapToGrid w:val="0"/>
              <w:spacing w:line="16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8"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3．对所有者（或股东）的分配</w:t>
            </w:r>
          </w:p>
        </w:tc>
        <w:tc>
          <w:tcPr>
            <w:tcW w:w="96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5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2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23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012"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-247,040,694.23</w:t>
            </w:r>
          </w:p>
        </w:tc>
        <w:tc>
          <w:tcPr>
            <w:tcW w:w="1111"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-247,040,694.23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8"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4．其他</w:t>
            </w:r>
          </w:p>
        </w:tc>
        <w:tc>
          <w:tcPr>
            <w:tcW w:w="96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5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2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235"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-749,117,316.46</w:t>
            </w: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-749,117,316.46</w:t>
            </w:r>
          </w:p>
        </w:tc>
        <w:tc>
          <w:tcPr>
            <w:tcW w:w="1012"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-184,599,169.71</w:t>
            </w:r>
          </w:p>
        </w:tc>
        <w:tc>
          <w:tcPr>
            <w:tcW w:w="1111"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-933,716,486.17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8"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（五）所有者权益内部结转</w:t>
            </w:r>
          </w:p>
        </w:tc>
        <w:tc>
          <w:tcPr>
            <w:tcW w:w="964"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-1,200,000,000.00</w:t>
            </w:r>
          </w:p>
        </w:tc>
        <w:tc>
          <w:tcPr>
            <w:tcW w:w="55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1,200,000,000.00</w:t>
            </w:r>
          </w:p>
        </w:tc>
        <w:tc>
          <w:tcPr>
            <w:tcW w:w="82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23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01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11" w:type="dxa"/>
            <w:vAlign w:val="center"/>
          </w:tcPr>
          <w:p>
            <w:pPr>
              <w:snapToGrid w:val="0"/>
              <w:spacing w:line="16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8"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1．资本公积转增资本（或股本）</w:t>
            </w:r>
          </w:p>
        </w:tc>
        <w:tc>
          <w:tcPr>
            <w:tcW w:w="96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5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2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23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01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11" w:type="dxa"/>
            <w:vAlign w:val="center"/>
          </w:tcPr>
          <w:p>
            <w:pPr>
              <w:snapToGrid w:val="0"/>
              <w:spacing w:line="16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8"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2．盈余公积转增资本（或股本）</w:t>
            </w:r>
          </w:p>
        </w:tc>
        <w:tc>
          <w:tcPr>
            <w:tcW w:w="96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5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2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23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01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11" w:type="dxa"/>
            <w:vAlign w:val="center"/>
          </w:tcPr>
          <w:p>
            <w:pPr>
              <w:snapToGrid w:val="0"/>
              <w:spacing w:line="16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8"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3．弥补亏损</w:t>
            </w:r>
          </w:p>
        </w:tc>
        <w:tc>
          <w:tcPr>
            <w:tcW w:w="96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5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2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23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01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11" w:type="dxa"/>
            <w:vAlign w:val="center"/>
          </w:tcPr>
          <w:p>
            <w:pPr>
              <w:snapToGrid w:val="0"/>
              <w:spacing w:line="16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8"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4．设定受益计划变动额结转留存收益</w:t>
            </w:r>
          </w:p>
        </w:tc>
        <w:tc>
          <w:tcPr>
            <w:tcW w:w="96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5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2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23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01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11" w:type="dxa"/>
            <w:vAlign w:val="center"/>
          </w:tcPr>
          <w:p>
            <w:pPr>
              <w:snapToGrid w:val="0"/>
              <w:spacing w:line="16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8"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5．其他综合收益结转留存收益</w:t>
            </w:r>
          </w:p>
        </w:tc>
        <w:tc>
          <w:tcPr>
            <w:tcW w:w="96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5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2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23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01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11" w:type="dxa"/>
            <w:vAlign w:val="center"/>
          </w:tcPr>
          <w:p>
            <w:pPr>
              <w:snapToGrid w:val="0"/>
              <w:spacing w:line="16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8"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6．其他</w:t>
            </w:r>
          </w:p>
        </w:tc>
        <w:tc>
          <w:tcPr>
            <w:tcW w:w="964"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-1,200,000,000.00</w:t>
            </w:r>
          </w:p>
        </w:tc>
        <w:tc>
          <w:tcPr>
            <w:tcW w:w="55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1,200,000,000.00</w:t>
            </w:r>
          </w:p>
        </w:tc>
        <w:tc>
          <w:tcPr>
            <w:tcW w:w="82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23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01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11" w:type="dxa"/>
            <w:vAlign w:val="center"/>
          </w:tcPr>
          <w:p>
            <w:pPr>
              <w:snapToGrid w:val="0"/>
              <w:spacing w:line="16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8"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四、本年年末余额</w:t>
            </w:r>
          </w:p>
        </w:tc>
        <w:tc>
          <w:tcPr>
            <w:tcW w:w="964"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4,692,315,400.00</w:t>
            </w:r>
          </w:p>
        </w:tc>
        <w:tc>
          <w:tcPr>
            <w:tcW w:w="556"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19,318,660,000.00</w:t>
            </w:r>
          </w:p>
        </w:tc>
        <w:tc>
          <w:tcPr>
            <w:tcW w:w="5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1,545,201,426.54</w:t>
            </w:r>
          </w:p>
        </w:tc>
        <w:tc>
          <w:tcPr>
            <w:tcW w:w="82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325,925,220.87</w:t>
            </w: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13,388,111.97</w:t>
            </w: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466,989,510.71</w:t>
            </w: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235"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-27,099,250,489.96</w:t>
            </w:r>
          </w:p>
        </w:tc>
        <w:tc>
          <w:tcPr>
            <w:tcW w:w="916"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-736,770,819.87</w:t>
            </w:r>
          </w:p>
        </w:tc>
        <w:tc>
          <w:tcPr>
            <w:tcW w:w="1012"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15,874,866,757.66</w:t>
            </w:r>
          </w:p>
        </w:tc>
        <w:tc>
          <w:tcPr>
            <w:tcW w:w="1111"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15,138,095,937.79</w:t>
            </w:r>
          </w:p>
        </w:tc>
      </w:tr>
    </w:tbl>
    <w:p>
      <w:pPr>
        <w:tabs>
          <w:tab w:val="left" w:pos="1440"/>
          <w:tab w:val="left" w:pos="1620"/>
          <w:tab w:val="left" w:pos="1800"/>
        </w:tabs>
        <w:adjustRightInd w:val="0"/>
        <w:snapToGrid w:val="0"/>
        <w:spacing w:before="80" w:line="240" w:lineRule="atLeast"/>
        <w:rPr>
          <w:rFonts w:ascii="Times New Roman" w:hAnsi="Times New Roman" w:cs="Times New Roman"/>
          <w:color w:val="auto"/>
          <w:sz w:val="18"/>
          <w:szCs w:val="18"/>
          <w:highlight w:val="none"/>
        </w:rPr>
      </w:pPr>
      <w:r>
        <w:rPr>
          <w:rFonts w:ascii="Times New Roman" w:hAnsi="Times New Roman" w:cs="Times New Roman"/>
          <w:color w:val="auto"/>
          <w:highlight w:val="none"/>
        </w:rPr>
        <w:fldChar w:fldCharType="end"/>
      </w:r>
      <w:r>
        <w:rPr>
          <w:rFonts w:ascii="Times New Roman" w:hAnsi="Times New Roman" w:cs="Times New Roman"/>
          <w:color w:val="auto"/>
          <w:sz w:val="18"/>
          <w:szCs w:val="18"/>
          <w:highlight w:val="none"/>
        </w:rPr>
        <w:t xml:space="preserve">企业法定代表人：    </w:t>
      </w:r>
      <w:r>
        <w:rPr>
          <w:rFonts w:hint="eastAsia" w:ascii="Times New Roman" w:hAnsi="Times New Roman" w:cs="Times New Roman"/>
          <w:color w:val="auto"/>
          <w:sz w:val="18"/>
          <w:szCs w:val="18"/>
          <w:highlight w:val="none"/>
        </w:rPr>
        <w:t xml:space="preserve">                         </w:t>
      </w:r>
      <w:r>
        <w:rPr>
          <w:rFonts w:ascii="Times New Roman" w:hAnsi="Times New Roman" w:cs="Times New Roman"/>
          <w:color w:val="auto"/>
          <w:sz w:val="18"/>
          <w:szCs w:val="18"/>
          <w:highlight w:val="none"/>
        </w:rPr>
        <w:t xml:space="preserve">                  主管会计工作负责人：    </w:t>
      </w:r>
      <w:r>
        <w:rPr>
          <w:rFonts w:hint="eastAsia" w:ascii="Times New Roman" w:hAnsi="Times New Roman" w:cs="Times New Roman"/>
          <w:color w:val="auto"/>
          <w:sz w:val="18"/>
          <w:szCs w:val="18"/>
          <w:highlight w:val="none"/>
        </w:rPr>
        <w:t xml:space="preserve">                         </w:t>
      </w:r>
      <w:r>
        <w:rPr>
          <w:rFonts w:ascii="Times New Roman" w:hAnsi="Times New Roman" w:cs="Times New Roman"/>
          <w:color w:val="auto"/>
          <w:sz w:val="18"/>
          <w:szCs w:val="18"/>
          <w:highlight w:val="none"/>
        </w:rPr>
        <w:t xml:space="preserve">                  会计机构负责人：</w:t>
      </w:r>
      <w:r>
        <w:rPr>
          <w:rFonts w:ascii="Times New Roman" w:hAnsi="Times New Roman" w:cs="Times New Roman"/>
          <w:color w:val="auto"/>
          <w:sz w:val="18"/>
          <w:szCs w:val="18"/>
          <w:highlight w:val="none"/>
        </w:rPr>
        <w:br w:type="page"/>
      </w:r>
    </w:p>
    <w:p>
      <w:pPr>
        <w:adjustRightInd w:val="0"/>
        <w:snapToGrid w:val="0"/>
        <w:spacing w:line="240" w:lineRule="auto"/>
        <w:jc w:val="center"/>
        <w:rPr>
          <w:rFonts w:ascii="Times New Roman" w:hAnsi="Times New Roman" w:cs="Times New Roman"/>
          <w:b/>
          <w:color w:val="auto"/>
          <w:sz w:val="18"/>
          <w:szCs w:val="18"/>
          <w:highlight w:val="none"/>
        </w:rPr>
      </w:pPr>
      <w:r>
        <w:rPr>
          <w:rFonts w:ascii="Times New Roman" w:hAnsi="Times New Roman" w:cs="Times New Roman"/>
          <w:b/>
          <w:color w:val="auto"/>
          <w:sz w:val="18"/>
          <w:szCs w:val="18"/>
          <w:highlight w:val="none"/>
        </w:rPr>
        <w:fldChar w:fldCharType="begin"/>
      </w:r>
      <w:r>
        <w:rPr>
          <w:rFonts w:ascii="Times New Roman" w:hAnsi="Times New Roman" w:cs="Times New Roman"/>
          <w:b/>
          <w:color w:val="auto"/>
          <w:sz w:val="18"/>
          <w:szCs w:val="18"/>
          <w:highlight w:val="none"/>
        </w:rPr>
        <w:instrText xml:space="preserve"> DOCVARIABLE  基本信息_企业名称  \* MERGEFORMAT </w:instrText>
      </w:r>
      <w:r>
        <w:rPr>
          <w:rFonts w:ascii="Times New Roman" w:hAnsi="Times New Roman" w:cs="Times New Roman"/>
          <w:b/>
          <w:color w:val="auto"/>
          <w:sz w:val="18"/>
          <w:szCs w:val="18"/>
          <w:highlight w:val="none"/>
        </w:rPr>
        <w:fldChar w:fldCharType="separate"/>
      </w:r>
      <w:r>
        <w:rPr>
          <w:rFonts w:hint="eastAsia" w:ascii="Times New Roman" w:hAnsi="Times New Roman" w:cs="Times New Roman"/>
          <w:b/>
          <w:color w:val="auto"/>
          <w:sz w:val="18"/>
          <w:szCs w:val="18"/>
          <w:highlight w:val="none"/>
        </w:rPr>
        <w:t>国家电投集团贵州金元股份有限公司</w:t>
      </w:r>
      <w:r>
        <w:rPr>
          <w:rFonts w:ascii="Times New Roman" w:hAnsi="Times New Roman" w:cs="Times New Roman"/>
          <w:b/>
          <w:color w:val="auto"/>
          <w:sz w:val="18"/>
          <w:szCs w:val="18"/>
          <w:highlight w:val="none"/>
        </w:rPr>
        <w:fldChar w:fldCharType="end"/>
      </w:r>
    </w:p>
    <w:p>
      <w:pPr>
        <w:adjustRightInd w:val="0"/>
        <w:snapToGrid w:val="0"/>
        <w:spacing w:line="240" w:lineRule="auto"/>
        <w:jc w:val="center"/>
        <w:rPr>
          <w:rFonts w:ascii="Times New Roman" w:hAnsi="Times New Roman" w:cs="Times New Roman"/>
          <w:b/>
          <w:color w:val="auto"/>
          <w:sz w:val="18"/>
          <w:szCs w:val="18"/>
          <w:highlight w:val="none"/>
        </w:rPr>
      </w:pPr>
      <w:r>
        <w:rPr>
          <w:rFonts w:hint="eastAsia" w:ascii="Times New Roman" w:hAnsi="Times New Roman" w:cs="Times New Roman"/>
          <w:b/>
          <w:color w:val="auto"/>
          <w:sz w:val="18"/>
          <w:szCs w:val="18"/>
          <w:highlight w:val="none"/>
        </w:rPr>
        <w:t>合并</w:t>
      </w:r>
      <w:r>
        <w:rPr>
          <w:rFonts w:ascii="Times New Roman" w:hAnsi="Times New Roman" w:cs="Times New Roman"/>
          <w:b/>
          <w:color w:val="auto"/>
          <w:sz w:val="18"/>
          <w:szCs w:val="18"/>
          <w:highlight w:val="none"/>
        </w:rPr>
        <w:t>所有者权益变动表（续）</w:t>
      </w:r>
    </w:p>
    <w:p>
      <w:pPr>
        <w:adjustRightInd w:val="0"/>
        <w:snapToGrid w:val="0"/>
        <w:spacing w:line="240" w:lineRule="auto"/>
        <w:jc w:val="center"/>
        <w:rPr>
          <w:rFonts w:ascii="Times New Roman" w:hAnsi="Times New Roman" w:cs="Times New Roman"/>
          <w:b/>
          <w:color w:val="auto"/>
          <w:sz w:val="18"/>
          <w:szCs w:val="18"/>
          <w:highlight w:val="none"/>
        </w:rPr>
      </w:pPr>
      <w:r>
        <w:rPr>
          <w:rFonts w:ascii="Times New Roman" w:hAnsi="Times New Roman" w:cs="Times New Roman"/>
          <w:b/>
          <w:color w:val="auto"/>
          <w:sz w:val="18"/>
          <w:szCs w:val="18"/>
          <w:highlight w:val="none"/>
        </w:rPr>
        <w:fldChar w:fldCharType="begin"/>
      </w:r>
      <w:r>
        <w:rPr>
          <w:rFonts w:ascii="Times New Roman" w:hAnsi="Times New Roman" w:cs="Times New Roman"/>
          <w:b/>
          <w:color w:val="auto"/>
          <w:sz w:val="18"/>
          <w:szCs w:val="18"/>
          <w:highlight w:val="none"/>
        </w:rPr>
        <w:instrText xml:space="preserve"> DOCVARIABLE  基本信息_项目年度  \* MERGEFORMAT </w:instrText>
      </w:r>
      <w:r>
        <w:rPr>
          <w:rFonts w:ascii="Times New Roman" w:hAnsi="Times New Roman" w:cs="Times New Roman"/>
          <w:b/>
          <w:color w:val="auto"/>
          <w:sz w:val="18"/>
          <w:szCs w:val="18"/>
          <w:highlight w:val="none"/>
        </w:rPr>
        <w:fldChar w:fldCharType="separate"/>
      </w:r>
      <w:r>
        <w:rPr>
          <w:rFonts w:hint="eastAsia" w:ascii="Times New Roman" w:hAnsi="Times New Roman" w:cs="Times New Roman"/>
          <w:b/>
          <w:color w:val="auto"/>
          <w:sz w:val="18"/>
          <w:szCs w:val="18"/>
          <w:highlight w:val="none"/>
        </w:rPr>
        <w:t>2024年度</w:t>
      </w:r>
      <w:r>
        <w:rPr>
          <w:rFonts w:ascii="Times New Roman" w:hAnsi="Times New Roman" w:cs="Times New Roman"/>
          <w:b/>
          <w:color w:val="auto"/>
          <w:sz w:val="18"/>
          <w:szCs w:val="18"/>
          <w:highlight w:val="none"/>
        </w:rPr>
        <w:fldChar w:fldCharType="end"/>
      </w:r>
    </w:p>
    <w:p>
      <w:pPr>
        <w:adjustRightInd w:val="0"/>
        <w:snapToGrid w:val="0"/>
        <w:spacing w:after="120" w:afterLines="50" w:line="240" w:lineRule="auto"/>
        <w:jc w:val="center"/>
        <w:rPr>
          <w:rFonts w:ascii="Times New Roman" w:hAnsi="Times New Roman" w:cs="Times New Roman"/>
          <w:b/>
          <w:color w:val="auto"/>
          <w:highlight w:val="none"/>
        </w:rPr>
      </w:pPr>
      <w:r>
        <w:rPr>
          <w:rFonts w:ascii="Times New Roman" w:hAnsi="Times New Roman" w:cs="Times New Roman"/>
          <w:b/>
          <w:color w:val="auto"/>
          <w:sz w:val="18"/>
          <w:szCs w:val="18"/>
          <w:highlight w:val="none"/>
        </w:rPr>
        <w:t>（除特别注明外，金额单位均为人民币元）</w:t>
      </w:r>
      <w:r>
        <w:rPr>
          <w:rFonts w:ascii="Times New Roman" w:hAnsi="Times New Roman" w:cs="Times New Roman"/>
          <w:color w:val="auto"/>
          <w:sz w:val="18"/>
          <w:szCs w:val="18"/>
          <w:highlight w:val="none"/>
        </w:rPr>
        <w:fldChar w:fldCharType="begin"/>
      </w:r>
      <w:r>
        <w:rPr>
          <w:rFonts w:ascii="Times New Roman" w:hAnsi="Times New Roman" w:cs="Times New Roman"/>
          <w:color w:val="auto"/>
          <w:sz w:val="18"/>
          <w:szCs w:val="18"/>
          <w:highlight w:val="none"/>
        </w:rPr>
        <w:instrText xml:space="preserve"> LINK Excel.Sheet.12 E:\\雍\\附注排版\\2014年年报格式\\附注过渡表20150130V0910.xlsx 所合并!合并所有者权益变动表上年 \f 4 \h \* MERGEFORMAT </w:instrText>
      </w:r>
      <w:r>
        <w:rPr>
          <w:rFonts w:ascii="Times New Roman" w:hAnsi="Times New Roman" w:cs="Times New Roman"/>
          <w:color w:val="auto"/>
          <w:sz w:val="18"/>
          <w:szCs w:val="18"/>
          <w:highlight w:val="none"/>
        </w:rPr>
        <w:fldChar w:fldCharType="separate"/>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9"/>
        <w:gridCol w:w="947"/>
        <w:gridCol w:w="576"/>
        <w:gridCol w:w="1007"/>
        <w:gridCol w:w="431"/>
        <w:gridCol w:w="1007"/>
        <w:gridCol w:w="864"/>
        <w:gridCol w:w="863"/>
        <w:gridCol w:w="1008"/>
        <w:gridCol w:w="863"/>
        <w:gridCol w:w="720"/>
        <w:gridCol w:w="1151"/>
        <w:gridCol w:w="1164"/>
        <w:gridCol w:w="1030"/>
        <w:gridCol w:w="11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323" w:type="dxa"/>
            <w:vMerge w:val="restart"/>
            <w:vAlign w:val="center"/>
          </w:tcPr>
          <w:p>
            <w:pPr>
              <w:snapToGrid w:val="0"/>
              <w:spacing w:line="16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项目</w:t>
            </w:r>
          </w:p>
        </w:tc>
        <w:tc>
          <w:tcPr>
            <w:tcW w:w="12578" w:type="dxa"/>
            <w:gridSpan w:val="14"/>
            <w:vAlign w:val="center"/>
          </w:tcPr>
          <w:p>
            <w:pPr>
              <w:snapToGrid w:val="0"/>
              <w:spacing w:line="16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上年金额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323" w:type="dxa"/>
            <w:vMerge w:val="continue"/>
            <w:vAlign w:val="center"/>
          </w:tcPr>
          <w:p>
            <w:pPr>
              <w:rPr>
                <w:color w:val="auto"/>
                <w:highlight w:val="none"/>
              </w:rPr>
            </w:pPr>
          </w:p>
        </w:tc>
        <w:tc>
          <w:tcPr>
            <w:tcW w:w="10443" w:type="dxa"/>
            <w:gridSpan w:val="12"/>
            <w:vAlign w:val="center"/>
          </w:tcPr>
          <w:p>
            <w:pPr>
              <w:snapToGrid w:val="0"/>
              <w:spacing w:line="16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归属于母公司所有者权益</w:t>
            </w:r>
          </w:p>
        </w:tc>
        <w:tc>
          <w:tcPr>
            <w:tcW w:w="1015" w:type="dxa"/>
            <w:vMerge w:val="restart"/>
            <w:vAlign w:val="center"/>
          </w:tcPr>
          <w:p>
            <w:pPr>
              <w:snapToGrid w:val="0"/>
              <w:spacing w:line="16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少数股东权益</w:t>
            </w:r>
          </w:p>
        </w:tc>
        <w:tc>
          <w:tcPr>
            <w:tcW w:w="1120" w:type="dxa"/>
            <w:vMerge w:val="restart"/>
            <w:vAlign w:val="center"/>
          </w:tcPr>
          <w:p>
            <w:pPr>
              <w:snapToGrid w:val="0"/>
              <w:spacing w:line="16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所有者权益合计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323" w:type="dxa"/>
            <w:vMerge w:val="continue"/>
            <w:vAlign w:val="center"/>
          </w:tcPr>
          <w:p>
            <w:pPr>
              <w:rPr>
                <w:color w:val="auto"/>
                <w:highlight w:val="none"/>
              </w:rPr>
            </w:pPr>
          </w:p>
        </w:tc>
        <w:tc>
          <w:tcPr>
            <w:tcW w:w="933" w:type="dxa"/>
            <w:vMerge w:val="restart"/>
            <w:vAlign w:val="center"/>
          </w:tcPr>
          <w:p>
            <w:pPr>
              <w:snapToGrid w:val="0"/>
              <w:spacing w:line="16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股本</w:t>
            </w:r>
          </w:p>
        </w:tc>
        <w:tc>
          <w:tcPr>
            <w:tcW w:w="1984" w:type="dxa"/>
            <w:gridSpan w:val="3"/>
            <w:vAlign w:val="center"/>
          </w:tcPr>
          <w:p>
            <w:pPr>
              <w:snapToGrid w:val="0"/>
              <w:spacing w:line="16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其他权益工具</w:t>
            </w:r>
          </w:p>
        </w:tc>
        <w:tc>
          <w:tcPr>
            <w:tcW w:w="992" w:type="dxa"/>
            <w:vMerge w:val="restart"/>
            <w:vAlign w:val="center"/>
          </w:tcPr>
          <w:p>
            <w:pPr>
              <w:snapToGrid w:val="0"/>
              <w:spacing w:line="16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资本公积</w:t>
            </w:r>
          </w:p>
        </w:tc>
        <w:tc>
          <w:tcPr>
            <w:tcW w:w="851" w:type="dxa"/>
            <w:vMerge w:val="restart"/>
            <w:vAlign w:val="center"/>
          </w:tcPr>
          <w:p>
            <w:pPr>
              <w:snapToGrid w:val="0"/>
              <w:spacing w:line="16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减：库存股</w:t>
            </w:r>
          </w:p>
        </w:tc>
        <w:tc>
          <w:tcPr>
            <w:tcW w:w="850" w:type="dxa"/>
            <w:vMerge w:val="restart"/>
            <w:vAlign w:val="center"/>
          </w:tcPr>
          <w:p>
            <w:pPr>
              <w:snapToGrid w:val="0"/>
              <w:spacing w:line="16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其他综合收益</w:t>
            </w:r>
          </w:p>
        </w:tc>
        <w:tc>
          <w:tcPr>
            <w:tcW w:w="993" w:type="dxa"/>
            <w:vMerge w:val="restart"/>
            <w:vAlign w:val="center"/>
          </w:tcPr>
          <w:p>
            <w:pPr>
              <w:snapToGrid w:val="0"/>
              <w:spacing w:line="16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专项储备</w:t>
            </w:r>
          </w:p>
        </w:tc>
        <w:tc>
          <w:tcPr>
            <w:tcW w:w="850" w:type="dxa"/>
            <w:vMerge w:val="restart"/>
            <w:vAlign w:val="center"/>
          </w:tcPr>
          <w:p>
            <w:pPr>
              <w:snapToGrid w:val="0"/>
              <w:spacing w:line="16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盈余公积</w:t>
            </w:r>
          </w:p>
        </w:tc>
        <w:tc>
          <w:tcPr>
            <w:tcW w:w="709" w:type="dxa"/>
            <w:vMerge w:val="restart"/>
            <w:vAlign w:val="center"/>
          </w:tcPr>
          <w:p>
            <w:pPr>
              <w:snapToGrid w:val="0"/>
              <w:spacing w:line="16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△一般风险准备</w:t>
            </w:r>
          </w:p>
        </w:tc>
        <w:tc>
          <w:tcPr>
            <w:tcW w:w="1134" w:type="dxa"/>
            <w:vMerge w:val="restart"/>
            <w:vAlign w:val="center"/>
          </w:tcPr>
          <w:p>
            <w:pPr>
              <w:snapToGrid w:val="0"/>
              <w:spacing w:line="16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未分配利润</w:t>
            </w:r>
          </w:p>
        </w:tc>
        <w:tc>
          <w:tcPr>
            <w:tcW w:w="1147" w:type="dxa"/>
            <w:vMerge w:val="restart"/>
            <w:vAlign w:val="center"/>
          </w:tcPr>
          <w:p>
            <w:pPr>
              <w:snapToGrid w:val="0"/>
              <w:spacing w:line="16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小计</w:t>
            </w:r>
          </w:p>
        </w:tc>
        <w:tc>
          <w:tcPr>
            <w:tcW w:w="1015" w:type="dxa"/>
            <w:vMerge w:val="continue"/>
            <w:vAlign w:val="center"/>
          </w:tcPr>
          <w:p>
            <w:pPr>
              <w:rPr>
                <w:color w:val="auto"/>
                <w:highlight w:val="none"/>
              </w:rPr>
            </w:pPr>
          </w:p>
        </w:tc>
        <w:tc>
          <w:tcPr>
            <w:tcW w:w="1120" w:type="dxa"/>
            <w:vMerge w:val="continue"/>
            <w:vAlign w:val="center"/>
          </w:tcPr>
          <w:p>
            <w:pP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323" w:type="dxa"/>
            <w:vMerge w:val="continue"/>
            <w:vAlign w:val="center"/>
          </w:tcPr>
          <w:p>
            <w:pPr>
              <w:rPr>
                <w:color w:val="auto"/>
                <w:highlight w:val="none"/>
              </w:rPr>
            </w:pPr>
          </w:p>
        </w:tc>
        <w:tc>
          <w:tcPr>
            <w:tcW w:w="933" w:type="dxa"/>
            <w:vMerge w:val="continue"/>
            <w:vAlign w:val="center"/>
          </w:tcPr>
          <w:p>
            <w:pPr>
              <w:rPr>
                <w:color w:val="auto"/>
                <w:highlight w:val="none"/>
              </w:rPr>
            </w:pPr>
          </w:p>
        </w:tc>
        <w:tc>
          <w:tcPr>
            <w:tcW w:w="567" w:type="dxa"/>
            <w:vAlign w:val="center"/>
          </w:tcPr>
          <w:p>
            <w:pPr>
              <w:snapToGrid w:val="0"/>
              <w:spacing w:line="16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优先股</w:t>
            </w:r>
          </w:p>
        </w:tc>
        <w:tc>
          <w:tcPr>
            <w:tcW w:w="992" w:type="dxa"/>
            <w:vAlign w:val="center"/>
          </w:tcPr>
          <w:p>
            <w:pPr>
              <w:snapToGrid w:val="0"/>
              <w:spacing w:line="16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永续债</w:t>
            </w:r>
          </w:p>
        </w:tc>
        <w:tc>
          <w:tcPr>
            <w:tcW w:w="425" w:type="dxa"/>
            <w:vAlign w:val="center"/>
          </w:tcPr>
          <w:p>
            <w:pPr>
              <w:snapToGrid w:val="0"/>
              <w:spacing w:line="16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其他</w:t>
            </w:r>
          </w:p>
        </w:tc>
        <w:tc>
          <w:tcPr>
            <w:tcW w:w="992" w:type="dxa"/>
            <w:vMerge w:val="continue"/>
            <w:vAlign w:val="center"/>
          </w:tcPr>
          <w:p>
            <w:pPr>
              <w:rPr>
                <w:color w:val="auto"/>
                <w:highlight w:val="none"/>
              </w:rPr>
            </w:pPr>
          </w:p>
        </w:tc>
        <w:tc>
          <w:tcPr>
            <w:tcW w:w="851" w:type="dxa"/>
            <w:vMerge w:val="continue"/>
            <w:vAlign w:val="center"/>
          </w:tcPr>
          <w:p>
            <w:pPr>
              <w:rPr>
                <w:color w:val="auto"/>
                <w:highlight w:val="none"/>
              </w:rPr>
            </w:pPr>
          </w:p>
        </w:tc>
        <w:tc>
          <w:tcPr>
            <w:tcW w:w="850" w:type="dxa"/>
            <w:vMerge w:val="continue"/>
            <w:vAlign w:val="center"/>
          </w:tcPr>
          <w:p>
            <w:pPr>
              <w:rPr>
                <w:color w:val="auto"/>
                <w:highlight w:val="none"/>
              </w:rPr>
            </w:pPr>
          </w:p>
        </w:tc>
        <w:tc>
          <w:tcPr>
            <w:tcW w:w="993" w:type="dxa"/>
            <w:vMerge w:val="continue"/>
            <w:vAlign w:val="center"/>
          </w:tcPr>
          <w:p>
            <w:pPr>
              <w:rPr>
                <w:color w:val="auto"/>
                <w:highlight w:val="none"/>
              </w:rPr>
            </w:pPr>
          </w:p>
        </w:tc>
        <w:tc>
          <w:tcPr>
            <w:tcW w:w="850" w:type="dxa"/>
            <w:vMerge w:val="continue"/>
            <w:vAlign w:val="center"/>
          </w:tcPr>
          <w:p>
            <w:pPr>
              <w:rPr>
                <w:color w:val="auto"/>
                <w:highlight w:val="none"/>
              </w:rPr>
            </w:pPr>
          </w:p>
        </w:tc>
        <w:tc>
          <w:tcPr>
            <w:tcW w:w="709" w:type="dxa"/>
            <w:vMerge w:val="continue"/>
            <w:vAlign w:val="center"/>
          </w:tcPr>
          <w:p>
            <w:pPr>
              <w:rPr>
                <w:color w:val="auto"/>
                <w:highlight w:val="none"/>
              </w:rPr>
            </w:pPr>
          </w:p>
        </w:tc>
        <w:tc>
          <w:tcPr>
            <w:tcW w:w="1134" w:type="dxa"/>
            <w:vMerge w:val="continue"/>
            <w:vAlign w:val="center"/>
          </w:tcPr>
          <w:p>
            <w:pPr>
              <w:rPr>
                <w:color w:val="auto"/>
                <w:highlight w:val="none"/>
              </w:rPr>
            </w:pPr>
          </w:p>
        </w:tc>
        <w:tc>
          <w:tcPr>
            <w:tcW w:w="1147" w:type="dxa"/>
            <w:vMerge w:val="continue"/>
            <w:vAlign w:val="center"/>
          </w:tcPr>
          <w:p>
            <w:pPr>
              <w:rPr>
                <w:color w:val="auto"/>
                <w:highlight w:val="none"/>
              </w:rPr>
            </w:pPr>
          </w:p>
        </w:tc>
        <w:tc>
          <w:tcPr>
            <w:tcW w:w="1015" w:type="dxa"/>
            <w:vMerge w:val="continue"/>
            <w:vAlign w:val="center"/>
          </w:tcPr>
          <w:p>
            <w:pPr>
              <w:rPr>
                <w:color w:val="auto"/>
                <w:highlight w:val="none"/>
              </w:rPr>
            </w:pPr>
          </w:p>
        </w:tc>
        <w:tc>
          <w:tcPr>
            <w:tcW w:w="1120" w:type="dxa"/>
            <w:vMerge w:val="continue"/>
            <w:vAlign w:val="center"/>
          </w:tcPr>
          <w:p>
            <w:pP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3"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一、上年年末余额</w:t>
            </w:r>
          </w:p>
        </w:tc>
        <w:tc>
          <w:tcPr>
            <w:tcW w:w="933"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5,892,315,400.00</w:t>
            </w:r>
          </w:p>
        </w:tc>
        <w:tc>
          <w:tcPr>
            <w:tcW w:w="56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15,963,150,000.00</w:t>
            </w:r>
          </w:p>
        </w:tc>
        <w:tc>
          <w:tcPr>
            <w:tcW w:w="42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571,868,390.58</w:t>
            </w: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260,870,959.79</w:t>
            </w: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7,026,428.75</w:t>
            </w: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466,989,510.71</w:t>
            </w:r>
          </w:p>
        </w:tc>
        <w:tc>
          <w:tcPr>
            <w:tcW w:w="7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34"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-22,513,002,165.56</w:t>
            </w:r>
          </w:p>
        </w:tc>
        <w:tc>
          <w:tcPr>
            <w:tcW w:w="1147"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649,218,524.27</w:t>
            </w:r>
          </w:p>
        </w:tc>
        <w:tc>
          <w:tcPr>
            <w:tcW w:w="1015"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12,663,945,799.54</w:t>
            </w:r>
          </w:p>
        </w:tc>
        <w:tc>
          <w:tcPr>
            <w:tcW w:w="1120"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13,313,164,323.81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3"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加：会计政策变更</w:t>
            </w:r>
          </w:p>
        </w:tc>
        <w:tc>
          <w:tcPr>
            <w:tcW w:w="93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6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42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7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34"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15,979,882.66</w:t>
            </w:r>
          </w:p>
        </w:tc>
        <w:tc>
          <w:tcPr>
            <w:tcW w:w="1147"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15,979,882.66</w:t>
            </w:r>
          </w:p>
        </w:tc>
        <w:tc>
          <w:tcPr>
            <w:tcW w:w="1015"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35,549,361.24</w:t>
            </w:r>
          </w:p>
        </w:tc>
        <w:tc>
          <w:tcPr>
            <w:tcW w:w="1120"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51,529,243.90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3"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前期差错更正</w:t>
            </w:r>
          </w:p>
        </w:tc>
        <w:tc>
          <w:tcPr>
            <w:tcW w:w="93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6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42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7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3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4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01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20" w:type="dxa"/>
            <w:vAlign w:val="center"/>
          </w:tcPr>
          <w:p>
            <w:pPr>
              <w:snapToGrid w:val="0"/>
              <w:spacing w:line="16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3"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其他</w:t>
            </w:r>
          </w:p>
        </w:tc>
        <w:tc>
          <w:tcPr>
            <w:tcW w:w="93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6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42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7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3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4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01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20" w:type="dxa"/>
            <w:vAlign w:val="center"/>
          </w:tcPr>
          <w:p>
            <w:pPr>
              <w:snapToGrid w:val="0"/>
              <w:spacing w:line="16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3"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二、本年年初余额</w:t>
            </w:r>
          </w:p>
        </w:tc>
        <w:tc>
          <w:tcPr>
            <w:tcW w:w="933"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5,892,315,400.00</w:t>
            </w:r>
          </w:p>
        </w:tc>
        <w:tc>
          <w:tcPr>
            <w:tcW w:w="56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15,963,150,000.00</w:t>
            </w:r>
          </w:p>
        </w:tc>
        <w:tc>
          <w:tcPr>
            <w:tcW w:w="42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571,868,390.58</w:t>
            </w: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260,870,959.79</w:t>
            </w: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7,026,428.75</w:t>
            </w: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466,989,510.71</w:t>
            </w:r>
          </w:p>
        </w:tc>
        <w:tc>
          <w:tcPr>
            <w:tcW w:w="7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34"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-22,497,022,282.90</w:t>
            </w:r>
          </w:p>
        </w:tc>
        <w:tc>
          <w:tcPr>
            <w:tcW w:w="1147"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665,198,406.93</w:t>
            </w:r>
          </w:p>
        </w:tc>
        <w:tc>
          <w:tcPr>
            <w:tcW w:w="1015"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12,699,495,160.78</w:t>
            </w:r>
          </w:p>
        </w:tc>
        <w:tc>
          <w:tcPr>
            <w:tcW w:w="1120"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13,364,693,567.71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3"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三、本年增减变动金额（减少以“-”号填列）</w:t>
            </w:r>
          </w:p>
        </w:tc>
        <w:tc>
          <w:tcPr>
            <w:tcW w:w="93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6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2,355,510,000.00</w:t>
            </w:r>
          </w:p>
        </w:tc>
        <w:tc>
          <w:tcPr>
            <w:tcW w:w="42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-160,320,067.94</w:t>
            </w: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40,849,935.68</w:t>
            </w: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19,261,758.90</w:t>
            </w: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7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34"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-3,309,436,906.76</w:t>
            </w:r>
          </w:p>
        </w:tc>
        <w:tc>
          <w:tcPr>
            <w:tcW w:w="1147"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-1,054,135,280.12</w:t>
            </w:r>
          </w:p>
        </w:tc>
        <w:tc>
          <w:tcPr>
            <w:tcW w:w="1015"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484,035,876.42</w:t>
            </w:r>
          </w:p>
        </w:tc>
        <w:tc>
          <w:tcPr>
            <w:tcW w:w="1120"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-570,099,403.70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3"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（一）综合收益总额</w:t>
            </w:r>
          </w:p>
        </w:tc>
        <w:tc>
          <w:tcPr>
            <w:tcW w:w="93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6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42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40,849,935.68</w:t>
            </w: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7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34"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-2,591,168,934.88</w:t>
            </w:r>
          </w:p>
        </w:tc>
        <w:tc>
          <w:tcPr>
            <w:tcW w:w="1147"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-2,550,318,999.20</w:t>
            </w:r>
          </w:p>
        </w:tc>
        <w:tc>
          <w:tcPr>
            <w:tcW w:w="1015"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696,468,986.06</w:t>
            </w:r>
          </w:p>
        </w:tc>
        <w:tc>
          <w:tcPr>
            <w:tcW w:w="1120"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-1,853,850,013.14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3"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（二）所有者投入和减少资本</w:t>
            </w:r>
          </w:p>
        </w:tc>
        <w:tc>
          <w:tcPr>
            <w:tcW w:w="93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6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2,355,510,000.00</w:t>
            </w:r>
          </w:p>
        </w:tc>
        <w:tc>
          <w:tcPr>
            <w:tcW w:w="42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-160,320,067.94</w:t>
            </w: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7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3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47"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2,195,189,932.06</w:t>
            </w:r>
          </w:p>
        </w:tc>
        <w:tc>
          <w:tcPr>
            <w:tcW w:w="1015"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16,383,783.65</w:t>
            </w:r>
          </w:p>
        </w:tc>
        <w:tc>
          <w:tcPr>
            <w:tcW w:w="1120"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2,211,573,715.71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3"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1．所有者投入的普通股</w:t>
            </w:r>
          </w:p>
        </w:tc>
        <w:tc>
          <w:tcPr>
            <w:tcW w:w="93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6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42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7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3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4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015"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2,006,039,520.00</w:t>
            </w:r>
          </w:p>
        </w:tc>
        <w:tc>
          <w:tcPr>
            <w:tcW w:w="1120"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2,006,039,520.00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3"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2．其他权益工具持有者投入资本</w:t>
            </w:r>
          </w:p>
        </w:tc>
        <w:tc>
          <w:tcPr>
            <w:tcW w:w="93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6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2,355,510,000.00</w:t>
            </w:r>
          </w:p>
        </w:tc>
        <w:tc>
          <w:tcPr>
            <w:tcW w:w="42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7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3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47"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2,355,510,000.00</w:t>
            </w:r>
          </w:p>
        </w:tc>
        <w:tc>
          <w:tcPr>
            <w:tcW w:w="1015"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-770,230,000.00</w:t>
            </w:r>
          </w:p>
        </w:tc>
        <w:tc>
          <w:tcPr>
            <w:tcW w:w="1120"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1,585,280,000.00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3"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3．股份支付计入所有者权益的金额</w:t>
            </w:r>
          </w:p>
        </w:tc>
        <w:tc>
          <w:tcPr>
            <w:tcW w:w="93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6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42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7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3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4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01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20" w:type="dxa"/>
            <w:vAlign w:val="center"/>
          </w:tcPr>
          <w:p>
            <w:pPr>
              <w:snapToGrid w:val="0"/>
              <w:spacing w:line="16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3"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4．其他</w:t>
            </w:r>
          </w:p>
        </w:tc>
        <w:tc>
          <w:tcPr>
            <w:tcW w:w="93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6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42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-160,320,067.94</w:t>
            </w: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7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3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47"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-160,320,067.94</w:t>
            </w:r>
          </w:p>
        </w:tc>
        <w:tc>
          <w:tcPr>
            <w:tcW w:w="1015"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-1,219,425,736.35</w:t>
            </w:r>
          </w:p>
        </w:tc>
        <w:tc>
          <w:tcPr>
            <w:tcW w:w="1120"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-1,379,745,804.29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3"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（三）专项储备提取和使用</w:t>
            </w:r>
          </w:p>
        </w:tc>
        <w:tc>
          <w:tcPr>
            <w:tcW w:w="93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6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42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19,261,758.90</w:t>
            </w: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7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3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47"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19,261,758.90</w:t>
            </w:r>
          </w:p>
        </w:tc>
        <w:tc>
          <w:tcPr>
            <w:tcW w:w="1015"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16,918,361.47</w:t>
            </w:r>
          </w:p>
        </w:tc>
        <w:tc>
          <w:tcPr>
            <w:tcW w:w="1120"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36,180,120.37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3"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1．提取专项储备</w:t>
            </w:r>
          </w:p>
        </w:tc>
        <w:tc>
          <w:tcPr>
            <w:tcW w:w="93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6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42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271,567,724.08</w:t>
            </w: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7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3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47"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271,567,724.08</w:t>
            </w:r>
          </w:p>
        </w:tc>
        <w:tc>
          <w:tcPr>
            <w:tcW w:w="1015"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16,918,361.47</w:t>
            </w:r>
          </w:p>
        </w:tc>
        <w:tc>
          <w:tcPr>
            <w:tcW w:w="1120"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288,486,085.55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3"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2．使用专项储备</w:t>
            </w:r>
          </w:p>
        </w:tc>
        <w:tc>
          <w:tcPr>
            <w:tcW w:w="93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6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42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-252,305,965.18</w:t>
            </w: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7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3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47"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-252,305,965.18</w:t>
            </w:r>
          </w:p>
        </w:tc>
        <w:tc>
          <w:tcPr>
            <w:tcW w:w="101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20"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-252,305,965.18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3"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（四）利润分配</w:t>
            </w:r>
          </w:p>
        </w:tc>
        <w:tc>
          <w:tcPr>
            <w:tcW w:w="93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6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42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7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34"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-718,267,971.88</w:t>
            </w:r>
          </w:p>
        </w:tc>
        <w:tc>
          <w:tcPr>
            <w:tcW w:w="1147"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-718,267,971.88</w:t>
            </w:r>
          </w:p>
        </w:tc>
        <w:tc>
          <w:tcPr>
            <w:tcW w:w="1015"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-245,735,254.76</w:t>
            </w:r>
          </w:p>
        </w:tc>
        <w:tc>
          <w:tcPr>
            <w:tcW w:w="1120"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-964,003,226.64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3"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1．提取盈余公积</w:t>
            </w:r>
          </w:p>
        </w:tc>
        <w:tc>
          <w:tcPr>
            <w:tcW w:w="93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6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42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7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3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4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01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20" w:type="dxa"/>
            <w:vAlign w:val="center"/>
          </w:tcPr>
          <w:p>
            <w:pPr>
              <w:snapToGrid w:val="0"/>
              <w:spacing w:line="16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3"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其中：法定公积金</w:t>
            </w:r>
          </w:p>
        </w:tc>
        <w:tc>
          <w:tcPr>
            <w:tcW w:w="93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6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42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7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3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4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01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20" w:type="dxa"/>
            <w:vAlign w:val="center"/>
          </w:tcPr>
          <w:p>
            <w:pPr>
              <w:snapToGrid w:val="0"/>
              <w:spacing w:line="16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3"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任意公积金</w:t>
            </w:r>
          </w:p>
        </w:tc>
        <w:tc>
          <w:tcPr>
            <w:tcW w:w="93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6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42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7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3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4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01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20" w:type="dxa"/>
            <w:vAlign w:val="center"/>
          </w:tcPr>
          <w:p>
            <w:pPr>
              <w:snapToGrid w:val="0"/>
              <w:spacing w:line="16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3"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#储备基金</w:t>
            </w:r>
          </w:p>
        </w:tc>
        <w:tc>
          <w:tcPr>
            <w:tcW w:w="93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6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42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7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3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4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01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20" w:type="dxa"/>
            <w:vAlign w:val="center"/>
          </w:tcPr>
          <w:p>
            <w:pPr>
              <w:snapToGrid w:val="0"/>
              <w:spacing w:line="16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3"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#企业发展基金</w:t>
            </w:r>
          </w:p>
        </w:tc>
        <w:tc>
          <w:tcPr>
            <w:tcW w:w="93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6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42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7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3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4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01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20" w:type="dxa"/>
            <w:vAlign w:val="center"/>
          </w:tcPr>
          <w:p>
            <w:pPr>
              <w:snapToGrid w:val="0"/>
              <w:spacing w:line="16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3"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#利润归还投资</w:t>
            </w:r>
          </w:p>
        </w:tc>
        <w:tc>
          <w:tcPr>
            <w:tcW w:w="93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6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42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7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3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4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01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20" w:type="dxa"/>
            <w:vAlign w:val="center"/>
          </w:tcPr>
          <w:p>
            <w:pPr>
              <w:snapToGrid w:val="0"/>
              <w:spacing w:line="16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3"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△2．提取一般风险准备</w:t>
            </w:r>
          </w:p>
        </w:tc>
        <w:tc>
          <w:tcPr>
            <w:tcW w:w="93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6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42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7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3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4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01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20" w:type="dxa"/>
            <w:vAlign w:val="center"/>
          </w:tcPr>
          <w:p>
            <w:pPr>
              <w:snapToGrid w:val="0"/>
              <w:spacing w:line="16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3"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3．对所有者（或股东）的分配</w:t>
            </w:r>
          </w:p>
        </w:tc>
        <w:tc>
          <w:tcPr>
            <w:tcW w:w="93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6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42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7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3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4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015"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-164,397,534.25</w:t>
            </w:r>
          </w:p>
        </w:tc>
        <w:tc>
          <w:tcPr>
            <w:tcW w:w="1120"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-164,397,534.25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3"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4．其他</w:t>
            </w:r>
          </w:p>
        </w:tc>
        <w:tc>
          <w:tcPr>
            <w:tcW w:w="93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6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42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7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34"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-718,267,971.88</w:t>
            </w:r>
          </w:p>
        </w:tc>
        <w:tc>
          <w:tcPr>
            <w:tcW w:w="1147"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-718,267,971.88</w:t>
            </w:r>
          </w:p>
        </w:tc>
        <w:tc>
          <w:tcPr>
            <w:tcW w:w="1015"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-81,337,720.51</w:t>
            </w:r>
          </w:p>
        </w:tc>
        <w:tc>
          <w:tcPr>
            <w:tcW w:w="1120"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-799,605,692.39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3"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（五）所有者权益内部结转</w:t>
            </w:r>
          </w:p>
        </w:tc>
        <w:tc>
          <w:tcPr>
            <w:tcW w:w="93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6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42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7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3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4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01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20" w:type="dxa"/>
            <w:vAlign w:val="center"/>
          </w:tcPr>
          <w:p>
            <w:pPr>
              <w:snapToGrid w:val="0"/>
              <w:spacing w:line="16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3"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1．资本公积转增资本（或股本）</w:t>
            </w:r>
          </w:p>
        </w:tc>
        <w:tc>
          <w:tcPr>
            <w:tcW w:w="93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6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42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7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3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4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01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20" w:type="dxa"/>
            <w:vAlign w:val="center"/>
          </w:tcPr>
          <w:p>
            <w:pPr>
              <w:snapToGrid w:val="0"/>
              <w:spacing w:line="16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3"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2．盈余公积转增资本（或股本）</w:t>
            </w:r>
          </w:p>
        </w:tc>
        <w:tc>
          <w:tcPr>
            <w:tcW w:w="93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6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42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7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3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4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01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20" w:type="dxa"/>
            <w:vAlign w:val="center"/>
          </w:tcPr>
          <w:p>
            <w:pPr>
              <w:snapToGrid w:val="0"/>
              <w:spacing w:line="16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3"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3．弥补亏损</w:t>
            </w:r>
          </w:p>
        </w:tc>
        <w:tc>
          <w:tcPr>
            <w:tcW w:w="93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6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42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7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3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4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01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20" w:type="dxa"/>
            <w:vAlign w:val="center"/>
          </w:tcPr>
          <w:p>
            <w:pPr>
              <w:snapToGrid w:val="0"/>
              <w:spacing w:line="16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3"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4．设定受益计划变动额结转留存收益</w:t>
            </w:r>
          </w:p>
        </w:tc>
        <w:tc>
          <w:tcPr>
            <w:tcW w:w="93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6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42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7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3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4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01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20" w:type="dxa"/>
            <w:vAlign w:val="center"/>
          </w:tcPr>
          <w:p>
            <w:pPr>
              <w:snapToGrid w:val="0"/>
              <w:spacing w:line="16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3"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5．其他综合收益结转留存收益</w:t>
            </w:r>
          </w:p>
        </w:tc>
        <w:tc>
          <w:tcPr>
            <w:tcW w:w="93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6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42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7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3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4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01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20" w:type="dxa"/>
            <w:vAlign w:val="center"/>
          </w:tcPr>
          <w:p>
            <w:pPr>
              <w:snapToGrid w:val="0"/>
              <w:spacing w:line="16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3"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6．其他</w:t>
            </w:r>
          </w:p>
        </w:tc>
        <w:tc>
          <w:tcPr>
            <w:tcW w:w="93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56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42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7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34"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4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01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20" w:type="dxa"/>
            <w:vAlign w:val="center"/>
          </w:tcPr>
          <w:p>
            <w:pPr>
              <w:snapToGrid w:val="0"/>
              <w:spacing w:line="16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3" w:type="dxa"/>
            <w:vAlign w:val="center"/>
          </w:tcPr>
          <w:p>
            <w:pPr>
              <w:snapToGrid w:val="0"/>
              <w:spacing w:line="16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四、本年年末余额</w:t>
            </w:r>
          </w:p>
        </w:tc>
        <w:tc>
          <w:tcPr>
            <w:tcW w:w="933"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5,892,315,400.00</w:t>
            </w:r>
          </w:p>
        </w:tc>
        <w:tc>
          <w:tcPr>
            <w:tcW w:w="567"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18,318,660,000.00</w:t>
            </w:r>
          </w:p>
        </w:tc>
        <w:tc>
          <w:tcPr>
            <w:tcW w:w="425"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992"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411,548,322.64</w:t>
            </w:r>
          </w:p>
        </w:tc>
        <w:tc>
          <w:tcPr>
            <w:tcW w:w="851"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301,720,895.47</w:t>
            </w:r>
          </w:p>
        </w:tc>
        <w:tc>
          <w:tcPr>
            <w:tcW w:w="993"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26,288,187.65</w:t>
            </w:r>
          </w:p>
        </w:tc>
        <w:tc>
          <w:tcPr>
            <w:tcW w:w="850"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466,989,510.71</w:t>
            </w:r>
          </w:p>
        </w:tc>
        <w:tc>
          <w:tcPr>
            <w:tcW w:w="709" w:type="dxa"/>
            <w:vAlign w:val="center"/>
          </w:tcPr>
          <w:p>
            <w:pPr>
              <w:snapToGrid w:val="0"/>
              <w:spacing w:line="160" w:lineRule="atLeast"/>
              <w:jc w:val="right"/>
              <w:rPr>
                <w:rFonts w:ascii="Times New Roman" w:hAnsi="Times New Roman" w:cs="Times New Roman"/>
                <w:color w:val="auto"/>
                <w:sz w:val="10"/>
                <w:szCs w:val="10"/>
                <w:highlight w:val="none"/>
              </w:rPr>
            </w:pPr>
          </w:p>
        </w:tc>
        <w:tc>
          <w:tcPr>
            <w:tcW w:w="1134"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-25,806,459,189.66</w:t>
            </w:r>
          </w:p>
        </w:tc>
        <w:tc>
          <w:tcPr>
            <w:tcW w:w="1147"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-388,936,873.19</w:t>
            </w:r>
          </w:p>
        </w:tc>
        <w:tc>
          <w:tcPr>
            <w:tcW w:w="1015"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13,183,531,037.20</w:t>
            </w:r>
          </w:p>
        </w:tc>
        <w:tc>
          <w:tcPr>
            <w:tcW w:w="1120" w:type="dxa"/>
            <w:vAlign w:val="center"/>
          </w:tcPr>
          <w:p>
            <w:pPr>
              <w:snapToGrid w:val="0"/>
              <w:spacing w:line="16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12,794,594,164.01</w:t>
            </w:r>
          </w:p>
        </w:tc>
      </w:tr>
    </w:tbl>
    <w:p>
      <w:pPr>
        <w:tabs>
          <w:tab w:val="left" w:pos="1440"/>
          <w:tab w:val="left" w:pos="1620"/>
          <w:tab w:val="left" w:pos="1800"/>
        </w:tabs>
        <w:adjustRightInd w:val="0"/>
        <w:snapToGrid w:val="0"/>
        <w:spacing w:before="80" w:line="240" w:lineRule="atLeas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fldChar w:fldCharType="end"/>
      </w:r>
      <w:r>
        <w:rPr>
          <w:rFonts w:ascii="Times New Roman" w:hAnsi="Times New Roman" w:cs="Times New Roman"/>
          <w:color w:val="auto"/>
          <w:sz w:val="18"/>
          <w:szCs w:val="18"/>
          <w:highlight w:val="none"/>
        </w:rPr>
        <w:t xml:space="preserve">企业法定代表人：    </w:t>
      </w:r>
      <w:r>
        <w:rPr>
          <w:rFonts w:hint="eastAsia" w:ascii="Times New Roman" w:hAnsi="Times New Roman" w:cs="Times New Roman"/>
          <w:color w:val="auto"/>
          <w:sz w:val="18"/>
          <w:szCs w:val="18"/>
          <w:highlight w:val="none"/>
        </w:rPr>
        <w:t xml:space="preserve">                         </w:t>
      </w:r>
      <w:r>
        <w:rPr>
          <w:rFonts w:ascii="Times New Roman" w:hAnsi="Times New Roman" w:cs="Times New Roman"/>
          <w:color w:val="auto"/>
          <w:sz w:val="18"/>
          <w:szCs w:val="18"/>
          <w:highlight w:val="none"/>
        </w:rPr>
        <w:t xml:space="preserve">                  主管会计工作负责人：    </w:t>
      </w:r>
      <w:r>
        <w:rPr>
          <w:rFonts w:hint="eastAsia" w:ascii="Times New Roman" w:hAnsi="Times New Roman" w:cs="Times New Roman"/>
          <w:color w:val="auto"/>
          <w:sz w:val="18"/>
          <w:szCs w:val="18"/>
          <w:highlight w:val="none"/>
        </w:rPr>
        <w:t xml:space="preserve">                         </w:t>
      </w:r>
      <w:r>
        <w:rPr>
          <w:rFonts w:ascii="Times New Roman" w:hAnsi="Times New Roman" w:cs="Times New Roman"/>
          <w:color w:val="auto"/>
          <w:sz w:val="18"/>
          <w:szCs w:val="18"/>
          <w:highlight w:val="none"/>
        </w:rPr>
        <w:t xml:space="preserve">                  会计机构负责人：</w:t>
      </w:r>
      <w:r>
        <w:rPr>
          <w:rFonts w:ascii="Times New Roman" w:hAnsi="Times New Roman" w:cs="Times New Roman"/>
          <w:color w:val="auto"/>
          <w:sz w:val="18"/>
          <w:szCs w:val="18"/>
          <w:highlight w:val="none"/>
        </w:rPr>
        <w:br w:type="page"/>
      </w:r>
    </w:p>
    <w:p>
      <w:pPr>
        <w:adjustRightInd w:val="0"/>
        <w:snapToGrid w:val="0"/>
        <w:spacing w:line="240" w:lineRule="auto"/>
        <w:jc w:val="center"/>
        <w:rPr>
          <w:rFonts w:ascii="Times New Roman" w:hAnsi="Times New Roman" w:cs="Times New Roman"/>
          <w:b/>
          <w:color w:val="auto"/>
          <w:sz w:val="18"/>
          <w:szCs w:val="18"/>
          <w:highlight w:val="none"/>
        </w:rPr>
      </w:pPr>
      <w:r>
        <w:rPr>
          <w:rFonts w:ascii="Times New Roman" w:hAnsi="Times New Roman" w:cs="Times New Roman"/>
          <w:b/>
          <w:color w:val="auto"/>
          <w:sz w:val="18"/>
          <w:szCs w:val="18"/>
          <w:highlight w:val="none"/>
        </w:rPr>
        <w:fldChar w:fldCharType="begin"/>
      </w:r>
      <w:r>
        <w:rPr>
          <w:rFonts w:ascii="Times New Roman" w:hAnsi="Times New Roman" w:cs="Times New Roman"/>
          <w:b/>
          <w:color w:val="auto"/>
          <w:sz w:val="18"/>
          <w:szCs w:val="18"/>
          <w:highlight w:val="none"/>
        </w:rPr>
        <w:instrText xml:space="preserve"> DOCVARIABLE  基本信息_企业名称  \* MERGEFORMAT </w:instrText>
      </w:r>
      <w:r>
        <w:rPr>
          <w:rFonts w:ascii="Times New Roman" w:hAnsi="Times New Roman" w:cs="Times New Roman"/>
          <w:b/>
          <w:color w:val="auto"/>
          <w:sz w:val="18"/>
          <w:szCs w:val="18"/>
          <w:highlight w:val="none"/>
        </w:rPr>
        <w:fldChar w:fldCharType="separate"/>
      </w:r>
      <w:r>
        <w:rPr>
          <w:rFonts w:hint="eastAsia" w:ascii="Times New Roman" w:hAnsi="Times New Roman" w:cs="Times New Roman"/>
          <w:b/>
          <w:color w:val="auto"/>
          <w:sz w:val="18"/>
          <w:szCs w:val="18"/>
          <w:highlight w:val="none"/>
        </w:rPr>
        <w:t>国家电投集团贵州金元股份有限公司</w:t>
      </w:r>
      <w:r>
        <w:rPr>
          <w:rFonts w:ascii="Times New Roman" w:hAnsi="Times New Roman" w:cs="Times New Roman"/>
          <w:b/>
          <w:color w:val="auto"/>
          <w:sz w:val="18"/>
          <w:szCs w:val="18"/>
          <w:highlight w:val="none"/>
        </w:rPr>
        <w:fldChar w:fldCharType="end"/>
      </w:r>
    </w:p>
    <w:p>
      <w:pPr>
        <w:adjustRightInd w:val="0"/>
        <w:snapToGrid w:val="0"/>
        <w:spacing w:line="240" w:lineRule="auto"/>
        <w:jc w:val="center"/>
        <w:outlineLvl w:val="0"/>
        <w:rPr>
          <w:rFonts w:ascii="Times New Roman" w:hAnsi="Times New Roman" w:cs="Times New Roman"/>
          <w:b/>
          <w:color w:val="auto"/>
          <w:sz w:val="18"/>
          <w:szCs w:val="18"/>
          <w:highlight w:val="none"/>
        </w:rPr>
      </w:pPr>
      <w:r>
        <w:rPr>
          <w:rFonts w:hint="eastAsia" w:ascii="Times New Roman" w:hAnsi="Times New Roman" w:cs="Times New Roman"/>
          <w:b/>
          <w:color w:val="auto"/>
          <w:sz w:val="18"/>
          <w:szCs w:val="18"/>
          <w:highlight w:val="none"/>
        </w:rPr>
        <w:t>母公司</w:t>
      </w:r>
      <w:r>
        <w:rPr>
          <w:rFonts w:ascii="Times New Roman" w:hAnsi="Times New Roman" w:cs="Times New Roman"/>
          <w:b/>
          <w:color w:val="auto"/>
          <w:sz w:val="18"/>
          <w:szCs w:val="18"/>
          <w:highlight w:val="none"/>
        </w:rPr>
        <w:t>所有者权益变动表</w:t>
      </w:r>
    </w:p>
    <w:p>
      <w:pPr>
        <w:adjustRightInd w:val="0"/>
        <w:snapToGrid w:val="0"/>
        <w:spacing w:line="240" w:lineRule="auto"/>
        <w:jc w:val="center"/>
        <w:rPr>
          <w:rFonts w:ascii="Times New Roman" w:hAnsi="Times New Roman" w:cs="Times New Roman"/>
          <w:b/>
          <w:color w:val="auto"/>
          <w:sz w:val="18"/>
          <w:szCs w:val="18"/>
          <w:highlight w:val="none"/>
        </w:rPr>
      </w:pPr>
      <w:r>
        <w:rPr>
          <w:rFonts w:ascii="Times New Roman" w:hAnsi="Times New Roman" w:cs="Times New Roman"/>
          <w:b/>
          <w:color w:val="auto"/>
          <w:sz w:val="18"/>
          <w:szCs w:val="18"/>
          <w:highlight w:val="none"/>
        </w:rPr>
        <w:fldChar w:fldCharType="begin"/>
      </w:r>
      <w:r>
        <w:rPr>
          <w:rFonts w:ascii="Times New Roman" w:hAnsi="Times New Roman" w:cs="Times New Roman"/>
          <w:b/>
          <w:color w:val="auto"/>
          <w:sz w:val="18"/>
          <w:szCs w:val="18"/>
          <w:highlight w:val="none"/>
        </w:rPr>
        <w:instrText xml:space="preserve"> DOCVARIABLE  基本信息_项目年度  \* MERGEFORMAT </w:instrText>
      </w:r>
      <w:r>
        <w:rPr>
          <w:rFonts w:ascii="Times New Roman" w:hAnsi="Times New Roman" w:cs="Times New Roman"/>
          <w:b/>
          <w:color w:val="auto"/>
          <w:sz w:val="18"/>
          <w:szCs w:val="18"/>
          <w:highlight w:val="none"/>
        </w:rPr>
        <w:fldChar w:fldCharType="separate"/>
      </w:r>
      <w:r>
        <w:rPr>
          <w:rFonts w:hint="eastAsia" w:ascii="Times New Roman" w:hAnsi="Times New Roman" w:cs="Times New Roman"/>
          <w:b/>
          <w:color w:val="auto"/>
          <w:sz w:val="18"/>
          <w:szCs w:val="18"/>
          <w:highlight w:val="none"/>
        </w:rPr>
        <w:t>2024年度</w:t>
      </w:r>
      <w:r>
        <w:rPr>
          <w:rFonts w:ascii="Times New Roman" w:hAnsi="Times New Roman" w:cs="Times New Roman"/>
          <w:b/>
          <w:color w:val="auto"/>
          <w:sz w:val="18"/>
          <w:szCs w:val="18"/>
          <w:highlight w:val="none"/>
        </w:rPr>
        <w:fldChar w:fldCharType="end"/>
      </w:r>
    </w:p>
    <w:p>
      <w:pPr>
        <w:adjustRightInd w:val="0"/>
        <w:snapToGrid w:val="0"/>
        <w:spacing w:after="120" w:afterLines="50" w:line="240" w:lineRule="auto"/>
        <w:jc w:val="center"/>
        <w:rPr>
          <w:rFonts w:ascii="Times New Roman" w:hAnsi="Times New Roman" w:cs="Times New Roman"/>
          <w:color w:val="auto"/>
          <w:szCs w:val="22"/>
          <w:highlight w:val="none"/>
        </w:rPr>
      </w:pPr>
      <w:r>
        <w:rPr>
          <w:rFonts w:ascii="Times New Roman" w:hAnsi="Times New Roman" w:cs="Times New Roman"/>
          <w:b/>
          <w:color w:val="auto"/>
          <w:sz w:val="18"/>
          <w:szCs w:val="18"/>
          <w:highlight w:val="none"/>
        </w:rPr>
        <w:t>（除特别注明外，金额单位均为人民币元）</w:t>
      </w:r>
      <w:r>
        <w:rPr>
          <w:rFonts w:ascii="Times New Roman" w:hAnsi="Times New Roman" w:cs="Times New Roman"/>
          <w:color w:val="auto"/>
          <w:highlight w:val="none"/>
        </w:rPr>
        <w:fldChar w:fldCharType="begin"/>
      </w:r>
      <w:r>
        <w:rPr>
          <w:rFonts w:ascii="Times New Roman" w:hAnsi="Times New Roman" w:cs="Times New Roman"/>
          <w:color w:val="auto"/>
          <w:highlight w:val="none"/>
        </w:rPr>
        <w:instrText xml:space="preserve"> LINK Excel.Sheet.12 E:\\雍\\附注排版\\2014年年报格式\\附注过渡表20150130V0910.xlsx 所!母公司所有者权益变动表本年 \f 4 \h  \* MERGEFORMAT </w:instrText>
      </w:r>
      <w:r>
        <w:rPr>
          <w:rFonts w:ascii="Times New Roman" w:hAnsi="Times New Roman" w:cs="Times New Roman"/>
          <w:color w:val="auto"/>
          <w:highlight w:val="none"/>
        </w:rPr>
        <w:fldChar w:fldCharType="separate"/>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27"/>
        <w:gridCol w:w="1582"/>
        <w:gridCol w:w="686"/>
        <w:gridCol w:w="981"/>
        <w:gridCol w:w="543"/>
        <w:gridCol w:w="930"/>
        <w:gridCol w:w="980"/>
        <w:gridCol w:w="1146"/>
        <w:gridCol w:w="857"/>
        <w:gridCol w:w="860"/>
        <w:gridCol w:w="1066"/>
        <w:gridCol w:w="1175"/>
        <w:gridCol w:w="12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983" w:type="dxa"/>
            <w:vMerge w:val="restart"/>
            <w:vAlign w:val="center"/>
          </w:tcPr>
          <w:p>
            <w:pPr>
              <w:snapToGrid w:val="0"/>
              <w:spacing w:line="18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项目</w:t>
            </w:r>
          </w:p>
        </w:tc>
        <w:tc>
          <w:tcPr>
            <w:tcW w:w="11918" w:type="dxa"/>
            <w:gridSpan w:val="12"/>
            <w:vAlign w:val="center"/>
          </w:tcPr>
          <w:p>
            <w:pPr>
              <w:snapToGrid w:val="0"/>
              <w:spacing w:line="18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本年金额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983" w:type="dxa"/>
            <w:vMerge w:val="continue"/>
            <w:vAlign w:val="center"/>
          </w:tcPr>
          <w:p>
            <w:pPr>
              <w:rPr>
                <w:color w:val="auto"/>
                <w:highlight w:val="none"/>
              </w:rPr>
            </w:pPr>
          </w:p>
        </w:tc>
        <w:tc>
          <w:tcPr>
            <w:tcW w:w="1558" w:type="dxa"/>
            <w:vMerge w:val="restart"/>
            <w:vAlign w:val="center"/>
          </w:tcPr>
          <w:p>
            <w:pPr>
              <w:snapToGrid w:val="0"/>
              <w:spacing w:line="18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股本</w:t>
            </w:r>
          </w:p>
        </w:tc>
        <w:tc>
          <w:tcPr>
            <w:tcW w:w="2177" w:type="dxa"/>
            <w:gridSpan w:val="3"/>
            <w:vAlign w:val="center"/>
          </w:tcPr>
          <w:p>
            <w:pPr>
              <w:snapToGrid w:val="0"/>
              <w:spacing w:line="18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其他权益工具</w:t>
            </w:r>
          </w:p>
        </w:tc>
        <w:tc>
          <w:tcPr>
            <w:tcW w:w="916" w:type="dxa"/>
            <w:vMerge w:val="restart"/>
            <w:vAlign w:val="center"/>
          </w:tcPr>
          <w:p>
            <w:pPr>
              <w:snapToGrid w:val="0"/>
              <w:spacing w:line="18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资本公积</w:t>
            </w:r>
          </w:p>
        </w:tc>
        <w:tc>
          <w:tcPr>
            <w:tcW w:w="965" w:type="dxa"/>
            <w:vMerge w:val="restart"/>
            <w:vAlign w:val="center"/>
          </w:tcPr>
          <w:p>
            <w:pPr>
              <w:snapToGrid w:val="0"/>
              <w:spacing w:line="18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减：库存股</w:t>
            </w:r>
          </w:p>
        </w:tc>
        <w:tc>
          <w:tcPr>
            <w:tcW w:w="1129" w:type="dxa"/>
            <w:vMerge w:val="restart"/>
            <w:vAlign w:val="center"/>
          </w:tcPr>
          <w:p>
            <w:pPr>
              <w:snapToGrid w:val="0"/>
              <w:spacing w:line="18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其他综合收益</w:t>
            </w:r>
          </w:p>
        </w:tc>
        <w:tc>
          <w:tcPr>
            <w:tcW w:w="844" w:type="dxa"/>
            <w:vMerge w:val="restart"/>
            <w:vAlign w:val="center"/>
          </w:tcPr>
          <w:p>
            <w:pPr>
              <w:snapToGrid w:val="0"/>
              <w:spacing w:line="18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专项储备</w:t>
            </w:r>
          </w:p>
        </w:tc>
        <w:tc>
          <w:tcPr>
            <w:tcW w:w="847" w:type="dxa"/>
            <w:vMerge w:val="restart"/>
            <w:vAlign w:val="center"/>
          </w:tcPr>
          <w:p>
            <w:pPr>
              <w:snapToGrid w:val="0"/>
              <w:spacing w:line="18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盈余公积</w:t>
            </w:r>
          </w:p>
        </w:tc>
        <w:tc>
          <w:tcPr>
            <w:tcW w:w="1050" w:type="dxa"/>
            <w:vMerge w:val="restart"/>
            <w:vAlign w:val="center"/>
          </w:tcPr>
          <w:p>
            <w:pPr>
              <w:snapToGrid w:val="0"/>
              <w:spacing w:line="18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△一般风险准备</w:t>
            </w:r>
          </w:p>
        </w:tc>
        <w:tc>
          <w:tcPr>
            <w:tcW w:w="1157" w:type="dxa"/>
            <w:vMerge w:val="restart"/>
            <w:vAlign w:val="center"/>
          </w:tcPr>
          <w:p>
            <w:pPr>
              <w:snapToGrid w:val="0"/>
              <w:spacing w:line="18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未分配利润</w:t>
            </w:r>
          </w:p>
        </w:tc>
        <w:tc>
          <w:tcPr>
            <w:tcW w:w="1275" w:type="dxa"/>
            <w:vMerge w:val="restart"/>
            <w:vAlign w:val="center"/>
          </w:tcPr>
          <w:p>
            <w:pPr>
              <w:snapToGrid w:val="0"/>
              <w:spacing w:line="18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所有者权益合计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983" w:type="dxa"/>
            <w:vMerge w:val="continue"/>
            <w:vAlign w:val="center"/>
          </w:tcPr>
          <w:p>
            <w:pPr>
              <w:rPr>
                <w:color w:val="auto"/>
                <w:highlight w:val="none"/>
              </w:rPr>
            </w:pPr>
          </w:p>
        </w:tc>
        <w:tc>
          <w:tcPr>
            <w:tcW w:w="1558" w:type="dxa"/>
            <w:vMerge w:val="continue"/>
            <w:vAlign w:val="center"/>
          </w:tcPr>
          <w:p>
            <w:pPr>
              <w:rPr>
                <w:color w:val="auto"/>
                <w:highlight w:val="none"/>
              </w:rPr>
            </w:pPr>
          </w:p>
        </w:tc>
        <w:tc>
          <w:tcPr>
            <w:tcW w:w="676" w:type="dxa"/>
            <w:vAlign w:val="center"/>
          </w:tcPr>
          <w:p>
            <w:pPr>
              <w:snapToGrid w:val="0"/>
              <w:spacing w:line="18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优先股</w:t>
            </w:r>
          </w:p>
        </w:tc>
        <w:tc>
          <w:tcPr>
            <w:tcW w:w="966" w:type="dxa"/>
            <w:vAlign w:val="center"/>
          </w:tcPr>
          <w:p>
            <w:pPr>
              <w:snapToGrid w:val="0"/>
              <w:spacing w:line="18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永续债</w:t>
            </w:r>
          </w:p>
        </w:tc>
        <w:tc>
          <w:tcPr>
            <w:tcW w:w="535" w:type="dxa"/>
            <w:vAlign w:val="center"/>
          </w:tcPr>
          <w:p>
            <w:pPr>
              <w:snapToGrid w:val="0"/>
              <w:spacing w:line="18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其他</w:t>
            </w:r>
          </w:p>
        </w:tc>
        <w:tc>
          <w:tcPr>
            <w:tcW w:w="916" w:type="dxa"/>
            <w:vMerge w:val="continue"/>
            <w:vAlign w:val="center"/>
          </w:tcPr>
          <w:p>
            <w:pPr>
              <w:rPr>
                <w:color w:val="auto"/>
                <w:highlight w:val="none"/>
              </w:rPr>
            </w:pPr>
          </w:p>
        </w:tc>
        <w:tc>
          <w:tcPr>
            <w:tcW w:w="965" w:type="dxa"/>
            <w:vMerge w:val="continue"/>
            <w:vAlign w:val="center"/>
          </w:tcPr>
          <w:p>
            <w:pPr>
              <w:rPr>
                <w:color w:val="auto"/>
                <w:highlight w:val="none"/>
              </w:rPr>
            </w:pPr>
          </w:p>
        </w:tc>
        <w:tc>
          <w:tcPr>
            <w:tcW w:w="1129" w:type="dxa"/>
            <w:vMerge w:val="continue"/>
            <w:vAlign w:val="center"/>
          </w:tcPr>
          <w:p>
            <w:pPr>
              <w:rPr>
                <w:color w:val="auto"/>
                <w:highlight w:val="none"/>
              </w:rPr>
            </w:pPr>
          </w:p>
        </w:tc>
        <w:tc>
          <w:tcPr>
            <w:tcW w:w="844" w:type="dxa"/>
            <w:vMerge w:val="continue"/>
            <w:vAlign w:val="center"/>
          </w:tcPr>
          <w:p>
            <w:pPr>
              <w:rPr>
                <w:color w:val="auto"/>
                <w:highlight w:val="none"/>
              </w:rPr>
            </w:pPr>
          </w:p>
        </w:tc>
        <w:tc>
          <w:tcPr>
            <w:tcW w:w="847" w:type="dxa"/>
            <w:vMerge w:val="continue"/>
            <w:vAlign w:val="center"/>
          </w:tcPr>
          <w:p>
            <w:pPr>
              <w:rPr>
                <w:color w:val="auto"/>
                <w:highlight w:val="none"/>
              </w:rPr>
            </w:pPr>
          </w:p>
        </w:tc>
        <w:tc>
          <w:tcPr>
            <w:tcW w:w="1050" w:type="dxa"/>
            <w:vMerge w:val="continue"/>
            <w:vAlign w:val="center"/>
          </w:tcPr>
          <w:p>
            <w:pPr>
              <w:rPr>
                <w:color w:val="auto"/>
                <w:highlight w:val="none"/>
              </w:rPr>
            </w:pPr>
          </w:p>
        </w:tc>
        <w:tc>
          <w:tcPr>
            <w:tcW w:w="1157" w:type="dxa"/>
            <w:vMerge w:val="continue"/>
            <w:vAlign w:val="center"/>
          </w:tcPr>
          <w:p>
            <w:pPr>
              <w:rPr>
                <w:color w:val="auto"/>
                <w:highlight w:val="none"/>
              </w:rPr>
            </w:pPr>
          </w:p>
        </w:tc>
        <w:tc>
          <w:tcPr>
            <w:tcW w:w="1275" w:type="dxa"/>
            <w:vMerge w:val="continue"/>
            <w:vAlign w:val="center"/>
          </w:tcPr>
          <w:p>
            <w:pP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3"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一、上年年末余额</w:t>
            </w:r>
          </w:p>
        </w:tc>
        <w:tc>
          <w:tcPr>
            <w:tcW w:w="1558"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5,892,315,400.00</w:t>
            </w:r>
          </w:p>
        </w:tc>
        <w:tc>
          <w:tcPr>
            <w:tcW w:w="67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18,318,660,000.00</w:t>
            </w:r>
          </w:p>
        </w:tc>
        <w:tc>
          <w:tcPr>
            <w:tcW w:w="53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249,283.58</w:t>
            </w:r>
          </w:p>
        </w:tc>
        <w:tc>
          <w:tcPr>
            <w:tcW w:w="96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29"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305,153,382.98</w:t>
            </w:r>
          </w:p>
        </w:tc>
        <w:tc>
          <w:tcPr>
            <w:tcW w:w="844"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371,156,099.04</w:t>
            </w:r>
          </w:p>
        </w:tc>
        <w:tc>
          <w:tcPr>
            <w:tcW w:w="1050"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7"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-20,357,790,192.98</w:t>
            </w:r>
          </w:p>
        </w:tc>
        <w:tc>
          <w:tcPr>
            <w:tcW w:w="1275"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4,529,743,972.62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3"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加：会计政策变更</w:t>
            </w:r>
          </w:p>
        </w:tc>
        <w:tc>
          <w:tcPr>
            <w:tcW w:w="155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7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2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4"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50"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75" w:type="dxa"/>
            <w:vAlign w:val="center"/>
          </w:tcPr>
          <w:p>
            <w:pPr>
              <w:snapToGrid w:val="0"/>
              <w:spacing w:line="18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3"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前期差错更正</w:t>
            </w:r>
          </w:p>
        </w:tc>
        <w:tc>
          <w:tcPr>
            <w:tcW w:w="155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7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2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4"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50"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75" w:type="dxa"/>
            <w:vAlign w:val="center"/>
          </w:tcPr>
          <w:p>
            <w:pPr>
              <w:snapToGrid w:val="0"/>
              <w:spacing w:line="18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3"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其他</w:t>
            </w:r>
          </w:p>
        </w:tc>
        <w:tc>
          <w:tcPr>
            <w:tcW w:w="155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7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2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4"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50"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75" w:type="dxa"/>
            <w:vAlign w:val="center"/>
          </w:tcPr>
          <w:p>
            <w:pPr>
              <w:snapToGrid w:val="0"/>
              <w:spacing w:line="18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3"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二、本年年初余额</w:t>
            </w:r>
          </w:p>
        </w:tc>
        <w:tc>
          <w:tcPr>
            <w:tcW w:w="1558"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5,892,315,400.00</w:t>
            </w:r>
          </w:p>
        </w:tc>
        <w:tc>
          <w:tcPr>
            <w:tcW w:w="67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18,318,660,000.00</w:t>
            </w:r>
          </w:p>
        </w:tc>
        <w:tc>
          <w:tcPr>
            <w:tcW w:w="53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249,283.58</w:t>
            </w:r>
          </w:p>
        </w:tc>
        <w:tc>
          <w:tcPr>
            <w:tcW w:w="96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29"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305,153,382.98</w:t>
            </w:r>
          </w:p>
        </w:tc>
        <w:tc>
          <w:tcPr>
            <w:tcW w:w="844"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371,156,099.04</w:t>
            </w:r>
          </w:p>
        </w:tc>
        <w:tc>
          <w:tcPr>
            <w:tcW w:w="1050"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7"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-20,357,790,192.98</w:t>
            </w:r>
          </w:p>
        </w:tc>
        <w:tc>
          <w:tcPr>
            <w:tcW w:w="1275"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4,529,743,972.62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3"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三、本年增减变动金额（减少以“-”号填列）</w:t>
            </w:r>
          </w:p>
        </w:tc>
        <w:tc>
          <w:tcPr>
            <w:tcW w:w="1558"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-1,200,000,000.00</w:t>
            </w:r>
          </w:p>
        </w:tc>
        <w:tc>
          <w:tcPr>
            <w:tcW w:w="67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1,000,000,000.00</w:t>
            </w:r>
          </w:p>
        </w:tc>
        <w:tc>
          <w:tcPr>
            <w:tcW w:w="53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1,230,353,096.39</w:t>
            </w:r>
          </w:p>
        </w:tc>
        <w:tc>
          <w:tcPr>
            <w:tcW w:w="96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29"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23,678,879.21</w:t>
            </w:r>
          </w:p>
        </w:tc>
        <w:tc>
          <w:tcPr>
            <w:tcW w:w="844"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50"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7"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-1,633,570,866.50</w:t>
            </w:r>
          </w:p>
        </w:tc>
        <w:tc>
          <w:tcPr>
            <w:tcW w:w="1275"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-579,538,890.90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3"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（一）综合收益总额</w:t>
            </w:r>
          </w:p>
        </w:tc>
        <w:tc>
          <w:tcPr>
            <w:tcW w:w="155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7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29"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23,678,879.21</w:t>
            </w:r>
          </w:p>
        </w:tc>
        <w:tc>
          <w:tcPr>
            <w:tcW w:w="844"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50"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7"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-573,625,098.07</w:t>
            </w:r>
          </w:p>
        </w:tc>
        <w:tc>
          <w:tcPr>
            <w:tcW w:w="1275"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-549,946,218.86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3"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（二）所有者投入和减少资本</w:t>
            </w:r>
          </w:p>
        </w:tc>
        <w:tc>
          <w:tcPr>
            <w:tcW w:w="155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7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1,000,000,000.00</w:t>
            </w:r>
          </w:p>
        </w:tc>
        <w:tc>
          <w:tcPr>
            <w:tcW w:w="53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30,353,096.39</w:t>
            </w:r>
          </w:p>
        </w:tc>
        <w:tc>
          <w:tcPr>
            <w:tcW w:w="96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2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4"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50"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7"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-310,828,451.97</w:t>
            </w:r>
          </w:p>
        </w:tc>
        <w:tc>
          <w:tcPr>
            <w:tcW w:w="1275"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719,524,644.42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3"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1．所有者投入的普通股</w:t>
            </w:r>
          </w:p>
        </w:tc>
        <w:tc>
          <w:tcPr>
            <w:tcW w:w="155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7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2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4"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50"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75" w:type="dxa"/>
            <w:vAlign w:val="center"/>
          </w:tcPr>
          <w:p>
            <w:pPr>
              <w:snapToGrid w:val="0"/>
              <w:spacing w:line="18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3"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2．其他权益工具持有者投入资本</w:t>
            </w:r>
          </w:p>
        </w:tc>
        <w:tc>
          <w:tcPr>
            <w:tcW w:w="155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7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1,000,000,000.00</w:t>
            </w:r>
          </w:p>
        </w:tc>
        <w:tc>
          <w:tcPr>
            <w:tcW w:w="53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2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4"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50"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75"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1,000,000,000.00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3"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3．股份支付计入所有者权益的金额</w:t>
            </w:r>
          </w:p>
        </w:tc>
        <w:tc>
          <w:tcPr>
            <w:tcW w:w="155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7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2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4"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50"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75" w:type="dxa"/>
            <w:vAlign w:val="center"/>
          </w:tcPr>
          <w:p>
            <w:pPr>
              <w:snapToGrid w:val="0"/>
              <w:spacing w:line="18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3"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4．其他</w:t>
            </w:r>
          </w:p>
        </w:tc>
        <w:tc>
          <w:tcPr>
            <w:tcW w:w="155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7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30,353,096.39</w:t>
            </w:r>
          </w:p>
        </w:tc>
        <w:tc>
          <w:tcPr>
            <w:tcW w:w="96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2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4"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50"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7"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-310,828,451.97</w:t>
            </w:r>
          </w:p>
        </w:tc>
        <w:tc>
          <w:tcPr>
            <w:tcW w:w="1275"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-280,475,355.58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3"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（三）专项储备提取和使用</w:t>
            </w:r>
          </w:p>
        </w:tc>
        <w:tc>
          <w:tcPr>
            <w:tcW w:w="155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7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2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4"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50"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75" w:type="dxa"/>
            <w:vAlign w:val="center"/>
          </w:tcPr>
          <w:p>
            <w:pPr>
              <w:snapToGrid w:val="0"/>
              <w:spacing w:line="18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3"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1．提取专项储备</w:t>
            </w:r>
          </w:p>
        </w:tc>
        <w:tc>
          <w:tcPr>
            <w:tcW w:w="155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7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2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4"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19,492,729.42</w:t>
            </w: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50"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75"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19,492,729.42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3"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2．使用专项储备</w:t>
            </w:r>
          </w:p>
        </w:tc>
        <w:tc>
          <w:tcPr>
            <w:tcW w:w="155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7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2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4"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-19,492,729.42</w:t>
            </w: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50"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75"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-19,492,729.42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3"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（四）利润分配</w:t>
            </w:r>
          </w:p>
        </w:tc>
        <w:tc>
          <w:tcPr>
            <w:tcW w:w="155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7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2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4"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50"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7"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-749,117,316.46</w:t>
            </w:r>
          </w:p>
        </w:tc>
        <w:tc>
          <w:tcPr>
            <w:tcW w:w="1275"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-749,117,316.46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3"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1．提取盈余公积</w:t>
            </w:r>
          </w:p>
        </w:tc>
        <w:tc>
          <w:tcPr>
            <w:tcW w:w="155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7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2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4"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50"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75" w:type="dxa"/>
            <w:vAlign w:val="center"/>
          </w:tcPr>
          <w:p>
            <w:pPr>
              <w:snapToGrid w:val="0"/>
              <w:spacing w:line="18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3"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其中：法定公积金</w:t>
            </w:r>
          </w:p>
        </w:tc>
        <w:tc>
          <w:tcPr>
            <w:tcW w:w="155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7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2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4"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50"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75" w:type="dxa"/>
            <w:vAlign w:val="center"/>
          </w:tcPr>
          <w:p>
            <w:pPr>
              <w:snapToGrid w:val="0"/>
              <w:spacing w:line="18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983"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任意公积金</w:t>
            </w:r>
          </w:p>
        </w:tc>
        <w:tc>
          <w:tcPr>
            <w:tcW w:w="155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7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2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4"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50"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75" w:type="dxa"/>
            <w:vAlign w:val="center"/>
          </w:tcPr>
          <w:p>
            <w:pPr>
              <w:snapToGrid w:val="0"/>
              <w:spacing w:line="18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3"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#储备基金</w:t>
            </w:r>
          </w:p>
        </w:tc>
        <w:tc>
          <w:tcPr>
            <w:tcW w:w="155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7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2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4"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50"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75" w:type="dxa"/>
            <w:vAlign w:val="center"/>
          </w:tcPr>
          <w:p>
            <w:pPr>
              <w:snapToGrid w:val="0"/>
              <w:spacing w:line="18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3"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#企业发展基金</w:t>
            </w:r>
          </w:p>
        </w:tc>
        <w:tc>
          <w:tcPr>
            <w:tcW w:w="155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7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2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4"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50"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75" w:type="dxa"/>
            <w:vAlign w:val="center"/>
          </w:tcPr>
          <w:p>
            <w:pPr>
              <w:snapToGrid w:val="0"/>
              <w:spacing w:line="18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3"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#利润归还投资</w:t>
            </w:r>
          </w:p>
        </w:tc>
        <w:tc>
          <w:tcPr>
            <w:tcW w:w="155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7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2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4"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50"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75" w:type="dxa"/>
            <w:vAlign w:val="center"/>
          </w:tcPr>
          <w:p>
            <w:pPr>
              <w:snapToGrid w:val="0"/>
              <w:spacing w:line="18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3"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△2．提取一般风险准备</w:t>
            </w:r>
          </w:p>
        </w:tc>
        <w:tc>
          <w:tcPr>
            <w:tcW w:w="155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7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2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4"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50"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75" w:type="dxa"/>
            <w:vAlign w:val="center"/>
          </w:tcPr>
          <w:p>
            <w:pPr>
              <w:snapToGrid w:val="0"/>
              <w:spacing w:line="18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3"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3．对所有者（或股东）的分配</w:t>
            </w:r>
          </w:p>
        </w:tc>
        <w:tc>
          <w:tcPr>
            <w:tcW w:w="155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7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2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4"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50"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75" w:type="dxa"/>
            <w:vAlign w:val="center"/>
          </w:tcPr>
          <w:p>
            <w:pPr>
              <w:snapToGrid w:val="0"/>
              <w:spacing w:line="18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3"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4．其他</w:t>
            </w:r>
          </w:p>
        </w:tc>
        <w:tc>
          <w:tcPr>
            <w:tcW w:w="155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7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2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4"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50"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7"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-749,117,316.46</w:t>
            </w:r>
          </w:p>
        </w:tc>
        <w:tc>
          <w:tcPr>
            <w:tcW w:w="1275"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-749,117,316.46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3"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（五）所有者权益内部结转</w:t>
            </w:r>
          </w:p>
        </w:tc>
        <w:tc>
          <w:tcPr>
            <w:tcW w:w="1558"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-1,200,000,000.00</w:t>
            </w:r>
          </w:p>
        </w:tc>
        <w:tc>
          <w:tcPr>
            <w:tcW w:w="67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1,200,000,000.00</w:t>
            </w:r>
          </w:p>
        </w:tc>
        <w:tc>
          <w:tcPr>
            <w:tcW w:w="96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2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4"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50"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75" w:type="dxa"/>
            <w:vAlign w:val="center"/>
          </w:tcPr>
          <w:p>
            <w:pPr>
              <w:snapToGrid w:val="0"/>
              <w:spacing w:line="18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3"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1．资本公积转增资本（或股本）</w:t>
            </w:r>
          </w:p>
        </w:tc>
        <w:tc>
          <w:tcPr>
            <w:tcW w:w="155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7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2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4"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50"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75" w:type="dxa"/>
            <w:vAlign w:val="center"/>
          </w:tcPr>
          <w:p>
            <w:pPr>
              <w:snapToGrid w:val="0"/>
              <w:spacing w:line="18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3"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2．盈余公积转增资本（或股本）</w:t>
            </w:r>
          </w:p>
        </w:tc>
        <w:tc>
          <w:tcPr>
            <w:tcW w:w="155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7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2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4"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50"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75" w:type="dxa"/>
            <w:vAlign w:val="center"/>
          </w:tcPr>
          <w:p>
            <w:pPr>
              <w:snapToGrid w:val="0"/>
              <w:spacing w:line="18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3"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3．弥补亏损</w:t>
            </w:r>
          </w:p>
        </w:tc>
        <w:tc>
          <w:tcPr>
            <w:tcW w:w="155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7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2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4"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50"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75" w:type="dxa"/>
            <w:vAlign w:val="center"/>
          </w:tcPr>
          <w:p>
            <w:pPr>
              <w:snapToGrid w:val="0"/>
              <w:spacing w:line="18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3"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4．设定受益计划变动额结转留存收益</w:t>
            </w:r>
          </w:p>
        </w:tc>
        <w:tc>
          <w:tcPr>
            <w:tcW w:w="155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7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2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4"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50"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75" w:type="dxa"/>
            <w:vAlign w:val="center"/>
          </w:tcPr>
          <w:p>
            <w:pPr>
              <w:snapToGrid w:val="0"/>
              <w:spacing w:line="18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3"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5．其他综合收益结转留存收益</w:t>
            </w:r>
          </w:p>
        </w:tc>
        <w:tc>
          <w:tcPr>
            <w:tcW w:w="155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7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2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4"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50"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75" w:type="dxa"/>
            <w:vAlign w:val="center"/>
          </w:tcPr>
          <w:p>
            <w:pPr>
              <w:snapToGrid w:val="0"/>
              <w:spacing w:line="18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3"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6．其他</w:t>
            </w:r>
          </w:p>
        </w:tc>
        <w:tc>
          <w:tcPr>
            <w:tcW w:w="1558"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-1,200,000,000.00</w:t>
            </w:r>
          </w:p>
        </w:tc>
        <w:tc>
          <w:tcPr>
            <w:tcW w:w="67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1,200,000,000.00</w:t>
            </w:r>
          </w:p>
        </w:tc>
        <w:tc>
          <w:tcPr>
            <w:tcW w:w="96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2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4"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50"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75" w:type="dxa"/>
            <w:vAlign w:val="center"/>
          </w:tcPr>
          <w:p>
            <w:pPr>
              <w:snapToGrid w:val="0"/>
              <w:spacing w:line="18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983"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四、本年年末余额</w:t>
            </w:r>
          </w:p>
        </w:tc>
        <w:tc>
          <w:tcPr>
            <w:tcW w:w="1558"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4,692,315,400.00</w:t>
            </w:r>
          </w:p>
        </w:tc>
        <w:tc>
          <w:tcPr>
            <w:tcW w:w="67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19,318,660,000.00</w:t>
            </w:r>
          </w:p>
        </w:tc>
        <w:tc>
          <w:tcPr>
            <w:tcW w:w="53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16"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1,230,602,379.97</w:t>
            </w:r>
          </w:p>
        </w:tc>
        <w:tc>
          <w:tcPr>
            <w:tcW w:w="96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29"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328,832,262.19</w:t>
            </w:r>
          </w:p>
        </w:tc>
        <w:tc>
          <w:tcPr>
            <w:tcW w:w="844"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371,156,099.04</w:t>
            </w:r>
          </w:p>
        </w:tc>
        <w:tc>
          <w:tcPr>
            <w:tcW w:w="1050"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7"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-21,991,361,059.48</w:t>
            </w:r>
          </w:p>
        </w:tc>
        <w:tc>
          <w:tcPr>
            <w:tcW w:w="1275"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3,950,205,081.72</w:t>
            </w:r>
          </w:p>
        </w:tc>
      </w:tr>
    </w:tbl>
    <w:p>
      <w:pPr>
        <w:tabs>
          <w:tab w:val="left" w:pos="1440"/>
          <w:tab w:val="left" w:pos="1620"/>
          <w:tab w:val="left" w:pos="1800"/>
        </w:tabs>
        <w:adjustRightInd w:val="0"/>
        <w:snapToGrid w:val="0"/>
        <w:spacing w:before="80" w:line="240" w:lineRule="atLeast"/>
        <w:rPr>
          <w:rFonts w:ascii="Times New Roman" w:hAnsi="Times New Roman" w:cs="Times New Roman"/>
          <w:color w:val="auto"/>
          <w:sz w:val="18"/>
          <w:szCs w:val="18"/>
          <w:highlight w:val="none"/>
        </w:rPr>
      </w:pPr>
      <w:r>
        <w:rPr>
          <w:rFonts w:ascii="Times New Roman" w:hAnsi="Times New Roman" w:cs="Times New Roman"/>
          <w:color w:val="auto"/>
          <w:highlight w:val="none"/>
        </w:rPr>
        <w:fldChar w:fldCharType="end"/>
      </w:r>
      <w:r>
        <w:rPr>
          <w:rFonts w:ascii="Times New Roman" w:hAnsi="Times New Roman" w:cs="Times New Roman"/>
          <w:color w:val="auto"/>
          <w:sz w:val="18"/>
          <w:szCs w:val="18"/>
          <w:highlight w:val="none"/>
        </w:rPr>
        <w:t xml:space="preserve">企业法定代表人：    </w:t>
      </w:r>
      <w:r>
        <w:rPr>
          <w:rFonts w:hint="eastAsia" w:ascii="Times New Roman" w:hAnsi="Times New Roman" w:cs="Times New Roman"/>
          <w:color w:val="auto"/>
          <w:sz w:val="18"/>
          <w:szCs w:val="18"/>
          <w:highlight w:val="none"/>
        </w:rPr>
        <w:t xml:space="preserve">                         </w:t>
      </w:r>
      <w:r>
        <w:rPr>
          <w:rFonts w:ascii="Times New Roman" w:hAnsi="Times New Roman" w:cs="Times New Roman"/>
          <w:color w:val="auto"/>
          <w:sz w:val="18"/>
          <w:szCs w:val="18"/>
          <w:highlight w:val="none"/>
        </w:rPr>
        <w:t xml:space="preserve">                  主管会计工作负责人：    </w:t>
      </w:r>
      <w:r>
        <w:rPr>
          <w:rFonts w:hint="eastAsia" w:ascii="Times New Roman" w:hAnsi="Times New Roman" w:cs="Times New Roman"/>
          <w:color w:val="auto"/>
          <w:sz w:val="18"/>
          <w:szCs w:val="18"/>
          <w:highlight w:val="none"/>
        </w:rPr>
        <w:t xml:space="preserve">                         </w:t>
      </w:r>
      <w:r>
        <w:rPr>
          <w:rFonts w:ascii="Times New Roman" w:hAnsi="Times New Roman" w:cs="Times New Roman"/>
          <w:color w:val="auto"/>
          <w:sz w:val="18"/>
          <w:szCs w:val="18"/>
          <w:highlight w:val="none"/>
        </w:rPr>
        <w:t xml:space="preserve">                  会计机构负责人：</w:t>
      </w:r>
      <w:r>
        <w:rPr>
          <w:rFonts w:ascii="Times New Roman" w:hAnsi="Times New Roman" w:cs="Times New Roman"/>
          <w:color w:val="auto"/>
          <w:sz w:val="18"/>
          <w:szCs w:val="18"/>
          <w:highlight w:val="none"/>
        </w:rPr>
        <w:br w:type="page"/>
      </w:r>
    </w:p>
    <w:p>
      <w:pPr>
        <w:adjustRightInd w:val="0"/>
        <w:snapToGrid w:val="0"/>
        <w:spacing w:line="240" w:lineRule="auto"/>
        <w:jc w:val="center"/>
        <w:rPr>
          <w:rFonts w:ascii="Times New Roman" w:hAnsi="Times New Roman" w:cs="Times New Roman"/>
          <w:b/>
          <w:color w:val="auto"/>
          <w:sz w:val="18"/>
          <w:szCs w:val="18"/>
          <w:highlight w:val="none"/>
        </w:rPr>
      </w:pPr>
      <w:r>
        <w:rPr>
          <w:rFonts w:ascii="Times New Roman" w:hAnsi="Times New Roman" w:cs="Times New Roman"/>
          <w:b/>
          <w:color w:val="auto"/>
          <w:sz w:val="18"/>
          <w:szCs w:val="18"/>
          <w:highlight w:val="none"/>
        </w:rPr>
        <w:fldChar w:fldCharType="begin"/>
      </w:r>
      <w:r>
        <w:rPr>
          <w:rFonts w:ascii="Times New Roman" w:hAnsi="Times New Roman" w:cs="Times New Roman"/>
          <w:b/>
          <w:color w:val="auto"/>
          <w:sz w:val="18"/>
          <w:szCs w:val="18"/>
          <w:highlight w:val="none"/>
        </w:rPr>
        <w:instrText xml:space="preserve"> DOCVARIABLE  基本信息_企业名称  \* MERGEFORMAT </w:instrText>
      </w:r>
      <w:r>
        <w:rPr>
          <w:rFonts w:ascii="Times New Roman" w:hAnsi="Times New Roman" w:cs="Times New Roman"/>
          <w:b/>
          <w:color w:val="auto"/>
          <w:sz w:val="18"/>
          <w:szCs w:val="18"/>
          <w:highlight w:val="none"/>
        </w:rPr>
        <w:fldChar w:fldCharType="separate"/>
      </w:r>
      <w:r>
        <w:rPr>
          <w:rFonts w:hint="eastAsia" w:ascii="Times New Roman" w:hAnsi="Times New Roman" w:cs="Times New Roman"/>
          <w:b/>
          <w:color w:val="auto"/>
          <w:sz w:val="18"/>
          <w:szCs w:val="18"/>
          <w:highlight w:val="none"/>
        </w:rPr>
        <w:t>国家电投集团贵州金元股份有限公司</w:t>
      </w:r>
      <w:r>
        <w:rPr>
          <w:rFonts w:ascii="Times New Roman" w:hAnsi="Times New Roman" w:cs="Times New Roman"/>
          <w:b/>
          <w:color w:val="auto"/>
          <w:sz w:val="18"/>
          <w:szCs w:val="18"/>
          <w:highlight w:val="none"/>
        </w:rPr>
        <w:fldChar w:fldCharType="end"/>
      </w:r>
    </w:p>
    <w:p>
      <w:pPr>
        <w:adjustRightInd w:val="0"/>
        <w:snapToGrid w:val="0"/>
        <w:spacing w:line="240" w:lineRule="auto"/>
        <w:jc w:val="center"/>
        <w:rPr>
          <w:rFonts w:ascii="Times New Roman" w:hAnsi="Times New Roman" w:cs="Times New Roman"/>
          <w:b/>
          <w:color w:val="auto"/>
          <w:sz w:val="18"/>
          <w:szCs w:val="18"/>
          <w:highlight w:val="none"/>
        </w:rPr>
      </w:pPr>
      <w:r>
        <w:rPr>
          <w:rFonts w:hint="eastAsia" w:ascii="Times New Roman" w:hAnsi="Times New Roman" w:cs="Times New Roman"/>
          <w:b/>
          <w:color w:val="auto"/>
          <w:sz w:val="18"/>
          <w:szCs w:val="18"/>
          <w:highlight w:val="none"/>
        </w:rPr>
        <w:t>母公司</w:t>
      </w:r>
      <w:r>
        <w:rPr>
          <w:rFonts w:ascii="Times New Roman" w:hAnsi="Times New Roman" w:cs="Times New Roman"/>
          <w:b/>
          <w:color w:val="auto"/>
          <w:sz w:val="18"/>
          <w:szCs w:val="18"/>
          <w:highlight w:val="none"/>
        </w:rPr>
        <w:t>所有者权益变动表（续）</w:t>
      </w:r>
    </w:p>
    <w:p>
      <w:pPr>
        <w:adjustRightInd w:val="0"/>
        <w:snapToGrid w:val="0"/>
        <w:spacing w:line="240" w:lineRule="auto"/>
        <w:jc w:val="center"/>
        <w:rPr>
          <w:rFonts w:ascii="Times New Roman" w:hAnsi="Times New Roman" w:cs="Times New Roman"/>
          <w:b/>
          <w:color w:val="auto"/>
          <w:sz w:val="18"/>
          <w:szCs w:val="18"/>
          <w:highlight w:val="none"/>
        </w:rPr>
      </w:pPr>
      <w:r>
        <w:rPr>
          <w:rFonts w:ascii="Times New Roman" w:hAnsi="Times New Roman" w:cs="Times New Roman"/>
          <w:b/>
          <w:color w:val="auto"/>
          <w:sz w:val="18"/>
          <w:szCs w:val="18"/>
          <w:highlight w:val="none"/>
        </w:rPr>
        <w:fldChar w:fldCharType="begin"/>
      </w:r>
      <w:r>
        <w:rPr>
          <w:rFonts w:ascii="Times New Roman" w:hAnsi="Times New Roman" w:cs="Times New Roman"/>
          <w:b/>
          <w:color w:val="auto"/>
          <w:sz w:val="18"/>
          <w:szCs w:val="18"/>
          <w:highlight w:val="none"/>
        </w:rPr>
        <w:instrText xml:space="preserve"> DOCVARIABLE  基本信息_项目年度  \* MERGEFORMAT </w:instrText>
      </w:r>
      <w:r>
        <w:rPr>
          <w:rFonts w:ascii="Times New Roman" w:hAnsi="Times New Roman" w:cs="Times New Roman"/>
          <w:b/>
          <w:color w:val="auto"/>
          <w:sz w:val="18"/>
          <w:szCs w:val="18"/>
          <w:highlight w:val="none"/>
        </w:rPr>
        <w:fldChar w:fldCharType="separate"/>
      </w:r>
      <w:r>
        <w:rPr>
          <w:rFonts w:hint="eastAsia" w:ascii="Times New Roman" w:hAnsi="Times New Roman" w:cs="Times New Roman"/>
          <w:b/>
          <w:color w:val="auto"/>
          <w:sz w:val="18"/>
          <w:szCs w:val="18"/>
          <w:highlight w:val="none"/>
        </w:rPr>
        <w:t>2024年度</w:t>
      </w:r>
      <w:r>
        <w:rPr>
          <w:rFonts w:ascii="Times New Roman" w:hAnsi="Times New Roman" w:cs="Times New Roman"/>
          <w:b/>
          <w:color w:val="auto"/>
          <w:sz w:val="18"/>
          <w:szCs w:val="18"/>
          <w:highlight w:val="none"/>
        </w:rPr>
        <w:fldChar w:fldCharType="end"/>
      </w:r>
    </w:p>
    <w:p>
      <w:pPr>
        <w:adjustRightInd w:val="0"/>
        <w:snapToGrid w:val="0"/>
        <w:spacing w:after="120" w:afterLines="50" w:line="240" w:lineRule="auto"/>
        <w:jc w:val="center"/>
        <w:rPr>
          <w:rFonts w:ascii="Times New Roman" w:hAnsi="Times New Roman" w:cs="Times New Roman"/>
          <w:b/>
          <w:color w:val="auto"/>
          <w:highlight w:val="none"/>
        </w:rPr>
      </w:pPr>
      <w:r>
        <w:rPr>
          <w:rFonts w:ascii="Times New Roman" w:hAnsi="Times New Roman" w:cs="Times New Roman"/>
          <w:b/>
          <w:color w:val="auto"/>
          <w:sz w:val="18"/>
          <w:szCs w:val="18"/>
          <w:highlight w:val="none"/>
        </w:rPr>
        <w:t>（除特别注明外，金额单位均为人民币元）</w:t>
      </w:r>
      <w:r>
        <w:rPr>
          <w:rFonts w:ascii="Times New Roman" w:hAnsi="Times New Roman" w:cs="Times New Roman"/>
          <w:color w:val="auto"/>
          <w:highlight w:val="none"/>
        </w:rPr>
        <w:fldChar w:fldCharType="begin"/>
      </w:r>
      <w:r>
        <w:rPr>
          <w:rFonts w:ascii="Times New Roman" w:hAnsi="Times New Roman" w:cs="Times New Roman"/>
          <w:color w:val="auto"/>
          <w:highlight w:val="none"/>
        </w:rPr>
        <w:instrText xml:space="preserve"> LINK Excel.Sheet.12 E:\\雍\\附注排版\\2014年年报格式\\附注过渡表20150130V0910.xlsx 所!母公司所有者权益变动表上年 \f 4 \h \* MERGEFORMAT </w:instrText>
      </w:r>
      <w:r>
        <w:rPr>
          <w:rFonts w:ascii="Times New Roman" w:hAnsi="Times New Roman" w:cs="Times New Roman"/>
          <w:color w:val="auto"/>
          <w:highlight w:val="none"/>
        </w:rPr>
        <w:fldChar w:fldCharType="separate"/>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60"/>
        <w:gridCol w:w="1590"/>
        <w:gridCol w:w="691"/>
        <w:gridCol w:w="981"/>
        <w:gridCol w:w="546"/>
        <w:gridCol w:w="852"/>
        <w:gridCol w:w="987"/>
        <w:gridCol w:w="1150"/>
        <w:gridCol w:w="858"/>
        <w:gridCol w:w="860"/>
        <w:gridCol w:w="1084"/>
        <w:gridCol w:w="1169"/>
        <w:gridCol w:w="12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014" w:type="dxa"/>
            <w:vMerge w:val="restart"/>
            <w:vAlign w:val="center"/>
          </w:tcPr>
          <w:p>
            <w:pPr>
              <w:snapToGrid w:val="0"/>
              <w:spacing w:line="18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项目</w:t>
            </w:r>
          </w:p>
        </w:tc>
        <w:tc>
          <w:tcPr>
            <w:tcW w:w="11887" w:type="dxa"/>
            <w:gridSpan w:val="12"/>
            <w:vAlign w:val="center"/>
          </w:tcPr>
          <w:p>
            <w:pPr>
              <w:snapToGrid w:val="0"/>
              <w:spacing w:line="18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上年金额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014" w:type="dxa"/>
            <w:vMerge w:val="continue"/>
            <w:vAlign w:val="center"/>
          </w:tcPr>
          <w:p>
            <w:pPr>
              <w:rPr>
                <w:color w:val="auto"/>
                <w:highlight w:val="none"/>
              </w:rPr>
            </w:pPr>
          </w:p>
        </w:tc>
        <w:tc>
          <w:tcPr>
            <w:tcW w:w="1566" w:type="dxa"/>
            <w:vMerge w:val="restart"/>
            <w:vAlign w:val="center"/>
          </w:tcPr>
          <w:p>
            <w:pPr>
              <w:snapToGrid w:val="0"/>
              <w:spacing w:line="18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股本</w:t>
            </w:r>
          </w:p>
        </w:tc>
        <w:tc>
          <w:tcPr>
            <w:tcW w:w="2185" w:type="dxa"/>
            <w:gridSpan w:val="3"/>
            <w:vAlign w:val="center"/>
          </w:tcPr>
          <w:p>
            <w:pPr>
              <w:snapToGrid w:val="0"/>
              <w:spacing w:line="18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其他权益工具</w:t>
            </w:r>
          </w:p>
        </w:tc>
        <w:tc>
          <w:tcPr>
            <w:tcW w:w="839" w:type="dxa"/>
            <w:vMerge w:val="restart"/>
            <w:vAlign w:val="center"/>
          </w:tcPr>
          <w:p>
            <w:pPr>
              <w:snapToGrid w:val="0"/>
              <w:spacing w:line="18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资本公积</w:t>
            </w:r>
          </w:p>
        </w:tc>
        <w:tc>
          <w:tcPr>
            <w:tcW w:w="972" w:type="dxa"/>
            <w:vMerge w:val="restart"/>
            <w:vAlign w:val="center"/>
          </w:tcPr>
          <w:p>
            <w:pPr>
              <w:snapToGrid w:val="0"/>
              <w:spacing w:line="18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减：库存股</w:t>
            </w:r>
          </w:p>
        </w:tc>
        <w:tc>
          <w:tcPr>
            <w:tcW w:w="1133" w:type="dxa"/>
            <w:vMerge w:val="restart"/>
            <w:vAlign w:val="center"/>
          </w:tcPr>
          <w:p>
            <w:pPr>
              <w:snapToGrid w:val="0"/>
              <w:spacing w:line="18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其他综合收益</w:t>
            </w:r>
          </w:p>
        </w:tc>
        <w:tc>
          <w:tcPr>
            <w:tcW w:w="845" w:type="dxa"/>
            <w:vMerge w:val="restart"/>
            <w:vAlign w:val="center"/>
          </w:tcPr>
          <w:p>
            <w:pPr>
              <w:snapToGrid w:val="0"/>
              <w:spacing w:line="18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专项储备</w:t>
            </w:r>
          </w:p>
        </w:tc>
        <w:tc>
          <w:tcPr>
            <w:tcW w:w="847" w:type="dxa"/>
            <w:vMerge w:val="restart"/>
            <w:vAlign w:val="center"/>
          </w:tcPr>
          <w:p>
            <w:pPr>
              <w:snapToGrid w:val="0"/>
              <w:spacing w:line="18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盈余公积</w:t>
            </w:r>
          </w:p>
        </w:tc>
        <w:tc>
          <w:tcPr>
            <w:tcW w:w="1068" w:type="dxa"/>
            <w:vMerge w:val="restart"/>
            <w:vAlign w:val="center"/>
          </w:tcPr>
          <w:p>
            <w:pPr>
              <w:snapToGrid w:val="0"/>
              <w:spacing w:line="18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△一般风险准备</w:t>
            </w:r>
          </w:p>
        </w:tc>
        <w:tc>
          <w:tcPr>
            <w:tcW w:w="1152" w:type="dxa"/>
            <w:vMerge w:val="restart"/>
            <w:vAlign w:val="center"/>
          </w:tcPr>
          <w:p>
            <w:pPr>
              <w:snapToGrid w:val="0"/>
              <w:spacing w:line="18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未分配利润</w:t>
            </w:r>
          </w:p>
        </w:tc>
        <w:tc>
          <w:tcPr>
            <w:tcW w:w="1280" w:type="dxa"/>
            <w:vMerge w:val="restart"/>
            <w:vAlign w:val="center"/>
          </w:tcPr>
          <w:p>
            <w:pPr>
              <w:snapToGrid w:val="0"/>
              <w:spacing w:line="18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所有者权益合计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014" w:type="dxa"/>
            <w:vMerge w:val="continue"/>
            <w:vAlign w:val="center"/>
          </w:tcPr>
          <w:p>
            <w:pPr>
              <w:rPr>
                <w:color w:val="auto"/>
                <w:highlight w:val="none"/>
              </w:rPr>
            </w:pPr>
          </w:p>
        </w:tc>
        <w:tc>
          <w:tcPr>
            <w:tcW w:w="1566" w:type="dxa"/>
            <w:vMerge w:val="continue"/>
            <w:vAlign w:val="center"/>
          </w:tcPr>
          <w:p>
            <w:pPr>
              <w:rPr>
                <w:color w:val="auto"/>
                <w:highlight w:val="none"/>
              </w:rPr>
            </w:pPr>
          </w:p>
        </w:tc>
        <w:tc>
          <w:tcPr>
            <w:tcW w:w="681" w:type="dxa"/>
            <w:vAlign w:val="center"/>
          </w:tcPr>
          <w:p>
            <w:pPr>
              <w:snapToGrid w:val="0"/>
              <w:spacing w:line="18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优先股</w:t>
            </w:r>
          </w:p>
        </w:tc>
        <w:tc>
          <w:tcPr>
            <w:tcW w:w="966" w:type="dxa"/>
            <w:vAlign w:val="center"/>
          </w:tcPr>
          <w:p>
            <w:pPr>
              <w:snapToGrid w:val="0"/>
              <w:spacing w:line="18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永续债</w:t>
            </w:r>
          </w:p>
        </w:tc>
        <w:tc>
          <w:tcPr>
            <w:tcW w:w="538" w:type="dxa"/>
            <w:vAlign w:val="center"/>
          </w:tcPr>
          <w:p>
            <w:pPr>
              <w:snapToGrid w:val="0"/>
              <w:spacing w:line="180" w:lineRule="atLeast"/>
              <w:jc w:val="center"/>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其他</w:t>
            </w:r>
          </w:p>
        </w:tc>
        <w:tc>
          <w:tcPr>
            <w:tcW w:w="839" w:type="dxa"/>
            <w:vMerge w:val="continue"/>
            <w:vAlign w:val="center"/>
          </w:tcPr>
          <w:p>
            <w:pPr>
              <w:rPr>
                <w:color w:val="auto"/>
                <w:highlight w:val="none"/>
              </w:rPr>
            </w:pPr>
          </w:p>
        </w:tc>
        <w:tc>
          <w:tcPr>
            <w:tcW w:w="972" w:type="dxa"/>
            <w:vMerge w:val="continue"/>
            <w:vAlign w:val="center"/>
          </w:tcPr>
          <w:p>
            <w:pPr>
              <w:rPr>
                <w:color w:val="auto"/>
                <w:highlight w:val="none"/>
              </w:rPr>
            </w:pPr>
          </w:p>
        </w:tc>
        <w:tc>
          <w:tcPr>
            <w:tcW w:w="1133" w:type="dxa"/>
            <w:vMerge w:val="continue"/>
            <w:vAlign w:val="center"/>
          </w:tcPr>
          <w:p>
            <w:pPr>
              <w:rPr>
                <w:color w:val="auto"/>
                <w:highlight w:val="none"/>
              </w:rPr>
            </w:pPr>
          </w:p>
        </w:tc>
        <w:tc>
          <w:tcPr>
            <w:tcW w:w="845" w:type="dxa"/>
            <w:vMerge w:val="continue"/>
            <w:vAlign w:val="center"/>
          </w:tcPr>
          <w:p>
            <w:pPr>
              <w:rPr>
                <w:color w:val="auto"/>
                <w:highlight w:val="none"/>
              </w:rPr>
            </w:pPr>
          </w:p>
        </w:tc>
        <w:tc>
          <w:tcPr>
            <w:tcW w:w="847" w:type="dxa"/>
            <w:vMerge w:val="continue"/>
            <w:vAlign w:val="center"/>
          </w:tcPr>
          <w:p>
            <w:pPr>
              <w:rPr>
                <w:color w:val="auto"/>
                <w:highlight w:val="none"/>
              </w:rPr>
            </w:pPr>
          </w:p>
        </w:tc>
        <w:tc>
          <w:tcPr>
            <w:tcW w:w="1068" w:type="dxa"/>
            <w:vMerge w:val="continue"/>
            <w:vAlign w:val="center"/>
          </w:tcPr>
          <w:p>
            <w:pPr>
              <w:rPr>
                <w:color w:val="auto"/>
                <w:highlight w:val="none"/>
              </w:rPr>
            </w:pPr>
          </w:p>
        </w:tc>
        <w:tc>
          <w:tcPr>
            <w:tcW w:w="1152" w:type="dxa"/>
            <w:vMerge w:val="continue"/>
            <w:vAlign w:val="center"/>
          </w:tcPr>
          <w:p>
            <w:pPr>
              <w:rPr>
                <w:color w:val="auto"/>
                <w:highlight w:val="none"/>
              </w:rPr>
            </w:pPr>
          </w:p>
        </w:tc>
        <w:tc>
          <w:tcPr>
            <w:tcW w:w="1280" w:type="dxa"/>
            <w:vMerge w:val="continue"/>
            <w:vAlign w:val="center"/>
          </w:tcPr>
          <w:p>
            <w:pP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14"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一、上年年末余额</w:t>
            </w:r>
          </w:p>
        </w:tc>
        <w:tc>
          <w:tcPr>
            <w:tcW w:w="1566"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5,892,315,400.00</w:t>
            </w:r>
          </w:p>
        </w:tc>
        <w:tc>
          <w:tcPr>
            <w:tcW w:w="681"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15,963,150,000.00</w:t>
            </w:r>
          </w:p>
        </w:tc>
        <w:tc>
          <w:tcPr>
            <w:tcW w:w="53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39"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35,263.55</w:t>
            </w:r>
          </w:p>
        </w:tc>
        <w:tc>
          <w:tcPr>
            <w:tcW w:w="97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33"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264,485,259.48</w:t>
            </w:r>
          </w:p>
        </w:tc>
        <w:tc>
          <w:tcPr>
            <w:tcW w:w="84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371,156,099.04</w:t>
            </w:r>
          </w:p>
        </w:tc>
        <w:tc>
          <w:tcPr>
            <w:tcW w:w="106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2"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-16,350,104,202.27</w:t>
            </w:r>
          </w:p>
        </w:tc>
        <w:tc>
          <w:tcPr>
            <w:tcW w:w="1280"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6,141,037,819.80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4"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加：会计政策变更</w:t>
            </w:r>
          </w:p>
        </w:tc>
        <w:tc>
          <w:tcPr>
            <w:tcW w:w="15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81"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3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7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33"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6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80" w:type="dxa"/>
            <w:vAlign w:val="center"/>
          </w:tcPr>
          <w:p>
            <w:pPr>
              <w:snapToGrid w:val="0"/>
              <w:spacing w:line="18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4"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前期差错更正</w:t>
            </w:r>
          </w:p>
        </w:tc>
        <w:tc>
          <w:tcPr>
            <w:tcW w:w="15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81"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3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7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33"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6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80" w:type="dxa"/>
            <w:vAlign w:val="center"/>
          </w:tcPr>
          <w:p>
            <w:pPr>
              <w:snapToGrid w:val="0"/>
              <w:spacing w:line="18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4"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其他</w:t>
            </w:r>
          </w:p>
        </w:tc>
        <w:tc>
          <w:tcPr>
            <w:tcW w:w="15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81"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3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7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33"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6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80" w:type="dxa"/>
            <w:vAlign w:val="center"/>
          </w:tcPr>
          <w:p>
            <w:pPr>
              <w:snapToGrid w:val="0"/>
              <w:spacing w:line="18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4"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二、本年年初余额</w:t>
            </w:r>
          </w:p>
        </w:tc>
        <w:tc>
          <w:tcPr>
            <w:tcW w:w="1566"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5,892,315,400.00</w:t>
            </w:r>
          </w:p>
        </w:tc>
        <w:tc>
          <w:tcPr>
            <w:tcW w:w="681"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15,963,150,000.00</w:t>
            </w:r>
          </w:p>
        </w:tc>
        <w:tc>
          <w:tcPr>
            <w:tcW w:w="53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39"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35,263.55</w:t>
            </w:r>
          </w:p>
        </w:tc>
        <w:tc>
          <w:tcPr>
            <w:tcW w:w="97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33"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264,485,259.48</w:t>
            </w:r>
          </w:p>
        </w:tc>
        <w:tc>
          <w:tcPr>
            <w:tcW w:w="84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371,156,099.04</w:t>
            </w:r>
          </w:p>
        </w:tc>
        <w:tc>
          <w:tcPr>
            <w:tcW w:w="106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2"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-16,350,104,202.27</w:t>
            </w:r>
          </w:p>
        </w:tc>
        <w:tc>
          <w:tcPr>
            <w:tcW w:w="1280"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6,141,037,819.80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4"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三、本年增减变动金额（减少以“-”号填列）</w:t>
            </w:r>
          </w:p>
        </w:tc>
        <w:tc>
          <w:tcPr>
            <w:tcW w:w="15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81"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2,355,510,000.00</w:t>
            </w:r>
          </w:p>
        </w:tc>
        <w:tc>
          <w:tcPr>
            <w:tcW w:w="53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39"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214,020.03</w:t>
            </w:r>
          </w:p>
        </w:tc>
        <w:tc>
          <w:tcPr>
            <w:tcW w:w="97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33"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40,668,123.50</w:t>
            </w:r>
          </w:p>
        </w:tc>
        <w:tc>
          <w:tcPr>
            <w:tcW w:w="84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6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2"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-4,007,685,990.71</w:t>
            </w:r>
          </w:p>
        </w:tc>
        <w:tc>
          <w:tcPr>
            <w:tcW w:w="1280"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-1,611,293,847.18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14"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（一）综合收益总额</w:t>
            </w:r>
          </w:p>
        </w:tc>
        <w:tc>
          <w:tcPr>
            <w:tcW w:w="15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81"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3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7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33"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40,668,123.50</w:t>
            </w:r>
          </w:p>
        </w:tc>
        <w:tc>
          <w:tcPr>
            <w:tcW w:w="84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6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2"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-3,289,418,018.83</w:t>
            </w:r>
          </w:p>
        </w:tc>
        <w:tc>
          <w:tcPr>
            <w:tcW w:w="1280"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-3,248,749,895.33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4"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（二）所有者投入和减少资本</w:t>
            </w:r>
          </w:p>
        </w:tc>
        <w:tc>
          <w:tcPr>
            <w:tcW w:w="15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81"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2,355,510,000.00</w:t>
            </w:r>
          </w:p>
        </w:tc>
        <w:tc>
          <w:tcPr>
            <w:tcW w:w="53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39"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214,020.03</w:t>
            </w:r>
          </w:p>
        </w:tc>
        <w:tc>
          <w:tcPr>
            <w:tcW w:w="97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33"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6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80"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2,355,724,020.03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4"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1．所有者投入的普通股</w:t>
            </w:r>
          </w:p>
        </w:tc>
        <w:tc>
          <w:tcPr>
            <w:tcW w:w="15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81"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3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7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33"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6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80" w:type="dxa"/>
            <w:vAlign w:val="center"/>
          </w:tcPr>
          <w:p>
            <w:pPr>
              <w:snapToGrid w:val="0"/>
              <w:spacing w:line="18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4"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2．其他权益工具持有者投入资本</w:t>
            </w:r>
          </w:p>
        </w:tc>
        <w:tc>
          <w:tcPr>
            <w:tcW w:w="15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81"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2,355,510,000.00</w:t>
            </w:r>
          </w:p>
        </w:tc>
        <w:tc>
          <w:tcPr>
            <w:tcW w:w="53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3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7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33"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6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80"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2,355,510,000.00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4"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3．股份支付计入所有者权益的金额</w:t>
            </w:r>
          </w:p>
        </w:tc>
        <w:tc>
          <w:tcPr>
            <w:tcW w:w="15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81"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3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7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33"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6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80" w:type="dxa"/>
            <w:vAlign w:val="center"/>
          </w:tcPr>
          <w:p>
            <w:pPr>
              <w:snapToGrid w:val="0"/>
              <w:spacing w:line="18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14"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4．其他</w:t>
            </w:r>
          </w:p>
        </w:tc>
        <w:tc>
          <w:tcPr>
            <w:tcW w:w="15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81"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39"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214,020.03</w:t>
            </w:r>
          </w:p>
        </w:tc>
        <w:tc>
          <w:tcPr>
            <w:tcW w:w="97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33"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6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80"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214,020.03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4"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（三）专项储备提取和使用</w:t>
            </w:r>
          </w:p>
        </w:tc>
        <w:tc>
          <w:tcPr>
            <w:tcW w:w="15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81"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3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7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33"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6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80" w:type="dxa"/>
            <w:vAlign w:val="center"/>
          </w:tcPr>
          <w:p>
            <w:pPr>
              <w:snapToGrid w:val="0"/>
              <w:spacing w:line="18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4"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1．提取专项储备</w:t>
            </w:r>
          </w:p>
        </w:tc>
        <w:tc>
          <w:tcPr>
            <w:tcW w:w="15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81"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3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7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33"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5"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23,088,076.75</w:t>
            </w: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6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80"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23,088,076.75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4"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2．使用专项储备</w:t>
            </w:r>
          </w:p>
        </w:tc>
        <w:tc>
          <w:tcPr>
            <w:tcW w:w="15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81"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3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7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33"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5"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-23,088,076.75</w:t>
            </w: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6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80"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-23,088,076.75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14"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（四）利润分配</w:t>
            </w:r>
          </w:p>
        </w:tc>
        <w:tc>
          <w:tcPr>
            <w:tcW w:w="15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81"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3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7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33"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6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2"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-718,267,971.88</w:t>
            </w:r>
          </w:p>
        </w:tc>
        <w:tc>
          <w:tcPr>
            <w:tcW w:w="1280"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-718,267,971.88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4"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1．提取盈余公积</w:t>
            </w:r>
          </w:p>
        </w:tc>
        <w:tc>
          <w:tcPr>
            <w:tcW w:w="15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81"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3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7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33"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6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80" w:type="dxa"/>
            <w:vAlign w:val="center"/>
          </w:tcPr>
          <w:p>
            <w:pPr>
              <w:snapToGrid w:val="0"/>
              <w:spacing w:line="18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14"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其中：法定公积金</w:t>
            </w:r>
          </w:p>
        </w:tc>
        <w:tc>
          <w:tcPr>
            <w:tcW w:w="15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81"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3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7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33"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6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80" w:type="dxa"/>
            <w:vAlign w:val="center"/>
          </w:tcPr>
          <w:p>
            <w:pPr>
              <w:snapToGrid w:val="0"/>
              <w:spacing w:line="18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4"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任意公积金</w:t>
            </w:r>
          </w:p>
        </w:tc>
        <w:tc>
          <w:tcPr>
            <w:tcW w:w="15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81"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3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7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33"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6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80" w:type="dxa"/>
            <w:vAlign w:val="center"/>
          </w:tcPr>
          <w:p>
            <w:pPr>
              <w:snapToGrid w:val="0"/>
              <w:spacing w:line="18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4"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#储备基金</w:t>
            </w:r>
          </w:p>
        </w:tc>
        <w:tc>
          <w:tcPr>
            <w:tcW w:w="15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81"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3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7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33"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6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80" w:type="dxa"/>
            <w:vAlign w:val="center"/>
          </w:tcPr>
          <w:p>
            <w:pPr>
              <w:snapToGrid w:val="0"/>
              <w:spacing w:line="18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14"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#企业发展基金</w:t>
            </w:r>
          </w:p>
        </w:tc>
        <w:tc>
          <w:tcPr>
            <w:tcW w:w="15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81"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3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7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33"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6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80" w:type="dxa"/>
            <w:vAlign w:val="center"/>
          </w:tcPr>
          <w:p>
            <w:pPr>
              <w:snapToGrid w:val="0"/>
              <w:spacing w:line="18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4"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#利润归还投资</w:t>
            </w:r>
          </w:p>
        </w:tc>
        <w:tc>
          <w:tcPr>
            <w:tcW w:w="15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81"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3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7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33"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6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80" w:type="dxa"/>
            <w:vAlign w:val="center"/>
          </w:tcPr>
          <w:p>
            <w:pPr>
              <w:snapToGrid w:val="0"/>
              <w:spacing w:line="18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4"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△2．提取一般风险准备</w:t>
            </w:r>
          </w:p>
        </w:tc>
        <w:tc>
          <w:tcPr>
            <w:tcW w:w="15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81"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3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7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33"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6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80" w:type="dxa"/>
            <w:vAlign w:val="center"/>
          </w:tcPr>
          <w:p>
            <w:pPr>
              <w:snapToGrid w:val="0"/>
              <w:spacing w:line="18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4"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3．对所有者（或股东）的分配</w:t>
            </w:r>
          </w:p>
        </w:tc>
        <w:tc>
          <w:tcPr>
            <w:tcW w:w="15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81"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3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7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33"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6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80" w:type="dxa"/>
            <w:vAlign w:val="center"/>
          </w:tcPr>
          <w:p>
            <w:pPr>
              <w:snapToGrid w:val="0"/>
              <w:spacing w:line="18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4"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4．其他</w:t>
            </w:r>
          </w:p>
        </w:tc>
        <w:tc>
          <w:tcPr>
            <w:tcW w:w="15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81"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3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7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33"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6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2"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-718,267,971.88</w:t>
            </w:r>
          </w:p>
        </w:tc>
        <w:tc>
          <w:tcPr>
            <w:tcW w:w="1280"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-718,267,971.88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4"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（五）所有者权益内部结转</w:t>
            </w:r>
          </w:p>
        </w:tc>
        <w:tc>
          <w:tcPr>
            <w:tcW w:w="15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81"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3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7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33"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6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80" w:type="dxa"/>
            <w:vAlign w:val="center"/>
          </w:tcPr>
          <w:p>
            <w:pPr>
              <w:snapToGrid w:val="0"/>
              <w:spacing w:line="18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4"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1．资本公积转增资本（或股本）</w:t>
            </w:r>
          </w:p>
        </w:tc>
        <w:tc>
          <w:tcPr>
            <w:tcW w:w="15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81"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3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7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33"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6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80" w:type="dxa"/>
            <w:vAlign w:val="center"/>
          </w:tcPr>
          <w:p>
            <w:pPr>
              <w:snapToGrid w:val="0"/>
              <w:spacing w:line="18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4"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2．盈余公积转增资本（或股本）</w:t>
            </w:r>
          </w:p>
        </w:tc>
        <w:tc>
          <w:tcPr>
            <w:tcW w:w="15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81"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3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7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33"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6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80" w:type="dxa"/>
            <w:vAlign w:val="center"/>
          </w:tcPr>
          <w:p>
            <w:pPr>
              <w:snapToGrid w:val="0"/>
              <w:spacing w:line="18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4"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3．弥补亏损</w:t>
            </w:r>
          </w:p>
        </w:tc>
        <w:tc>
          <w:tcPr>
            <w:tcW w:w="15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81"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3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7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33"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6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80" w:type="dxa"/>
            <w:vAlign w:val="center"/>
          </w:tcPr>
          <w:p>
            <w:pPr>
              <w:snapToGrid w:val="0"/>
              <w:spacing w:line="18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4"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4．设定受益计划变动额结转留存收益</w:t>
            </w:r>
          </w:p>
        </w:tc>
        <w:tc>
          <w:tcPr>
            <w:tcW w:w="15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81"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3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7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33"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6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80" w:type="dxa"/>
            <w:vAlign w:val="center"/>
          </w:tcPr>
          <w:p>
            <w:pPr>
              <w:snapToGrid w:val="0"/>
              <w:spacing w:line="18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4"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5．其他综合收益结转留存收益</w:t>
            </w:r>
          </w:p>
        </w:tc>
        <w:tc>
          <w:tcPr>
            <w:tcW w:w="15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81"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3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7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33"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6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80" w:type="dxa"/>
            <w:vAlign w:val="center"/>
          </w:tcPr>
          <w:p>
            <w:pPr>
              <w:snapToGrid w:val="0"/>
              <w:spacing w:line="18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4"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 xml:space="preserve">   6．其他</w:t>
            </w:r>
          </w:p>
        </w:tc>
        <w:tc>
          <w:tcPr>
            <w:tcW w:w="15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681"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53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39"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7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33"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06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280" w:type="dxa"/>
            <w:vAlign w:val="center"/>
          </w:tcPr>
          <w:p>
            <w:pPr>
              <w:snapToGrid w:val="0"/>
              <w:spacing w:line="180" w:lineRule="atLeast"/>
              <w:jc w:val="right"/>
              <w:rPr>
                <w:rFonts w:ascii="Times New Roman" w:hAnsi="Times New Roman" w:cs="Times New Roman"/>
                <w:color w:val="auto"/>
                <w:sz w:val="10"/>
                <w:szCs w:val="1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14" w:type="dxa"/>
            <w:vAlign w:val="center"/>
          </w:tcPr>
          <w:p>
            <w:pPr>
              <w:snapToGrid w:val="0"/>
              <w:spacing w:line="180" w:lineRule="atLeas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四、本年年末余额</w:t>
            </w:r>
          </w:p>
        </w:tc>
        <w:tc>
          <w:tcPr>
            <w:tcW w:w="1566"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5,892,315,400.00</w:t>
            </w:r>
          </w:p>
        </w:tc>
        <w:tc>
          <w:tcPr>
            <w:tcW w:w="681"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966"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18,318,660,000.00</w:t>
            </w:r>
          </w:p>
        </w:tc>
        <w:tc>
          <w:tcPr>
            <w:tcW w:w="53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39"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249,283.58</w:t>
            </w:r>
          </w:p>
        </w:tc>
        <w:tc>
          <w:tcPr>
            <w:tcW w:w="972"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33"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305,153,382.98</w:t>
            </w:r>
          </w:p>
        </w:tc>
        <w:tc>
          <w:tcPr>
            <w:tcW w:w="845"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847"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371,156,099.04</w:t>
            </w:r>
          </w:p>
        </w:tc>
        <w:tc>
          <w:tcPr>
            <w:tcW w:w="1068" w:type="dxa"/>
            <w:vAlign w:val="center"/>
          </w:tcPr>
          <w:p>
            <w:pPr>
              <w:snapToGrid w:val="0"/>
              <w:spacing w:line="180" w:lineRule="atLeast"/>
              <w:jc w:val="right"/>
              <w:rPr>
                <w:rFonts w:ascii="Times New Roman" w:hAnsi="Times New Roman" w:cs="Times New Roman"/>
                <w:color w:val="auto"/>
                <w:sz w:val="10"/>
                <w:szCs w:val="10"/>
                <w:highlight w:val="none"/>
              </w:rPr>
            </w:pPr>
          </w:p>
        </w:tc>
        <w:tc>
          <w:tcPr>
            <w:tcW w:w="1152"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-20,357,790,192.98</w:t>
            </w:r>
          </w:p>
        </w:tc>
        <w:tc>
          <w:tcPr>
            <w:tcW w:w="1280" w:type="dxa"/>
            <w:vAlign w:val="center"/>
          </w:tcPr>
          <w:p>
            <w:pPr>
              <w:snapToGrid w:val="0"/>
              <w:spacing w:line="180" w:lineRule="atLeast"/>
              <w:jc w:val="right"/>
              <w:rPr>
                <w:rFonts w:ascii="Times New Roman" w:hAnsi="Times New Roman" w:cs="Times New Roman"/>
                <w:color w:val="auto"/>
                <w:sz w:val="10"/>
                <w:szCs w:val="10"/>
                <w:highlight w:val="none"/>
              </w:rPr>
            </w:pPr>
            <w:r>
              <w:rPr>
                <w:rFonts w:ascii="Times New Roman" w:hAnsi="Times New Roman" w:cs="Times New Roman"/>
                <w:color w:val="auto"/>
                <w:sz w:val="10"/>
                <w:szCs w:val="10"/>
                <w:highlight w:val="none"/>
              </w:rPr>
              <w:t>4,529,743,972.62</w:t>
            </w:r>
          </w:p>
        </w:tc>
      </w:tr>
    </w:tbl>
    <w:p>
      <w:pPr>
        <w:tabs>
          <w:tab w:val="left" w:pos="1440"/>
          <w:tab w:val="left" w:pos="1620"/>
          <w:tab w:val="left" w:pos="1800"/>
        </w:tabs>
        <w:adjustRightInd w:val="0"/>
        <w:snapToGrid w:val="0"/>
        <w:spacing w:before="80" w:line="240" w:lineRule="atLeast"/>
        <w:rPr>
          <w:rFonts w:ascii="Times New Roman" w:hAnsi="Times New Roman" w:cs="Times New Roman"/>
          <w:color w:val="auto"/>
          <w:sz w:val="18"/>
          <w:szCs w:val="18"/>
          <w:highlight w:val="none"/>
        </w:rPr>
        <w:sectPr>
          <w:headerReference r:id="rId21" w:type="first"/>
          <w:headerReference r:id="rId19" w:type="default"/>
          <w:headerReference r:id="rId20" w:type="even"/>
          <w:pgSz w:w="16839" w:h="11907" w:orient="landscape"/>
          <w:pgMar w:top="1440" w:right="964" w:bottom="1440" w:left="964" w:header="567" w:footer="567" w:gutter="0"/>
          <w:cols w:space="425" w:num="1"/>
          <w:titlePg/>
          <w:docGrid w:linePitch="312" w:charSpace="0"/>
        </w:sectPr>
      </w:pPr>
      <w:r>
        <w:rPr>
          <w:rFonts w:ascii="Times New Roman" w:hAnsi="Times New Roman" w:cs="Times New Roman"/>
          <w:color w:val="auto"/>
          <w:highlight w:val="none"/>
        </w:rPr>
        <w:fldChar w:fldCharType="end"/>
      </w:r>
      <w:r>
        <w:rPr>
          <w:rFonts w:ascii="Times New Roman" w:hAnsi="Times New Roman" w:cs="Times New Roman"/>
          <w:color w:val="auto"/>
          <w:sz w:val="18"/>
          <w:szCs w:val="18"/>
          <w:highlight w:val="none"/>
        </w:rPr>
        <w:t xml:space="preserve">企业法定代表人：    </w:t>
      </w:r>
      <w:r>
        <w:rPr>
          <w:rFonts w:hint="eastAsia" w:ascii="Times New Roman" w:hAnsi="Times New Roman" w:cs="Times New Roman"/>
          <w:color w:val="auto"/>
          <w:sz w:val="18"/>
          <w:szCs w:val="18"/>
          <w:highlight w:val="none"/>
        </w:rPr>
        <w:t xml:space="preserve">                         </w:t>
      </w:r>
      <w:r>
        <w:rPr>
          <w:rFonts w:ascii="Times New Roman" w:hAnsi="Times New Roman" w:cs="Times New Roman"/>
          <w:color w:val="auto"/>
          <w:sz w:val="18"/>
          <w:szCs w:val="18"/>
          <w:highlight w:val="none"/>
        </w:rPr>
        <w:t xml:space="preserve">                  主管会计工作负责人：    </w:t>
      </w:r>
      <w:r>
        <w:rPr>
          <w:rFonts w:hint="eastAsia" w:ascii="Times New Roman" w:hAnsi="Times New Roman" w:cs="Times New Roman"/>
          <w:color w:val="auto"/>
          <w:sz w:val="18"/>
          <w:szCs w:val="18"/>
          <w:highlight w:val="none"/>
        </w:rPr>
        <w:t xml:space="preserve">                         </w:t>
      </w:r>
      <w:r>
        <w:rPr>
          <w:rFonts w:ascii="Times New Roman" w:hAnsi="Times New Roman" w:cs="Times New Roman"/>
          <w:color w:val="auto"/>
          <w:sz w:val="18"/>
          <w:szCs w:val="18"/>
          <w:highlight w:val="none"/>
        </w:rPr>
        <w:t xml:space="preserve">                  会计机构负责人： </w:t>
      </w:r>
    </w:p>
    <w:p>
      <w:pPr>
        <w:adjustRightInd w:val="0"/>
        <w:snapToGrid w:val="0"/>
        <w:jc w:val="center"/>
        <w:rPr>
          <w:rFonts w:ascii="Times New Roman" w:hAnsi="Times New Roman" w:cs="Times New Roman"/>
          <w:b/>
          <w:color w:val="auto"/>
          <w:sz w:val="32"/>
          <w:highlight w:val="none"/>
        </w:rPr>
      </w:pPr>
      <w:r>
        <w:rPr>
          <w:rFonts w:ascii="Times New Roman" w:hAnsi="Times New Roman" w:cs="Times New Roman"/>
          <w:b/>
          <w:color w:val="auto"/>
          <w:sz w:val="32"/>
          <w:highlight w:val="none"/>
        </w:rPr>
        <w:fldChar w:fldCharType="begin"/>
      </w:r>
      <w:r>
        <w:rPr>
          <w:rFonts w:ascii="Times New Roman" w:hAnsi="Times New Roman" w:cs="Times New Roman"/>
          <w:b/>
          <w:color w:val="auto"/>
          <w:sz w:val="32"/>
          <w:highlight w:val="none"/>
        </w:rPr>
        <w:instrText xml:space="preserve"> DOCVARIABLE  基本信息_企业名称  \* MERGEFORMAT </w:instrText>
      </w:r>
      <w:r>
        <w:rPr>
          <w:rFonts w:ascii="Times New Roman" w:hAnsi="Times New Roman" w:cs="Times New Roman"/>
          <w:b/>
          <w:color w:val="auto"/>
          <w:sz w:val="32"/>
          <w:highlight w:val="none"/>
        </w:rPr>
        <w:fldChar w:fldCharType="separate"/>
      </w:r>
      <w:r>
        <w:rPr>
          <w:rFonts w:hint="eastAsia" w:ascii="Times New Roman" w:hAnsi="Times New Roman" w:cs="Times New Roman"/>
          <w:b/>
          <w:color w:val="auto"/>
          <w:sz w:val="32"/>
          <w:highlight w:val="none"/>
        </w:rPr>
        <w:t>国家电投集团贵州金元股份有限公司</w:t>
      </w:r>
      <w:r>
        <w:rPr>
          <w:rFonts w:ascii="Times New Roman" w:hAnsi="Times New Roman" w:cs="Times New Roman"/>
          <w:b/>
          <w:color w:val="auto"/>
          <w:sz w:val="32"/>
          <w:highlight w:val="none"/>
        </w:rPr>
        <w:fldChar w:fldCharType="end"/>
      </w:r>
    </w:p>
    <w:p>
      <w:pPr>
        <w:adjustRightInd w:val="0"/>
        <w:snapToGrid w:val="0"/>
        <w:jc w:val="center"/>
        <w:rPr>
          <w:rFonts w:ascii="Times New Roman" w:hAnsi="Times New Roman" w:cs="Times New Roman"/>
          <w:b/>
          <w:color w:val="auto"/>
          <w:sz w:val="32"/>
          <w:highlight w:val="none"/>
        </w:rPr>
      </w:pPr>
      <w:r>
        <w:rPr>
          <w:rFonts w:ascii="Times New Roman" w:hAnsi="Times New Roman" w:cs="Times New Roman"/>
          <w:b/>
          <w:color w:val="auto"/>
          <w:sz w:val="32"/>
          <w:highlight w:val="none"/>
        </w:rPr>
        <w:fldChar w:fldCharType="begin"/>
      </w:r>
      <w:r>
        <w:rPr>
          <w:rFonts w:ascii="Times New Roman" w:hAnsi="Times New Roman" w:cs="Times New Roman"/>
          <w:b/>
          <w:color w:val="auto"/>
          <w:sz w:val="32"/>
          <w:highlight w:val="none"/>
        </w:rPr>
        <w:instrText xml:space="preserve"> DOCVARIABLE  基本信息_项目年度中文  \* MERGEFORMAT </w:instrText>
      </w:r>
      <w:r>
        <w:rPr>
          <w:rFonts w:ascii="Times New Roman" w:hAnsi="Times New Roman" w:cs="Times New Roman"/>
          <w:b/>
          <w:color w:val="auto"/>
          <w:sz w:val="32"/>
          <w:highlight w:val="none"/>
        </w:rPr>
        <w:fldChar w:fldCharType="separate"/>
      </w:r>
      <w:r>
        <w:rPr>
          <w:rFonts w:hint="eastAsia" w:ascii="Times New Roman" w:hAnsi="Times New Roman" w:cs="Times New Roman"/>
          <w:b/>
          <w:color w:val="auto"/>
          <w:sz w:val="32"/>
          <w:highlight w:val="none"/>
        </w:rPr>
        <w:t>二○二四年度</w:t>
      </w:r>
      <w:r>
        <w:rPr>
          <w:rFonts w:ascii="Times New Roman" w:hAnsi="Times New Roman" w:cs="Times New Roman"/>
          <w:b/>
          <w:color w:val="auto"/>
          <w:sz w:val="32"/>
          <w:highlight w:val="none"/>
        </w:rPr>
        <w:fldChar w:fldCharType="end"/>
      </w:r>
      <w:r>
        <w:rPr>
          <w:rFonts w:ascii="Times New Roman" w:hAnsi="Times New Roman" w:cs="Times New Roman"/>
          <w:b/>
          <w:color w:val="auto"/>
          <w:sz w:val="32"/>
          <w:highlight w:val="none"/>
        </w:rPr>
        <w:t>财务报表附注</w:t>
      </w:r>
    </w:p>
    <w:p>
      <w:pPr>
        <w:adjustRightInd w:val="0"/>
        <w:snapToGrid w:val="0"/>
        <w:jc w:val="center"/>
        <w:rPr>
          <w:rFonts w:ascii="Times New Roman" w:hAnsi="Times New Roman" w:cs="Times New Roman"/>
          <w:color w:val="auto"/>
          <w:sz w:val="24"/>
          <w:highlight w:val="none"/>
        </w:rPr>
      </w:pPr>
      <w:r>
        <w:rPr>
          <w:rFonts w:ascii="Times New Roman" w:hAnsi="Times New Roman" w:cs="Times New Roman"/>
          <w:color w:val="auto"/>
          <w:sz w:val="24"/>
          <w:highlight w:val="none"/>
        </w:rPr>
        <w:t>（除特别注明外，本附注金额单位均为人民币元）</w:t>
      </w:r>
    </w:p>
    <w:p>
      <w:pPr>
        <w:pStyle w:val="38"/>
        <w:rPr>
          <w:color w:val="auto"/>
          <w:highlight w:val="none"/>
        </w:rPr>
      </w:pPr>
    </w:p>
    <w:p>
      <w:pPr>
        <w:pStyle w:val="43"/>
        <w:rPr>
          <w:color w:val="auto"/>
          <w:highlight w:val="none"/>
        </w:rPr>
      </w:pPr>
      <w:r>
        <w:rPr>
          <w:rFonts w:hint="eastAsia"/>
          <w:color w:val="auto"/>
          <w:highlight w:val="none"/>
        </w:rPr>
        <w:t>企业的</w:t>
      </w:r>
      <w:r>
        <w:rPr>
          <w:color w:val="auto"/>
          <w:highlight w:val="none"/>
        </w:rPr>
        <w:t>基本情况</w:t>
      </w:r>
    </w:p>
    <w:p>
      <w:pPr>
        <w:pStyle w:val="37"/>
        <w:rPr>
          <w:rFonts w:eastAsiaTheme="minorEastAsia"/>
          <w:color w:val="auto"/>
          <w:highlight w:val="none"/>
        </w:rPr>
      </w:pPr>
      <w:r>
        <w:rPr>
          <w:color w:val="auto"/>
          <w:highlight w:val="none"/>
        </w:rPr>
        <w:t>企业历史沿革</w:t>
      </w:r>
      <w:r>
        <w:rPr>
          <w:rFonts w:hint="eastAsia"/>
          <w:color w:val="auto"/>
          <w:highlight w:val="none"/>
        </w:rPr>
        <w:t>、</w:t>
      </w:r>
      <w:r>
        <w:rPr>
          <w:color w:val="auto"/>
          <w:highlight w:val="none"/>
        </w:rPr>
        <w:t>注册地、组织形式和总部地址</w:t>
      </w:r>
    </w:p>
    <w:p>
      <w:pPr>
        <w:pStyle w:val="38"/>
        <w:rPr>
          <w:rFonts w:eastAsiaTheme="minorEastAsia"/>
          <w:color w:val="auto"/>
          <w:highlight w:val="none"/>
        </w:rPr>
      </w:pPr>
      <w:r>
        <w:rPr>
          <w:rFonts w:hint="eastAsia" w:eastAsiaTheme="minorEastAsia"/>
          <w:color w:val="auto"/>
          <w:highlight w:val="none"/>
        </w:rPr>
        <w:t>国家电投集团贵州金元股份有限公司（以下简称“公司”或“本公司”）于2000年11月6日成立，原注册资本60,000.00万元，企业性质：有限责任公司。2002年经贵州省政府批准变更为股份有限公司。2004年增资扩股后注册资本增加到200,000.00万元。2008年国家电力投资集团有限公司向本公司增资扩股300,000.00万股，注册资本增加到500,000.00万元，2009年度本公司对自然人股东持股合计83,702.80万元的股份进行了回购，股权回购后本公司2009年12月31日的实收资本为416,297.20万元。2010年4月本公司根据财政部文件财企[2009]384号《财政部关于下达中国电力投资集团公司2009年中央国有资本经营预算专项（拨款）的通知》的要求，将国家电力投资集团有限公司拨付的节能减排资金9,780.00万元作为国家电力投资集团有限公司对本公司的增资；2010年6月本公司根据中共中国南方电网有限责任公司党组纪检文件，南方电网纪[2010]6号《关于对贵州金元案所涉及王和同志违纪所得进行处理的通知》要求，对自然人96.00万元股权进行了回购。2012年12月份，根据股东会决议，贵州省国有资产监督管理委员会增加投资114,310.74万元，工商变更登记后的注册资本为540,291.94万元。2012年12月，根据财政部文件财企[2012]390号《财政部关于下达2012年中央国有资本经营预算节能减排资金预算（拨款）的通知》的要求，本公司将国家电力投资集团有限公司拨付的节能减排资金9,532.00万元作为国家电力投资集团有限公司对本公司的增资，股权变动后的实收资本为549,823.94万元，2013年根据年度股东大会决议和修改后章程的规定，本公司减少注册资本人民币80,592.40万元，变更后的实收资本为469,231.54万元，其中：国家电力投资集团有限公司占68.05%，贵州盘江煤电集团有限责任公司占25.21%，自然人股东占6.74%。2022年6月，国家电力投资集团有限公司对本公司增资120,000.00万元。截至2024年12月31日，由于少数股东尚未履行完成出资程序，本公司将国家电力投资集团有限公司2022年增资款120,000.00万元由实收资本暂调整列报至资本公积。</w:t>
      </w:r>
    </w:p>
    <w:p>
      <w:pPr>
        <w:pStyle w:val="38"/>
        <w:rPr>
          <w:rFonts w:eastAsiaTheme="minorEastAsia"/>
          <w:color w:val="auto"/>
          <w:highlight w:val="none"/>
        </w:rPr>
      </w:pPr>
      <w:r>
        <w:rPr>
          <w:rFonts w:hint="eastAsia" w:eastAsiaTheme="minorEastAsia"/>
          <w:color w:val="auto"/>
          <w:highlight w:val="none"/>
        </w:rPr>
        <w:t>统一社会信用代码：91520000722102789A；注册资本：469,231.54万元；法定代表人：朱绍纯。截至2024年12月31日，公司实收资本469,231.54万元。</w:t>
      </w:r>
    </w:p>
    <w:p>
      <w:pPr>
        <w:pStyle w:val="38"/>
        <w:rPr>
          <w:rFonts w:eastAsiaTheme="minorEastAsia"/>
          <w:color w:val="auto"/>
          <w:highlight w:val="none"/>
        </w:rPr>
      </w:pPr>
      <w:r>
        <w:rPr>
          <w:rFonts w:hint="eastAsia" w:eastAsiaTheme="minorEastAsia"/>
          <w:color w:val="auto"/>
          <w:highlight w:val="none"/>
        </w:rPr>
        <w:t>公司注册地：贵州省贵阳市观山湖区金阳北路296号；</w:t>
      </w:r>
    </w:p>
    <w:p>
      <w:pPr>
        <w:pStyle w:val="38"/>
        <w:rPr>
          <w:rFonts w:eastAsiaTheme="minorEastAsia"/>
          <w:color w:val="auto"/>
          <w:highlight w:val="none"/>
        </w:rPr>
      </w:pPr>
      <w:r>
        <w:rPr>
          <w:rFonts w:hint="eastAsia" w:eastAsiaTheme="minorEastAsia"/>
          <w:color w:val="auto"/>
          <w:highlight w:val="none"/>
        </w:rPr>
        <w:t>总部地址：贵州省贵阳市观山湖区金阳北路296号；</w:t>
      </w:r>
    </w:p>
    <w:p>
      <w:pPr>
        <w:pStyle w:val="38"/>
        <w:rPr>
          <w:rFonts w:hint="eastAsia" w:eastAsiaTheme="minorEastAsia"/>
          <w:color w:val="auto"/>
          <w:highlight w:val="none"/>
        </w:rPr>
      </w:pPr>
      <w:r>
        <w:rPr>
          <w:rFonts w:hint="eastAsia" w:eastAsiaTheme="minorEastAsia"/>
          <w:color w:val="auto"/>
          <w:highlight w:val="none"/>
        </w:rPr>
        <w:t>公司组织形式：公司内部下设九个综合管理部门、六个专业管理部门、六个监督保障部门，具体包括办公室、战略规划与发展部、人力资源部（体改办）、计划与财务部、资本市场与股权部、科技信息管理部、物资与采购部、政策与法律部、工程管理部、火电生产技术管理部、水电部、新能源部、煤炭部、市场营销与燃料管理部、综合智慧能源部、党建部、安全质量环保部、审计与内控部、纪委办公室、党委巡查工作办公室、群团工作部（工会办公室）。</w:t>
      </w:r>
    </w:p>
    <w:p>
      <w:pPr>
        <w:pStyle w:val="38"/>
        <w:rPr>
          <w:rFonts w:eastAsiaTheme="minorEastAsia"/>
          <w:color w:val="auto"/>
          <w:highlight w:val="none"/>
        </w:rPr>
      </w:pPr>
    </w:p>
    <w:p>
      <w:pPr>
        <w:pStyle w:val="37"/>
        <w:rPr>
          <w:rFonts w:eastAsiaTheme="minorEastAsia"/>
          <w:color w:val="auto"/>
          <w:highlight w:val="none"/>
        </w:rPr>
      </w:pPr>
      <w:r>
        <w:rPr>
          <w:rFonts w:hint="eastAsia"/>
          <w:color w:val="auto"/>
          <w:highlight w:val="none"/>
        </w:rPr>
        <w:t>企业的业务性质和主要经营活动</w:t>
      </w:r>
    </w:p>
    <w:p>
      <w:pPr>
        <w:pStyle w:val="38"/>
        <w:rPr>
          <w:color w:val="auto"/>
          <w:highlight w:val="none"/>
        </w:rPr>
      </w:pPr>
      <w:r>
        <w:rPr>
          <w:rFonts w:hint="eastAsia"/>
          <w:color w:val="auto"/>
          <w:highlight w:val="none"/>
        </w:rPr>
        <w:t>公司经营范围：从事电力生产、供应、检修；电力建设、与其他产业的横向联合以及第三产业；电力物资的批零兼营；电力投资，投资业务（除金融和证券投资以外）。</w:t>
      </w:r>
    </w:p>
    <w:p>
      <w:pPr>
        <w:pStyle w:val="38"/>
        <w:rPr>
          <w:rFonts w:eastAsiaTheme="minorEastAsia"/>
          <w:color w:val="auto"/>
          <w:highlight w:val="none"/>
        </w:rPr>
      </w:pPr>
    </w:p>
    <w:p>
      <w:pPr>
        <w:pStyle w:val="37"/>
        <w:rPr>
          <w:color w:val="auto"/>
          <w:highlight w:val="none"/>
        </w:rPr>
      </w:pPr>
      <w:r>
        <w:rPr>
          <w:color w:val="auto"/>
          <w:highlight w:val="none"/>
        </w:rPr>
        <w:t>母公司</w:t>
      </w:r>
      <w:r>
        <w:rPr>
          <w:rFonts w:hint="eastAsia"/>
          <w:color w:val="auto"/>
          <w:highlight w:val="none"/>
        </w:rPr>
        <w:t>以及</w:t>
      </w:r>
      <w:r>
        <w:rPr>
          <w:color w:val="auto"/>
          <w:highlight w:val="none"/>
        </w:rPr>
        <w:t>集团总部的名称</w:t>
      </w:r>
    </w:p>
    <w:p>
      <w:pPr>
        <w:pStyle w:val="38"/>
        <w:rPr>
          <w:color w:val="auto"/>
          <w:highlight w:val="none"/>
        </w:rPr>
      </w:pPr>
      <w:r>
        <w:rPr>
          <w:rFonts w:hint="eastAsia"/>
          <w:color w:val="auto"/>
          <w:highlight w:val="none"/>
        </w:rPr>
        <w:t>本公司的母公司为国家电力投资集团有限公司。</w:t>
      </w:r>
    </w:p>
    <w:p>
      <w:pPr>
        <w:pStyle w:val="38"/>
        <w:rPr>
          <w:color w:val="auto"/>
          <w:highlight w:val="none"/>
        </w:rPr>
      </w:pPr>
    </w:p>
    <w:p>
      <w:pPr>
        <w:pStyle w:val="37"/>
        <w:rPr>
          <w:color w:val="auto"/>
          <w:highlight w:val="none"/>
        </w:rPr>
      </w:pPr>
      <w:r>
        <w:rPr>
          <w:rFonts w:hint="eastAsia"/>
          <w:color w:val="auto"/>
          <w:highlight w:val="none"/>
        </w:rPr>
        <w:t>财务报告的批准报出者和财务报告批准报出日</w:t>
      </w:r>
    </w:p>
    <w:p>
      <w:pPr>
        <w:pStyle w:val="38"/>
        <w:rPr>
          <w:color w:val="auto"/>
          <w:highlight w:val="none"/>
        </w:rPr>
      </w:pPr>
      <w:r>
        <w:rPr>
          <w:rFonts w:hint="eastAsia"/>
          <w:color w:val="auto"/>
          <w:highlight w:val="none"/>
        </w:rPr>
        <w:t>本公司财务报告经公司于2025年4月25日批准报出。</w:t>
      </w:r>
    </w:p>
    <w:p>
      <w:pPr>
        <w:pStyle w:val="38"/>
        <w:rPr>
          <w:color w:val="auto"/>
          <w:highlight w:val="none"/>
        </w:rPr>
      </w:pPr>
    </w:p>
    <w:p>
      <w:pPr>
        <w:pStyle w:val="37"/>
        <w:rPr>
          <w:color w:val="auto"/>
          <w:highlight w:val="none"/>
        </w:rPr>
      </w:pPr>
      <w:r>
        <w:rPr>
          <w:rFonts w:hint="eastAsia"/>
          <w:color w:val="auto"/>
          <w:highlight w:val="none"/>
        </w:rPr>
        <w:t>营业期限</w:t>
      </w:r>
    </w:p>
    <w:p>
      <w:pPr>
        <w:pStyle w:val="38"/>
        <w:rPr>
          <w:color w:val="auto"/>
          <w:highlight w:val="none"/>
        </w:rPr>
      </w:pPr>
      <w:r>
        <w:rPr>
          <w:rFonts w:hint="eastAsia"/>
          <w:color w:val="auto"/>
          <w:highlight w:val="none"/>
        </w:rPr>
        <w:t>本公司的营业期限为：2000年11月6日至无固定期限。</w:t>
      </w:r>
    </w:p>
    <w:p>
      <w:pPr>
        <w:pStyle w:val="38"/>
        <w:rPr>
          <w:rFonts w:eastAsiaTheme="minorEastAsia"/>
          <w:color w:val="auto"/>
          <w:highlight w:val="none"/>
        </w:rPr>
      </w:pPr>
    </w:p>
    <w:p>
      <w:pPr>
        <w:pStyle w:val="43"/>
        <w:rPr>
          <w:rFonts w:eastAsiaTheme="minorEastAsia"/>
          <w:color w:val="auto"/>
          <w:highlight w:val="none"/>
        </w:rPr>
      </w:pPr>
      <w:r>
        <w:rPr>
          <w:rFonts w:eastAsiaTheme="minorEastAsia"/>
          <w:color w:val="auto"/>
          <w:highlight w:val="none"/>
        </w:rPr>
        <w:t>财务报表的编制基础</w:t>
      </w:r>
    </w:p>
    <w:p>
      <w:pPr>
        <w:pStyle w:val="38"/>
        <w:rPr>
          <w:color w:val="auto"/>
          <w:highlight w:val="none"/>
        </w:rPr>
      </w:pPr>
      <w:r>
        <w:rPr>
          <w:color w:val="auto"/>
          <w:highlight w:val="none"/>
        </w:rPr>
        <w:t>本</w:t>
      </w:r>
      <w:r>
        <w:rPr>
          <w:rFonts w:hint="eastAsia"/>
          <w:color w:val="auto"/>
          <w:highlight w:val="none"/>
        </w:rPr>
        <w:t>财务</w:t>
      </w:r>
      <w:r>
        <w:rPr>
          <w:color w:val="auto"/>
          <w:highlight w:val="none"/>
        </w:rPr>
        <w:t>报表按照财政部颁布的《企业会计准则</w:t>
      </w:r>
      <w:r>
        <w:rPr>
          <w:rFonts w:hint="eastAsia"/>
          <w:color w:val="auto"/>
          <w:highlight w:val="none"/>
        </w:rPr>
        <w:t>——</w:t>
      </w:r>
      <w:r>
        <w:rPr>
          <w:color w:val="auto"/>
          <w:highlight w:val="none"/>
        </w:rPr>
        <w:t>基本准则》和</w:t>
      </w:r>
      <w:r>
        <w:rPr>
          <w:rFonts w:hint="eastAsia"/>
          <w:color w:val="auto"/>
          <w:highlight w:val="none"/>
        </w:rPr>
        <w:t>陆续颁布的各项</w:t>
      </w:r>
      <w:r>
        <w:rPr>
          <w:color w:val="auto"/>
          <w:highlight w:val="none"/>
        </w:rPr>
        <w:t>具体会计准则、企业会计准则应用指南、企业会计准则解释及其他相关规定</w:t>
      </w:r>
      <w:r>
        <w:rPr>
          <w:rFonts w:hint="eastAsia"/>
          <w:color w:val="auto"/>
          <w:highlight w:val="none"/>
        </w:rPr>
        <w:t>（以下合称</w:t>
      </w:r>
      <w:r>
        <w:rPr>
          <w:rFonts w:hint="eastAsia" w:ascii="宋体" w:hAnsi="宋体"/>
          <w:color w:val="auto"/>
          <w:highlight w:val="none"/>
        </w:rPr>
        <w:t>“</w:t>
      </w:r>
      <w:r>
        <w:rPr>
          <w:rFonts w:hint="eastAsia"/>
          <w:color w:val="auto"/>
          <w:highlight w:val="none"/>
        </w:rPr>
        <w:t>企业会计准则</w:t>
      </w:r>
      <w:r>
        <w:rPr>
          <w:rFonts w:hint="eastAsia" w:ascii="宋体" w:hAnsi="宋体"/>
          <w:color w:val="auto"/>
          <w:highlight w:val="none"/>
        </w:rPr>
        <w:t>”</w:t>
      </w:r>
      <w:r>
        <w:rPr>
          <w:rFonts w:hint="eastAsia"/>
          <w:color w:val="auto"/>
          <w:highlight w:val="none"/>
        </w:rPr>
        <w:t>）的相关规定编制。</w:t>
      </w:r>
    </w:p>
    <w:p>
      <w:pPr>
        <w:pStyle w:val="38"/>
        <w:rPr>
          <w:color w:val="auto"/>
          <w:highlight w:val="none"/>
        </w:rPr>
      </w:pPr>
      <w:r>
        <w:rPr>
          <w:color w:val="auto"/>
          <w:highlight w:val="none"/>
        </w:rPr>
        <w:t>本财务报表以持续经营为基础编制。</w:t>
      </w:r>
      <w:r>
        <w:rPr>
          <w:rFonts w:hint="eastAsia"/>
          <w:color w:val="auto"/>
          <w:highlight w:val="none"/>
        </w:rPr>
        <w:t>本公司自报告期末起12个月内具备持续经营能力，无影响持续经营能力的重大事项。</w:t>
      </w:r>
    </w:p>
    <w:p>
      <w:pPr>
        <w:pStyle w:val="38"/>
        <w:rPr>
          <w:color w:val="auto"/>
          <w:highlight w:val="none"/>
        </w:rPr>
      </w:pPr>
    </w:p>
    <w:p>
      <w:pPr>
        <w:pStyle w:val="43"/>
        <w:rPr>
          <w:color w:val="auto"/>
          <w:highlight w:val="none"/>
        </w:rPr>
      </w:pPr>
      <w:r>
        <w:rPr>
          <w:color w:val="auto"/>
          <w:highlight w:val="none"/>
        </w:rPr>
        <w:t>遵循企业会计准则的声明</w:t>
      </w:r>
    </w:p>
    <w:p>
      <w:pPr>
        <w:pStyle w:val="38"/>
        <w:rPr>
          <w:color w:val="auto"/>
          <w:highlight w:val="none"/>
        </w:rPr>
      </w:pPr>
      <w:r>
        <w:rPr>
          <w:color w:val="auto"/>
          <w:highlight w:val="none"/>
        </w:rPr>
        <w:t>本财务报表符合</w:t>
      </w:r>
      <w:r>
        <w:rPr>
          <w:rFonts w:hint="eastAsia"/>
          <w:color w:val="auto"/>
          <w:highlight w:val="none"/>
        </w:rPr>
        <w:t>财政部颁布的</w:t>
      </w:r>
      <w:r>
        <w:rPr>
          <w:color w:val="auto"/>
          <w:highlight w:val="none"/>
        </w:rPr>
        <w:t>企业会计准则的要求，真实、完整地反映了本公司</w:t>
      </w:r>
      <w:r>
        <w:rPr>
          <w:rFonts w:eastAsiaTheme="minorEastAsia"/>
          <w:color w:val="auto"/>
          <w:highlight w:val="none"/>
        </w:rPr>
        <w:fldChar w:fldCharType="begin"/>
      </w:r>
      <w:r>
        <w:rPr>
          <w:rFonts w:eastAsiaTheme="minorEastAsia"/>
          <w:color w:val="auto"/>
          <w:highlight w:val="none"/>
        </w:rPr>
        <w:instrText xml:space="preserve"> DOCVARIABLE  基本信息_资产负债表日  \* MERGEFORMAT </w:instrText>
      </w:r>
      <w:r>
        <w:rPr>
          <w:rFonts w:eastAsiaTheme="minorEastAsia"/>
          <w:color w:val="auto"/>
          <w:highlight w:val="none"/>
        </w:rPr>
        <w:fldChar w:fldCharType="separate"/>
      </w:r>
      <w:r>
        <w:rPr>
          <w:rFonts w:hint="eastAsia" w:eastAsiaTheme="minorEastAsia"/>
          <w:color w:val="auto"/>
          <w:highlight w:val="none"/>
        </w:rPr>
        <w:t>2024年12月31日</w:t>
      </w:r>
      <w:r>
        <w:rPr>
          <w:rFonts w:eastAsiaTheme="minorEastAsia"/>
          <w:color w:val="auto"/>
          <w:highlight w:val="none"/>
        </w:rPr>
        <w:fldChar w:fldCharType="end"/>
      </w:r>
      <w:r>
        <w:rPr>
          <w:color w:val="auto"/>
          <w:highlight w:val="none"/>
        </w:rPr>
        <w:t>的</w:t>
      </w:r>
      <w:r>
        <w:rPr>
          <w:rFonts w:hint="eastAsia"/>
          <w:color w:val="auto"/>
          <w:highlight w:val="none"/>
        </w:rPr>
        <w:t>合并及母公司</w:t>
      </w:r>
      <w:r>
        <w:rPr>
          <w:color w:val="auto"/>
          <w:highlight w:val="none"/>
        </w:rPr>
        <w:t>财务状况</w:t>
      </w:r>
      <w:r>
        <w:rPr>
          <w:rFonts w:hint="eastAsia"/>
          <w:color w:val="auto"/>
          <w:highlight w:val="none"/>
        </w:rPr>
        <w:t>以</w:t>
      </w:r>
      <w:r>
        <w:rPr>
          <w:color w:val="auto"/>
          <w:highlight w:val="none"/>
        </w:rPr>
        <w:t>及</w:t>
      </w:r>
      <w:r>
        <w:rPr>
          <w:rFonts w:eastAsiaTheme="minorEastAsia"/>
          <w:color w:val="auto"/>
          <w:highlight w:val="none"/>
        </w:rPr>
        <w:fldChar w:fldCharType="begin"/>
      </w:r>
      <w:r>
        <w:rPr>
          <w:rFonts w:eastAsiaTheme="minorEastAsia"/>
          <w:color w:val="auto"/>
          <w:highlight w:val="none"/>
        </w:rPr>
        <w:instrText xml:space="preserve"> DOCVARIABLE  基本信息_项目年度  \* MERGEFORMAT </w:instrText>
      </w:r>
      <w:r>
        <w:rPr>
          <w:rFonts w:eastAsiaTheme="minorEastAsia"/>
          <w:color w:val="auto"/>
          <w:highlight w:val="none"/>
        </w:rPr>
        <w:fldChar w:fldCharType="separate"/>
      </w:r>
      <w:r>
        <w:rPr>
          <w:rFonts w:hint="eastAsia" w:eastAsiaTheme="minorEastAsia"/>
          <w:color w:val="auto"/>
          <w:highlight w:val="none"/>
        </w:rPr>
        <w:t>2024年度</w:t>
      </w:r>
      <w:r>
        <w:rPr>
          <w:rFonts w:eastAsiaTheme="minorEastAsia"/>
          <w:color w:val="auto"/>
          <w:highlight w:val="none"/>
        </w:rPr>
        <w:fldChar w:fldCharType="end"/>
      </w:r>
      <w:r>
        <w:rPr>
          <w:rFonts w:hint="eastAsia"/>
          <w:color w:val="auto"/>
          <w:highlight w:val="none"/>
        </w:rPr>
        <w:t>合并及母公司</w:t>
      </w:r>
      <w:r>
        <w:rPr>
          <w:color w:val="auto"/>
          <w:highlight w:val="none"/>
        </w:rPr>
        <w:t>经营成果和现金流量。</w:t>
      </w:r>
    </w:p>
    <w:p>
      <w:pPr>
        <w:pStyle w:val="38"/>
        <w:rPr>
          <w:color w:val="auto"/>
          <w:highlight w:val="none"/>
        </w:rPr>
      </w:pPr>
    </w:p>
    <w:p>
      <w:pPr>
        <w:pStyle w:val="43"/>
        <w:rPr>
          <w:rFonts w:eastAsiaTheme="minorEastAsia"/>
          <w:color w:val="auto"/>
          <w:highlight w:val="none"/>
        </w:rPr>
      </w:pPr>
      <w:r>
        <w:rPr>
          <w:rFonts w:hint="eastAsia" w:eastAsiaTheme="minorEastAsia"/>
          <w:color w:val="auto"/>
          <w:highlight w:val="none"/>
        </w:rPr>
        <w:t>重要会计政策和会计估计</w:t>
      </w:r>
    </w:p>
    <w:p>
      <w:pPr>
        <w:pStyle w:val="38"/>
        <w:rPr>
          <w:color w:val="auto"/>
          <w:highlight w:val="none"/>
        </w:rPr>
      </w:pPr>
      <w:r>
        <w:rPr>
          <w:rFonts w:hint="eastAsia"/>
          <w:color w:val="auto"/>
          <w:highlight w:val="none"/>
        </w:rPr>
        <w:t>具体</w:t>
      </w:r>
      <w:r>
        <w:rPr>
          <w:color w:val="auto"/>
          <w:highlight w:val="none"/>
        </w:rPr>
        <w:t>会计政策和会计估计提示：</w:t>
      </w:r>
    </w:p>
    <w:p>
      <w:pPr>
        <w:pStyle w:val="38"/>
        <w:rPr>
          <w:color w:val="auto"/>
          <w:highlight w:val="none"/>
        </w:rPr>
      </w:pPr>
      <w:r>
        <w:rPr>
          <w:rFonts w:hint="eastAsia"/>
          <w:color w:val="auto"/>
          <w:highlight w:val="none"/>
        </w:rPr>
        <w:t>以下披露</w:t>
      </w:r>
      <w:r>
        <w:rPr>
          <w:color w:val="auto"/>
          <w:highlight w:val="none"/>
        </w:rPr>
        <w:t>内容</w:t>
      </w:r>
      <w:r>
        <w:rPr>
          <w:rFonts w:hint="eastAsia"/>
          <w:color w:val="auto"/>
          <w:highlight w:val="none"/>
        </w:rPr>
        <w:t>已涵盖了本公司根据实际生产经营特点制定的具体会计政策和会计估计。</w:t>
      </w:r>
    </w:p>
    <w:p>
      <w:pPr>
        <w:pStyle w:val="38"/>
        <w:spacing w:line="380" w:lineRule="atLeast"/>
        <w:rPr>
          <w:color w:val="auto"/>
          <w:highlight w:val="none"/>
        </w:rPr>
      </w:pPr>
    </w:p>
    <w:p>
      <w:pPr>
        <w:pStyle w:val="37"/>
        <w:spacing w:line="380" w:lineRule="atLeast"/>
        <w:rPr>
          <w:color w:val="auto"/>
          <w:highlight w:val="none"/>
        </w:rPr>
      </w:pPr>
      <w:r>
        <w:rPr>
          <w:color w:val="auto"/>
          <w:highlight w:val="none"/>
        </w:rPr>
        <w:t>会计期间</w:t>
      </w:r>
    </w:p>
    <w:p>
      <w:pPr>
        <w:pStyle w:val="38"/>
        <w:spacing w:line="380" w:lineRule="atLeast"/>
        <w:rPr>
          <w:color w:val="auto"/>
          <w:highlight w:val="none"/>
        </w:rPr>
      </w:pPr>
      <w:r>
        <w:rPr>
          <w:rFonts w:eastAsiaTheme="minorEastAsia"/>
          <w:color w:val="auto"/>
          <w:highlight w:val="none"/>
        </w:rPr>
        <w:t>自公历1月1日起至12月31日止为一个会计年度。</w:t>
      </w:r>
    </w:p>
    <w:p>
      <w:pPr>
        <w:pStyle w:val="38"/>
        <w:spacing w:line="380" w:lineRule="atLeast"/>
        <w:rPr>
          <w:rFonts w:eastAsiaTheme="minorEastAsia"/>
          <w:color w:val="auto"/>
          <w:highlight w:val="none"/>
        </w:rPr>
      </w:pPr>
    </w:p>
    <w:p>
      <w:pPr>
        <w:pStyle w:val="37"/>
        <w:spacing w:line="380" w:lineRule="atLeast"/>
        <w:rPr>
          <w:rFonts w:eastAsiaTheme="minorEastAsia"/>
          <w:color w:val="auto"/>
          <w:highlight w:val="none"/>
        </w:rPr>
      </w:pPr>
      <w:r>
        <w:rPr>
          <w:rFonts w:eastAsiaTheme="minorEastAsia"/>
          <w:color w:val="auto"/>
          <w:highlight w:val="none"/>
        </w:rPr>
        <w:t>记账本位币</w:t>
      </w:r>
    </w:p>
    <w:p>
      <w:pPr>
        <w:pStyle w:val="38"/>
        <w:spacing w:line="380" w:lineRule="atLeast"/>
        <w:rPr>
          <w:color w:val="auto"/>
          <w:highlight w:val="none"/>
        </w:rPr>
      </w:pPr>
      <w:r>
        <w:rPr>
          <w:color w:val="auto"/>
          <w:highlight w:val="none"/>
        </w:rPr>
        <w:t>本公司以人民币为记账本位币。</w:t>
      </w:r>
    </w:p>
    <w:p>
      <w:pPr>
        <w:pStyle w:val="38"/>
        <w:spacing w:line="380" w:lineRule="atLeast"/>
        <w:rPr>
          <w:color w:val="auto"/>
          <w:highlight w:val="none"/>
        </w:rPr>
      </w:pPr>
    </w:p>
    <w:p>
      <w:pPr>
        <w:pStyle w:val="37"/>
        <w:spacing w:line="380" w:lineRule="atLeast"/>
        <w:rPr>
          <w:rFonts w:eastAsiaTheme="minorEastAsia"/>
          <w:color w:val="auto"/>
          <w:highlight w:val="none"/>
        </w:rPr>
      </w:pPr>
      <w:r>
        <w:rPr>
          <w:color w:val="auto"/>
          <w:highlight w:val="none"/>
        </w:rPr>
        <w:t>记账基础和计价原则</w:t>
      </w:r>
    </w:p>
    <w:p>
      <w:pPr>
        <w:pStyle w:val="38"/>
        <w:spacing w:line="380" w:lineRule="atLeast"/>
        <w:rPr>
          <w:rFonts w:hint="eastAsia"/>
          <w:color w:val="auto"/>
          <w:highlight w:val="none"/>
        </w:rPr>
      </w:pPr>
      <w:r>
        <w:rPr>
          <w:color w:val="auto"/>
          <w:highlight w:val="none"/>
        </w:rPr>
        <w:t>会计核算以权责发生制为基础，除特别说明的计价基础外，均以历史成本为计价原则。</w:t>
      </w:r>
    </w:p>
    <w:p>
      <w:pPr>
        <w:pStyle w:val="38"/>
        <w:spacing w:line="380" w:lineRule="atLeast"/>
        <w:rPr>
          <w:color w:val="auto"/>
          <w:highlight w:val="none"/>
        </w:rPr>
      </w:pPr>
    </w:p>
    <w:p>
      <w:pPr>
        <w:pStyle w:val="37"/>
        <w:spacing w:line="380" w:lineRule="atLeast"/>
        <w:rPr>
          <w:rFonts w:eastAsiaTheme="minorEastAsia"/>
          <w:color w:val="auto"/>
          <w:highlight w:val="none"/>
        </w:rPr>
      </w:pPr>
      <w:r>
        <w:rPr>
          <w:rFonts w:hint="eastAsia" w:eastAsiaTheme="minorEastAsia"/>
          <w:color w:val="auto"/>
          <w:highlight w:val="none"/>
        </w:rPr>
        <w:t>企业合并</w:t>
      </w:r>
    </w:p>
    <w:p>
      <w:pPr>
        <w:pStyle w:val="38"/>
        <w:spacing w:line="380" w:lineRule="atLeast"/>
        <w:rPr>
          <w:color w:val="auto"/>
          <w:highlight w:val="none"/>
        </w:rPr>
      </w:pPr>
      <w:r>
        <w:rPr>
          <w:rFonts w:hint="eastAsia"/>
          <w:color w:val="auto"/>
          <w:highlight w:val="none"/>
        </w:rPr>
        <w:t>企业合并分为同一控制下的企业合并和非同一控制下的企业合并。</w:t>
      </w:r>
    </w:p>
    <w:p>
      <w:pPr>
        <w:pStyle w:val="44"/>
        <w:spacing w:line="380" w:lineRule="atLeast"/>
        <w:rPr>
          <w:color w:val="auto"/>
          <w:highlight w:val="none"/>
        </w:rPr>
      </w:pPr>
      <w:r>
        <w:rPr>
          <w:rFonts w:hint="eastAsia"/>
          <w:color w:val="auto"/>
          <w:highlight w:val="none"/>
        </w:rPr>
        <w:t>同一控制下的企业合并</w:t>
      </w:r>
    </w:p>
    <w:p>
      <w:pPr>
        <w:pStyle w:val="35"/>
        <w:spacing w:line="380" w:lineRule="atLeast"/>
        <w:rPr>
          <w:color w:val="auto"/>
          <w:highlight w:val="none"/>
        </w:rPr>
      </w:pPr>
      <w:r>
        <w:rPr>
          <w:rFonts w:hint="eastAsia"/>
          <w:color w:val="auto"/>
          <w:highlight w:val="none"/>
        </w:rPr>
        <w:t>合并方在企业合并中取得的资产和负债（包括最终控制方收购被合并方而形成的商誉），按照合并日被合并方的资产和负债在最终控制方财务报表中的账面价值为基础计量。被合并各方采用的会计政策与合并方不一致的，合并方在合并日按照本公司会计政策进行调整，在此基础上按照调整后的账面价值确认。</w:t>
      </w:r>
    </w:p>
    <w:p>
      <w:pPr>
        <w:pStyle w:val="35"/>
        <w:spacing w:line="380" w:lineRule="atLeast"/>
        <w:rPr>
          <w:color w:val="auto"/>
          <w:highlight w:val="none"/>
        </w:rPr>
      </w:pPr>
      <w:r>
        <w:rPr>
          <w:rFonts w:hint="eastAsia"/>
          <w:color w:val="auto"/>
          <w:highlight w:val="none"/>
        </w:rPr>
        <w:t>在合并中取得的净资产账面价值与支付的合并对价账面价值（或发行股份面值总额）的差额，调整资本公积中的股本溢价，资本公积中的股本溢价不足冲减的，调整留存收益。</w:t>
      </w:r>
    </w:p>
    <w:p>
      <w:pPr>
        <w:pStyle w:val="35"/>
        <w:spacing w:line="380" w:lineRule="atLeast"/>
        <w:rPr>
          <w:color w:val="auto"/>
          <w:highlight w:val="none"/>
        </w:rPr>
      </w:pPr>
      <w:r>
        <w:rPr>
          <w:rFonts w:hint="eastAsia"/>
          <w:color w:val="auto"/>
          <w:highlight w:val="none"/>
        </w:rPr>
        <w:t>为进行企业合并而发生的各项直接相关费用于发生时计入当期损益。</w:t>
      </w:r>
    </w:p>
    <w:p>
      <w:pPr>
        <w:pStyle w:val="35"/>
        <w:spacing w:line="380" w:lineRule="atLeast"/>
        <w:rPr>
          <w:color w:val="auto"/>
          <w:highlight w:val="none"/>
        </w:rPr>
      </w:pPr>
      <w:r>
        <w:rPr>
          <w:rFonts w:hint="eastAsia"/>
          <w:color w:val="auto"/>
          <w:highlight w:val="none"/>
        </w:rPr>
        <w:t>为企业合并发行的债券或承担其他债务支付的手续费、佣金等，计入所发行债券及其他债务的初始计量金额。企业合并中发行权益性证券发生的手续费、佣金等，抵减权益性证券溢价收入，溢价收入不足冲减的，冲减留存收益。</w:t>
      </w:r>
    </w:p>
    <w:p>
      <w:pPr>
        <w:pStyle w:val="35"/>
        <w:spacing w:line="380" w:lineRule="atLeast"/>
        <w:rPr>
          <w:color w:val="auto"/>
          <w:highlight w:val="none"/>
        </w:rPr>
      </w:pPr>
    </w:p>
    <w:p>
      <w:pPr>
        <w:pStyle w:val="44"/>
        <w:spacing w:line="380" w:lineRule="atLeast"/>
        <w:rPr>
          <w:color w:val="auto"/>
          <w:highlight w:val="none"/>
        </w:rPr>
      </w:pPr>
      <w:r>
        <w:rPr>
          <w:rFonts w:hint="eastAsia"/>
          <w:color w:val="auto"/>
          <w:highlight w:val="none"/>
        </w:rPr>
        <w:t>非同一控制下的企业合并</w:t>
      </w:r>
    </w:p>
    <w:p>
      <w:pPr>
        <w:pStyle w:val="35"/>
        <w:spacing w:line="380" w:lineRule="atLeast"/>
        <w:rPr>
          <w:rFonts w:eastAsiaTheme="minorEastAsia"/>
          <w:color w:val="auto"/>
          <w:highlight w:val="none"/>
        </w:rPr>
      </w:pPr>
      <w:r>
        <w:rPr>
          <w:rFonts w:hint="eastAsia" w:eastAsiaTheme="minorEastAsia"/>
          <w:color w:val="auto"/>
          <w:highlight w:val="none"/>
        </w:rPr>
        <w:t>购买方在购买日对作为企业合并对价付出的资产、发生或承担的负债按照公允价值计量，公允价值与其账面价值的差额，计入当期损益。合并成本大于合并中取得的被购买方可辨认净资产公允价值份额的差额，确认为商誉；合并成本小于合并中取得的被购买方可辨认净资产公允价值份额的差额，计入当期损益。在合并中取得的被购买方符合确认条件的各项可辨认资产、负债及或有负债在购买日按公允价值计量。公允价值的计量详见</w:t>
      </w:r>
      <w:r>
        <w:rPr>
          <w:rFonts w:hint="eastAsia"/>
          <w:color w:val="auto"/>
          <w:highlight w:val="none"/>
        </w:rPr>
        <w:t>本附注</w:t>
      </w:r>
      <w:r>
        <w:rPr>
          <w:rFonts w:hint="eastAsia" w:ascii="宋体" w:hAnsi="宋体"/>
          <w:color w:val="auto"/>
          <w:highlight w:val="none"/>
        </w:rPr>
        <w:t>“</w:t>
      </w:r>
      <w:r>
        <w:rPr>
          <w:rFonts w:hint="eastAsia"/>
          <w:color w:val="auto"/>
          <w:highlight w:val="none"/>
        </w:rPr>
        <w:t>四、（三十）公允价值计量</w:t>
      </w:r>
      <w:r>
        <w:rPr>
          <w:rFonts w:hint="eastAsia" w:ascii="宋体" w:hAnsi="宋体"/>
          <w:color w:val="auto"/>
          <w:highlight w:val="none"/>
        </w:rPr>
        <w:t>”。</w:t>
      </w:r>
    </w:p>
    <w:p>
      <w:pPr>
        <w:pStyle w:val="35"/>
        <w:rPr>
          <w:rFonts w:eastAsiaTheme="minorEastAsia"/>
          <w:color w:val="auto"/>
          <w:highlight w:val="none"/>
        </w:rPr>
      </w:pPr>
      <w:r>
        <w:rPr>
          <w:rFonts w:hint="eastAsia" w:eastAsiaTheme="minorEastAsia"/>
          <w:color w:val="auto"/>
          <w:highlight w:val="none"/>
        </w:rPr>
        <w:t>非同一控制下企业合并，购买方为企业合并发生的直接相关费用于发生时计入当期损益；为企业合并而发行权益性证券或债务性证券的交易费用，计入权益性证券或债务性证券的初始确认金额。</w:t>
      </w:r>
    </w:p>
    <w:p>
      <w:pPr>
        <w:pStyle w:val="35"/>
        <w:rPr>
          <w:rFonts w:eastAsiaTheme="minorEastAsia"/>
          <w:color w:val="auto"/>
          <w:highlight w:val="none"/>
        </w:rPr>
      </w:pPr>
    </w:p>
    <w:p>
      <w:pPr>
        <w:pStyle w:val="35"/>
        <w:rPr>
          <w:rFonts w:eastAsiaTheme="minorEastAsia"/>
          <w:b/>
          <w:color w:val="auto"/>
          <w:highlight w:val="none"/>
        </w:rPr>
      </w:pPr>
      <w:r>
        <w:rPr>
          <w:rFonts w:hint="eastAsia" w:eastAsiaTheme="minorEastAsia"/>
          <w:color w:val="auto"/>
          <w:highlight w:val="none"/>
        </w:rPr>
        <w:t>购买日，是指购买方实际取得对被购买方控制权的日期。</w:t>
      </w:r>
    </w:p>
    <w:p>
      <w:pPr>
        <w:pStyle w:val="35"/>
        <w:rPr>
          <w:rFonts w:eastAsiaTheme="minorEastAsia"/>
          <w:color w:val="auto"/>
          <w:highlight w:val="none"/>
        </w:rPr>
      </w:pPr>
      <w:r>
        <w:rPr>
          <w:rFonts w:hint="eastAsia" w:eastAsiaTheme="minorEastAsia"/>
          <w:color w:val="auto"/>
          <w:highlight w:val="none"/>
        </w:rPr>
        <w:t>同时满足以下条件的，通常可以判断实现了控制权的转移：</w:t>
      </w:r>
    </w:p>
    <w:p>
      <w:pPr>
        <w:pStyle w:val="35"/>
        <w:rPr>
          <w:rFonts w:eastAsiaTheme="minorEastAsia"/>
          <w:color w:val="auto"/>
          <w:highlight w:val="none"/>
        </w:rPr>
      </w:pPr>
      <w:r>
        <w:rPr>
          <w:rFonts w:hint="eastAsia" w:eastAsiaTheme="minorEastAsia"/>
          <w:color w:val="auto"/>
          <w:highlight w:val="none"/>
        </w:rPr>
        <w:t>1）</w:t>
      </w:r>
      <w:r>
        <w:rPr>
          <w:rFonts w:hint="eastAsia" w:eastAsiaTheme="minorEastAsia"/>
          <w:color w:val="auto"/>
          <w:highlight w:val="none"/>
        </w:rPr>
        <w:tab/>
      </w:r>
      <w:r>
        <w:rPr>
          <w:rFonts w:hint="eastAsia" w:eastAsiaTheme="minorEastAsia"/>
          <w:color w:val="auto"/>
          <w:highlight w:val="none"/>
        </w:rPr>
        <w:t>企业合并合同或协议已获股东大会等内部权力机构审批通过；</w:t>
      </w:r>
    </w:p>
    <w:p>
      <w:pPr>
        <w:pStyle w:val="35"/>
        <w:rPr>
          <w:rFonts w:eastAsiaTheme="minorEastAsia"/>
          <w:color w:val="auto"/>
          <w:highlight w:val="none"/>
        </w:rPr>
      </w:pPr>
      <w:r>
        <w:rPr>
          <w:rFonts w:hint="eastAsia" w:eastAsiaTheme="minorEastAsia"/>
          <w:color w:val="auto"/>
          <w:highlight w:val="none"/>
        </w:rPr>
        <w:t>2）</w:t>
      </w:r>
      <w:r>
        <w:rPr>
          <w:rFonts w:hint="eastAsia" w:eastAsiaTheme="minorEastAsia"/>
          <w:color w:val="auto"/>
          <w:highlight w:val="none"/>
        </w:rPr>
        <w:tab/>
      </w:r>
      <w:r>
        <w:rPr>
          <w:rFonts w:hint="eastAsia" w:eastAsiaTheme="minorEastAsia"/>
          <w:color w:val="auto"/>
          <w:highlight w:val="none"/>
        </w:rPr>
        <w:t>企业合并事项需经国家有关主管部门审批的，已获得批准；</w:t>
      </w:r>
    </w:p>
    <w:p>
      <w:pPr>
        <w:pStyle w:val="35"/>
        <w:rPr>
          <w:rFonts w:eastAsiaTheme="minorEastAsia"/>
          <w:color w:val="auto"/>
          <w:highlight w:val="none"/>
        </w:rPr>
      </w:pPr>
      <w:r>
        <w:rPr>
          <w:rFonts w:hint="eastAsia" w:eastAsiaTheme="minorEastAsia"/>
          <w:color w:val="auto"/>
          <w:highlight w:val="none"/>
        </w:rPr>
        <w:t>3）</w:t>
      </w:r>
      <w:r>
        <w:rPr>
          <w:rFonts w:hint="eastAsia" w:eastAsiaTheme="minorEastAsia"/>
          <w:color w:val="auto"/>
          <w:highlight w:val="none"/>
        </w:rPr>
        <w:tab/>
      </w:r>
      <w:r>
        <w:rPr>
          <w:rFonts w:hint="eastAsia" w:eastAsiaTheme="minorEastAsia"/>
          <w:color w:val="auto"/>
          <w:highlight w:val="none"/>
        </w:rPr>
        <w:t>参与合并各方已办理了必要的财产权交接手续；</w:t>
      </w:r>
    </w:p>
    <w:p>
      <w:pPr>
        <w:pStyle w:val="35"/>
        <w:rPr>
          <w:rFonts w:eastAsiaTheme="minorEastAsia"/>
          <w:color w:val="auto"/>
          <w:highlight w:val="none"/>
        </w:rPr>
      </w:pPr>
      <w:r>
        <w:rPr>
          <w:rFonts w:hint="eastAsia" w:eastAsiaTheme="minorEastAsia"/>
          <w:color w:val="auto"/>
          <w:highlight w:val="none"/>
        </w:rPr>
        <w:t>4）</w:t>
      </w:r>
      <w:r>
        <w:rPr>
          <w:rFonts w:hint="eastAsia" w:eastAsiaTheme="minorEastAsia"/>
          <w:color w:val="auto"/>
          <w:highlight w:val="none"/>
        </w:rPr>
        <w:tab/>
      </w:r>
      <w:r>
        <w:rPr>
          <w:rFonts w:hint="eastAsia" w:eastAsiaTheme="minorEastAsia"/>
          <w:color w:val="auto"/>
          <w:highlight w:val="none"/>
        </w:rPr>
        <w:t>购买方已支付了合并价款的大部分（一般超过50%），并有能力、有计划支付剩余款项；</w:t>
      </w:r>
    </w:p>
    <w:p>
      <w:pPr>
        <w:pStyle w:val="35"/>
        <w:rPr>
          <w:rFonts w:eastAsiaTheme="minorEastAsia"/>
          <w:color w:val="auto"/>
          <w:highlight w:val="none"/>
        </w:rPr>
      </w:pPr>
      <w:r>
        <w:rPr>
          <w:rFonts w:hint="eastAsia" w:eastAsiaTheme="minorEastAsia"/>
          <w:color w:val="auto"/>
          <w:highlight w:val="none"/>
        </w:rPr>
        <w:t>5）</w:t>
      </w:r>
      <w:r>
        <w:rPr>
          <w:rFonts w:hint="eastAsia" w:eastAsiaTheme="minorEastAsia"/>
          <w:color w:val="auto"/>
          <w:highlight w:val="none"/>
        </w:rPr>
        <w:tab/>
      </w:r>
      <w:r>
        <w:rPr>
          <w:rFonts w:hint="eastAsia" w:eastAsiaTheme="minorEastAsia"/>
          <w:color w:val="auto"/>
          <w:highlight w:val="none"/>
        </w:rPr>
        <w:t>购买方实际上已经控制了被购买方的财务和经营政策，并享有相应的收益、承担相应的风险。</w:t>
      </w:r>
    </w:p>
    <w:p>
      <w:pPr>
        <w:pStyle w:val="35"/>
        <w:rPr>
          <w:rFonts w:eastAsiaTheme="minorEastAsia"/>
          <w:color w:val="auto"/>
          <w:highlight w:val="none"/>
        </w:rPr>
      </w:pPr>
      <w:r>
        <w:rPr>
          <w:rFonts w:hint="eastAsia" w:eastAsiaTheme="minorEastAsia"/>
          <w:color w:val="auto"/>
          <w:highlight w:val="none"/>
        </w:rPr>
        <w:t>出售日的确定方法：一般判断交易完成后，丧失控制权时点为出售日时点。</w:t>
      </w:r>
    </w:p>
    <w:p>
      <w:pPr>
        <w:pStyle w:val="35"/>
        <w:rPr>
          <w:rFonts w:eastAsiaTheme="minorEastAsia"/>
          <w:color w:val="auto"/>
          <w:highlight w:val="none"/>
        </w:rPr>
      </w:pPr>
    </w:p>
    <w:p>
      <w:pPr>
        <w:pStyle w:val="37"/>
        <w:rPr>
          <w:rFonts w:eastAsiaTheme="minorEastAsia"/>
          <w:color w:val="auto"/>
          <w:highlight w:val="none"/>
        </w:rPr>
      </w:pPr>
      <w:r>
        <w:rPr>
          <w:color w:val="auto"/>
          <w:highlight w:val="none"/>
        </w:rPr>
        <w:t>合并财务报表的编制方法</w:t>
      </w:r>
    </w:p>
    <w:p>
      <w:pPr>
        <w:pStyle w:val="44"/>
        <w:rPr>
          <w:color w:val="auto"/>
          <w:highlight w:val="none"/>
        </w:rPr>
      </w:pPr>
      <w:r>
        <w:rPr>
          <w:rFonts w:hint="eastAsia"/>
          <w:color w:val="auto"/>
          <w:highlight w:val="none"/>
        </w:rPr>
        <w:t>合并范围</w:t>
      </w:r>
    </w:p>
    <w:p>
      <w:pPr>
        <w:pStyle w:val="35"/>
        <w:rPr>
          <w:color w:val="auto"/>
          <w:highlight w:val="none"/>
        </w:rPr>
      </w:pPr>
      <w:r>
        <w:rPr>
          <w:rFonts w:hint="eastAsia"/>
          <w:color w:val="auto"/>
          <w:highlight w:val="none"/>
        </w:rPr>
        <w:t>合并财务报表的合并范围以控制为基础确定，合并范围包括本公司及本集团全部子公司。</w:t>
      </w:r>
    </w:p>
    <w:p>
      <w:pPr>
        <w:pStyle w:val="35"/>
        <w:rPr>
          <w:color w:val="auto"/>
          <w:highlight w:val="none"/>
        </w:rPr>
      </w:pPr>
      <w:r>
        <w:rPr>
          <w:rFonts w:hint="eastAsia"/>
          <w:color w:val="auto"/>
          <w:highlight w:val="none"/>
        </w:rPr>
        <w:t>控制，是指本公司拥有对被投资方的权力，通过参与被投资方的相关活动而享有可变回报，并且有能力运用对被投资方的权力影响其回报金额。</w:t>
      </w:r>
    </w:p>
    <w:p>
      <w:pPr>
        <w:pStyle w:val="35"/>
        <w:rPr>
          <w:color w:val="auto"/>
          <w:highlight w:val="none"/>
        </w:rPr>
      </w:pPr>
    </w:p>
    <w:p>
      <w:pPr>
        <w:pStyle w:val="44"/>
        <w:rPr>
          <w:color w:val="auto"/>
          <w:highlight w:val="none"/>
        </w:rPr>
      </w:pPr>
      <w:r>
        <w:rPr>
          <w:rFonts w:hint="eastAsia"/>
          <w:color w:val="auto"/>
          <w:highlight w:val="none"/>
        </w:rPr>
        <w:t>合并程序</w:t>
      </w:r>
    </w:p>
    <w:p>
      <w:pPr>
        <w:pStyle w:val="35"/>
        <w:rPr>
          <w:color w:val="auto"/>
          <w:highlight w:val="none"/>
        </w:rPr>
      </w:pPr>
      <w:r>
        <w:rPr>
          <w:rFonts w:hint="eastAsia"/>
          <w:color w:val="auto"/>
          <w:highlight w:val="none"/>
        </w:rPr>
        <w:t>本公司将整个企业集团视为一个会计主体，按照统一的会计政策编制合并财务报表，反映本企业集团整体财务状况、经营成果和现金流量。</w:t>
      </w:r>
      <w:r>
        <w:rPr>
          <w:rFonts w:hint="eastAsia" w:eastAsiaTheme="minorEastAsia"/>
          <w:color w:val="auto"/>
          <w:highlight w:val="none"/>
        </w:rPr>
        <w:t>本公司与子公司、子公司相互之间发生的内部交易的影响予以抵销。内部交易表明相关资产发生减值损失的，全额确认该部分损失。</w:t>
      </w:r>
    </w:p>
    <w:p>
      <w:pPr>
        <w:pStyle w:val="35"/>
        <w:rPr>
          <w:color w:val="auto"/>
          <w:highlight w:val="none"/>
        </w:rPr>
      </w:pPr>
      <w:r>
        <w:rPr>
          <w:rFonts w:hint="eastAsia"/>
          <w:color w:val="auto"/>
          <w:highlight w:val="none"/>
        </w:rPr>
        <w:t>如子公司采用的会计政策、会计期间与本公司不一致的，在编制合并财务报表时，按本公司的会计政策、会计期间进行必要的调整。</w:t>
      </w:r>
    </w:p>
    <w:p>
      <w:pPr>
        <w:pStyle w:val="35"/>
        <w:rPr>
          <w:rFonts w:hint="eastAsia"/>
          <w:color w:val="auto"/>
          <w:highlight w:val="none"/>
        </w:rPr>
      </w:pPr>
      <w:r>
        <w:rPr>
          <w:rFonts w:hint="eastAsia"/>
          <w:color w:val="auto"/>
          <w:highlight w:val="none"/>
        </w:rPr>
        <w:t>子公司所有者权益、当期净损益和当期综合收益中属于少数股东的份额分别在合并资产负债表中所有者权益项目下、合并利润表中净利润项目下和综合收益总额项目下单独列示。子公司少数股东分担的当期亏损超过了少数股东在该子公司期初所有者权益中所享有份额而形成的余额，冲减少数股东权益。</w:t>
      </w:r>
    </w:p>
    <w:p>
      <w:pPr>
        <w:pStyle w:val="35"/>
        <w:rPr>
          <w:color w:val="auto"/>
          <w:highlight w:val="none"/>
        </w:rPr>
      </w:pPr>
    </w:p>
    <w:p>
      <w:pPr>
        <w:pStyle w:val="38"/>
        <w:rPr>
          <w:color w:val="auto"/>
          <w:highlight w:val="none"/>
        </w:rPr>
      </w:pPr>
      <w:r>
        <w:rPr>
          <w:rFonts w:hint="eastAsia"/>
          <w:color w:val="auto"/>
          <w:highlight w:val="none"/>
        </w:rPr>
        <w:t>（1）增加子公司或业务</w:t>
      </w:r>
    </w:p>
    <w:p>
      <w:pPr>
        <w:pStyle w:val="35"/>
        <w:rPr>
          <w:color w:val="auto"/>
          <w:highlight w:val="none"/>
        </w:rPr>
      </w:pPr>
      <w:r>
        <w:rPr>
          <w:rFonts w:hint="eastAsia"/>
          <w:color w:val="auto"/>
          <w:highlight w:val="none"/>
        </w:rPr>
        <w:t>在报告期内，因同一控制下企业合并增加子公司或业务的，将子公司或业务合并当期期初至报告期末的经营成果和现金流量纳入合并财务报表，同时对合并财务报表的期初数和比较报表的相关项目进行调整，视同合并后的报告主体自最终控制方开始控制时点起一直存在。</w:t>
      </w:r>
    </w:p>
    <w:p>
      <w:pPr>
        <w:pStyle w:val="35"/>
        <w:rPr>
          <w:color w:val="auto"/>
          <w:highlight w:val="none"/>
        </w:rPr>
      </w:pPr>
      <w:r>
        <w:rPr>
          <w:rFonts w:hint="eastAsia"/>
          <w:color w:val="auto"/>
          <w:highlight w:val="none"/>
        </w:rPr>
        <w:t>因追加投资等原因能够对同一控制下的被投资方实施控制的，在取得被合并方控制权之前持有的股权投资，在取得原股权之日与合并方和被合并方同处于同一控制之日孰晚日起至合并日之间已确认有关损益、其他综合收益以及其他净资产变动，分别冲减比较报表期间的期初留存收益或当期损益。</w:t>
      </w:r>
    </w:p>
    <w:p>
      <w:pPr>
        <w:pStyle w:val="35"/>
        <w:rPr>
          <w:color w:val="auto"/>
          <w:highlight w:val="none"/>
        </w:rPr>
      </w:pPr>
      <w:r>
        <w:rPr>
          <w:rFonts w:hint="eastAsia"/>
          <w:color w:val="auto"/>
          <w:highlight w:val="none"/>
        </w:rPr>
        <w:t>在报告期内，因非同一控制下企业合并增加子公司或业务的，</w:t>
      </w:r>
      <w:r>
        <w:rPr>
          <w:rFonts w:eastAsiaTheme="minorEastAsia"/>
          <w:color w:val="auto"/>
          <w:highlight w:val="none"/>
        </w:rPr>
        <w:t>以购买日</w:t>
      </w:r>
      <w:r>
        <w:rPr>
          <w:rFonts w:hint="eastAsia" w:eastAsiaTheme="minorEastAsia"/>
          <w:color w:val="auto"/>
          <w:highlight w:val="none"/>
        </w:rPr>
        <w:t>确定的各项</w:t>
      </w:r>
      <w:r>
        <w:rPr>
          <w:rFonts w:eastAsiaTheme="minorEastAsia"/>
          <w:color w:val="auto"/>
          <w:highlight w:val="none"/>
        </w:rPr>
        <w:t>可辨认资产</w:t>
      </w:r>
      <w:r>
        <w:rPr>
          <w:rFonts w:hint="eastAsia" w:eastAsiaTheme="minorEastAsia"/>
          <w:color w:val="auto"/>
          <w:highlight w:val="none"/>
        </w:rPr>
        <w:t>、负债及或有负债的</w:t>
      </w:r>
      <w:r>
        <w:rPr>
          <w:rFonts w:eastAsiaTheme="minorEastAsia"/>
          <w:color w:val="auto"/>
          <w:highlight w:val="none"/>
        </w:rPr>
        <w:t>公允价值为基础</w:t>
      </w:r>
      <w:r>
        <w:rPr>
          <w:rFonts w:hint="eastAsia" w:eastAsiaTheme="minorEastAsia"/>
          <w:color w:val="auto"/>
          <w:highlight w:val="none"/>
        </w:rPr>
        <w:t>自购买日起纳入合并财务报表</w:t>
      </w:r>
      <w:r>
        <w:rPr>
          <w:rFonts w:hint="eastAsia"/>
          <w:color w:val="auto"/>
          <w:highlight w:val="none"/>
        </w:rPr>
        <w:t>。</w:t>
      </w:r>
    </w:p>
    <w:p>
      <w:pPr>
        <w:pStyle w:val="35"/>
        <w:rPr>
          <w:color w:val="auto"/>
          <w:highlight w:val="none"/>
        </w:rPr>
      </w:pPr>
      <w:r>
        <w:rPr>
          <w:rFonts w:hint="eastAsia"/>
          <w:color w:val="auto"/>
          <w:highlight w:val="none"/>
        </w:rPr>
        <w:t>因追加投资等原因能够对非同一控制下的被投资方实施控制的，对于购买日之前持有的被购买方的股权，按照该股权在购买日的公允价值进行重新计量，公允价值与其账面价值的差额计入当期投资收益。购买日之前持有的被购买方的股权涉及的以后可重分类进损益的其他综合收益、权益法核算下的其他所有者权益变动转为购买日所属当期投资收益。</w:t>
      </w:r>
    </w:p>
    <w:p>
      <w:pPr>
        <w:pStyle w:val="38"/>
        <w:rPr>
          <w:color w:val="auto"/>
          <w:highlight w:val="none"/>
        </w:rPr>
      </w:pPr>
      <w:r>
        <w:rPr>
          <w:rFonts w:hint="eastAsia"/>
          <w:color w:val="auto"/>
          <w:highlight w:val="none"/>
        </w:rPr>
        <w:t>（2）处置子公司</w:t>
      </w:r>
    </w:p>
    <w:p>
      <w:pPr>
        <w:pStyle w:val="35"/>
        <w:rPr>
          <w:color w:val="auto"/>
          <w:highlight w:val="none"/>
        </w:rPr>
      </w:pPr>
      <w:r>
        <w:rPr>
          <w:rFonts w:hint="eastAsia"/>
          <w:color w:val="auto"/>
          <w:highlight w:val="none"/>
        </w:rPr>
        <w:t>①一般处理方法</w:t>
      </w:r>
    </w:p>
    <w:p>
      <w:pPr>
        <w:pStyle w:val="35"/>
        <w:rPr>
          <w:color w:val="auto"/>
          <w:highlight w:val="none"/>
        </w:rPr>
      </w:pPr>
      <w:r>
        <w:rPr>
          <w:rFonts w:hint="eastAsia"/>
          <w:color w:val="auto"/>
          <w:highlight w:val="none"/>
        </w:rPr>
        <w:t>因处置部分股权投资或其他原因丧失了对被投资方控制权时，对于处置后的剩余股权投资，按照其在丧失控制权日的公允价值进行重新计量。处置股权取得的对价与剩余股权公允价值之和，减去按原持股比例计算应享有原有子公司自购买日或合并日开始持续计算的净资产的份额与商誉之和的差额，计入丧失控制权当期的投资收益。与原有子公司股权投资相关的以后可重分类进损益的其他综合收益、权益法核算下的其他所有者权益变动，在丧失控制权时转为当期投资收益。</w:t>
      </w:r>
    </w:p>
    <w:p>
      <w:pPr>
        <w:pStyle w:val="35"/>
        <w:rPr>
          <w:color w:val="auto"/>
          <w:highlight w:val="none"/>
        </w:rPr>
      </w:pPr>
      <w:r>
        <w:rPr>
          <w:rFonts w:hint="eastAsia"/>
          <w:color w:val="auto"/>
          <w:highlight w:val="none"/>
        </w:rPr>
        <w:t>②分步处置子公司</w:t>
      </w:r>
    </w:p>
    <w:p>
      <w:pPr>
        <w:pStyle w:val="35"/>
        <w:rPr>
          <w:color w:val="auto"/>
          <w:highlight w:val="none"/>
        </w:rPr>
      </w:pPr>
      <w:r>
        <w:rPr>
          <w:rFonts w:hint="eastAsia"/>
          <w:color w:val="auto"/>
          <w:highlight w:val="none"/>
        </w:rPr>
        <w:t>通过多次交易分步处置对子公司股权投资直至丧失控制权的，处置对子公司股权投资的各项交易的条款、条件以及经济影响符合以下一种或多种情况，通常表明该多次交易事项为一揽子交易：</w:t>
      </w:r>
    </w:p>
    <w:p>
      <w:pPr>
        <w:pStyle w:val="35"/>
        <w:rPr>
          <w:color w:val="auto"/>
          <w:highlight w:val="none"/>
        </w:rPr>
      </w:pPr>
      <w:r>
        <w:rPr>
          <w:rFonts w:hint="eastAsia"/>
          <w:color w:val="auto"/>
          <w:highlight w:val="none"/>
        </w:rPr>
        <w:t>ⅰ．这些交易是同时或者在考虑了彼此影响的情况下订立的；</w:t>
      </w:r>
    </w:p>
    <w:p>
      <w:pPr>
        <w:pStyle w:val="35"/>
        <w:rPr>
          <w:color w:val="auto"/>
          <w:highlight w:val="none"/>
        </w:rPr>
      </w:pPr>
      <w:r>
        <w:rPr>
          <w:rFonts w:hint="eastAsia"/>
          <w:color w:val="auto"/>
          <w:highlight w:val="none"/>
        </w:rPr>
        <w:t>ⅱ．这些交易整体才能达成一项完整的商业结果；</w:t>
      </w:r>
    </w:p>
    <w:p>
      <w:pPr>
        <w:pStyle w:val="35"/>
        <w:rPr>
          <w:color w:val="auto"/>
          <w:highlight w:val="none"/>
        </w:rPr>
      </w:pPr>
      <w:r>
        <w:rPr>
          <w:rFonts w:hint="eastAsia"/>
          <w:color w:val="auto"/>
          <w:highlight w:val="none"/>
        </w:rPr>
        <w:t>ⅲ．一项交易的发生取决于其他至少一项交易的发生；</w:t>
      </w:r>
    </w:p>
    <w:p>
      <w:pPr>
        <w:pStyle w:val="35"/>
        <w:rPr>
          <w:color w:val="auto"/>
          <w:highlight w:val="none"/>
        </w:rPr>
      </w:pPr>
      <w:r>
        <w:rPr>
          <w:rFonts w:hint="eastAsia"/>
          <w:color w:val="auto"/>
          <w:highlight w:val="none"/>
        </w:rPr>
        <w:t>ⅳ．一项交易单独看是不经济的，但是和其他交易一并考虑时是经济的。</w:t>
      </w:r>
    </w:p>
    <w:p>
      <w:pPr>
        <w:pStyle w:val="35"/>
        <w:rPr>
          <w:color w:val="auto"/>
          <w:highlight w:val="none"/>
        </w:rPr>
      </w:pPr>
      <w:r>
        <w:rPr>
          <w:rFonts w:hint="eastAsia"/>
          <w:color w:val="auto"/>
          <w:highlight w:val="none"/>
        </w:rPr>
        <w:t>各项交易属于一揽子交易的，将各项交易作为一项处置子公司并丧失控制权的交易进行会计处理；在丧失控制权之前每一次处置价款与处置投资对应的享有该子公司净资产份额的差额，在合并财务报表中确认为其他综合收益，在丧失控制权时一并转入丧失控制权当期的损益。</w:t>
      </w:r>
    </w:p>
    <w:p>
      <w:pPr>
        <w:pStyle w:val="35"/>
        <w:rPr>
          <w:color w:val="auto"/>
          <w:highlight w:val="none"/>
        </w:rPr>
      </w:pPr>
      <w:r>
        <w:rPr>
          <w:rFonts w:hint="eastAsia"/>
          <w:color w:val="auto"/>
          <w:highlight w:val="none"/>
        </w:rPr>
        <w:t>各项交易不属于一揽子交易的，在丧失控制权之前，按不丧失控制权的情况下部分处置对子公司的股权投资进行会计处理；在丧失控制权时，按处置子公司一般处理方法进行会计处理。</w:t>
      </w:r>
    </w:p>
    <w:p>
      <w:pPr>
        <w:pStyle w:val="38"/>
        <w:rPr>
          <w:color w:val="auto"/>
          <w:highlight w:val="none"/>
        </w:rPr>
      </w:pPr>
      <w:r>
        <w:rPr>
          <w:rFonts w:hint="eastAsia"/>
          <w:color w:val="auto"/>
          <w:highlight w:val="none"/>
        </w:rPr>
        <w:t>（3）购买子公司少数股权</w:t>
      </w:r>
    </w:p>
    <w:p>
      <w:pPr>
        <w:pStyle w:val="35"/>
        <w:rPr>
          <w:color w:val="auto"/>
          <w:highlight w:val="none"/>
        </w:rPr>
      </w:pPr>
      <w:r>
        <w:rPr>
          <w:rFonts w:hint="eastAsia"/>
          <w:color w:val="auto"/>
          <w:highlight w:val="none"/>
        </w:rPr>
        <w:t>因购买少数股权新取得的长期股权投资与按照新增持股比例计算应享有子公司自购买日或合并日开始持续计算的净资产份额之间的差额，调整合并资产负债表中的资本公积中的股本溢价，资本公积中的股本溢价不足冲减的，调整留存收益。</w:t>
      </w:r>
    </w:p>
    <w:p>
      <w:pPr>
        <w:pStyle w:val="38"/>
        <w:rPr>
          <w:color w:val="auto"/>
          <w:highlight w:val="none"/>
        </w:rPr>
      </w:pPr>
      <w:r>
        <w:rPr>
          <w:rFonts w:hint="eastAsia"/>
          <w:color w:val="auto"/>
          <w:highlight w:val="none"/>
        </w:rPr>
        <w:t>（4）不丧失控制权的情况下部分处置对子公司的股权投资</w:t>
      </w:r>
    </w:p>
    <w:p>
      <w:pPr>
        <w:pStyle w:val="35"/>
        <w:rPr>
          <w:color w:val="auto"/>
          <w:highlight w:val="none"/>
        </w:rPr>
      </w:pPr>
      <w:r>
        <w:rPr>
          <w:rFonts w:hint="eastAsia"/>
          <w:color w:val="auto"/>
          <w:highlight w:val="none"/>
        </w:rPr>
        <w:t>处置价款与处置长期股权投资相对应享有子公司自购买日或合并日开始持续计算的净资产份额之间的差额，调整合并资产负债表中的资本公积中的股本溢价，资本公积中的股本溢价不足冲减的，调整留存收益。</w:t>
      </w:r>
    </w:p>
    <w:p>
      <w:pPr>
        <w:pStyle w:val="35"/>
        <w:rPr>
          <w:color w:val="auto"/>
          <w:highlight w:val="none"/>
        </w:rPr>
      </w:pPr>
    </w:p>
    <w:p>
      <w:pPr>
        <w:pStyle w:val="37"/>
        <w:rPr>
          <w:rFonts w:eastAsiaTheme="minorEastAsia"/>
          <w:color w:val="auto"/>
          <w:highlight w:val="none"/>
        </w:rPr>
      </w:pPr>
      <w:r>
        <w:rPr>
          <w:rFonts w:eastAsiaTheme="minorEastAsia"/>
          <w:color w:val="auto"/>
          <w:highlight w:val="none"/>
        </w:rPr>
        <w:t>现金及现金等价物的确定标准</w:t>
      </w:r>
    </w:p>
    <w:p>
      <w:pPr>
        <w:pStyle w:val="38"/>
        <w:rPr>
          <w:rFonts w:eastAsiaTheme="minorEastAsia"/>
          <w:color w:val="auto"/>
          <w:highlight w:val="none"/>
        </w:rPr>
      </w:pPr>
      <w:r>
        <w:rPr>
          <w:rFonts w:hint="eastAsia" w:eastAsiaTheme="minorEastAsia"/>
          <w:color w:val="auto"/>
          <w:highlight w:val="none"/>
        </w:rPr>
        <w:t>现金，</w:t>
      </w:r>
      <w:r>
        <w:rPr>
          <w:rFonts w:eastAsiaTheme="minorEastAsia"/>
          <w:color w:val="auto"/>
          <w:highlight w:val="none"/>
        </w:rPr>
        <w:t>是指本公司的库存现金以及可以随时用于支付的存款。</w:t>
      </w:r>
      <w:r>
        <w:rPr>
          <w:rFonts w:hint="eastAsia" w:eastAsiaTheme="minorEastAsia"/>
          <w:color w:val="auto"/>
          <w:highlight w:val="none"/>
        </w:rPr>
        <w:t>现金</w:t>
      </w:r>
      <w:r>
        <w:rPr>
          <w:rFonts w:eastAsiaTheme="minorEastAsia"/>
          <w:color w:val="auto"/>
          <w:highlight w:val="none"/>
        </w:rPr>
        <w:t>等价物</w:t>
      </w:r>
      <w:r>
        <w:rPr>
          <w:rFonts w:hint="eastAsia" w:eastAsiaTheme="minorEastAsia"/>
          <w:color w:val="auto"/>
          <w:highlight w:val="none"/>
        </w:rPr>
        <w:t>，</w:t>
      </w:r>
      <w:r>
        <w:rPr>
          <w:rFonts w:eastAsiaTheme="minorEastAsia"/>
          <w:color w:val="auto"/>
          <w:highlight w:val="none"/>
        </w:rPr>
        <w:t>是指</w:t>
      </w:r>
      <w:r>
        <w:rPr>
          <w:rFonts w:hint="eastAsia" w:eastAsiaTheme="minorEastAsia"/>
          <w:color w:val="auto"/>
          <w:highlight w:val="none"/>
        </w:rPr>
        <w:t>本公司持有的</w:t>
      </w:r>
      <w:r>
        <w:rPr>
          <w:rFonts w:eastAsiaTheme="minorEastAsia"/>
          <w:color w:val="auto"/>
          <w:highlight w:val="none"/>
        </w:rPr>
        <w:t>期限短、流动性强、易于转换为已知金额的现金、价值变动风险很小的投资。</w:t>
      </w:r>
    </w:p>
    <w:p>
      <w:pPr>
        <w:pStyle w:val="38"/>
        <w:rPr>
          <w:color w:val="auto"/>
          <w:highlight w:val="none"/>
        </w:rPr>
      </w:pPr>
    </w:p>
    <w:p>
      <w:pPr>
        <w:pStyle w:val="37"/>
        <w:rPr>
          <w:rFonts w:eastAsiaTheme="minorEastAsia"/>
          <w:color w:val="auto"/>
          <w:highlight w:val="none"/>
        </w:rPr>
      </w:pPr>
      <w:r>
        <w:rPr>
          <w:rFonts w:eastAsiaTheme="minorEastAsia"/>
          <w:color w:val="auto"/>
          <w:highlight w:val="none"/>
        </w:rPr>
        <w:t>金融工具</w:t>
      </w:r>
    </w:p>
    <w:p>
      <w:pPr>
        <w:pStyle w:val="38"/>
        <w:rPr>
          <w:color w:val="auto"/>
          <w:highlight w:val="none"/>
        </w:rPr>
      </w:pPr>
      <w:r>
        <w:rPr>
          <w:rFonts w:hint="eastAsia"/>
          <w:color w:val="auto"/>
          <w:highlight w:val="none"/>
        </w:rPr>
        <w:t>本公司在成为金融工具合同的一方时，确认一项金融资产、金融负债或权益工具。</w:t>
      </w:r>
    </w:p>
    <w:p>
      <w:pPr>
        <w:pStyle w:val="44"/>
        <w:numPr>
          <w:ilvl w:val="2"/>
          <w:numId w:val="13"/>
        </w:numPr>
        <w:rPr>
          <w:color w:val="auto"/>
          <w:highlight w:val="none"/>
        </w:rPr>
      </w:pPr>
      <w:r>
        <w:rPr>
          <w:color w:val="auto"/>
          <w:highlight w:val="none"/>
        </w:rPr>
        <w:t>金融工具的分类</w:t>
      </w:r>
    </w:p>
    <w:p>
      <w:pPr>
        <w:pStyle w:val="35"/>
        <w:rPr>
          <w:color w:val="auto"/>
          <w:highlight w:val="none"/>
        </w:rPr>
      </w:pPr>
      <w:r>
        <w:rPr>
          <w:color w:val="auto"/>
          <w:highlight w:val="none"/>
        </w:rPr>
        <w:t>根据本公司管理金融资产的业务模式和金融资产的合同现金流量特征，金融资产于初始确认时分类为</w:t>
      </w:r>
      <w:r>
        <w:rPr>
          <w:rFonts w:hint="eastAsia"/>
          <w:color w:val="auto"/>
          <w:highlight w:val="none"/>
        </w:rPr>
        <w:t>：</w:t>
      </w:r>
      <w:r>
        <w:rPr>
          <w:color w:val="auto"/>
          <w:highlight w:val="none"/>
        </w:rPr>
        <w:t>以摊余成本计量的金融资产</w:t>
      </w:r>
      <w:r>
        <w:rPr>
          <w:rFonts w:hint="eastAsia"/>
          <w:color w:val="auto"/>
          <w:highlight w:val="none"/>
        </w:rPr>
        <w:t>、以公允价值计量且其变动计入其他综合收益的金融资产和</w:t>
      </w:r>
      <w:r>
        <w:rPr>
          <w:color w:val="auto"/>
          <w:highlight w:val="none"/>
        </w:rPr>
        <w:t>以公允价值计量且其变动计入当期损益的金融资产</w:t>
      </w:r>
      <w:r>
        <w:rPr>
          <w:rFonts w:hint="eastAsia"/>
          <w:color w:val="auto"/>
          <w:highlight w:val="none"/>
        </w:rPr>
        <w:t>。</w:t>
      </w:r>
    </w:p>
    <w:p>
      <w:pPr>
        <w:pStyle w:val="35"/>
        <w:rPr>
          <w:color w:val="auto"/>
          <w:highlight w:val="none"/>
        </w:rPr>
      </w:pPr>
      <w:r>
        <w:rPr>
          <w:rFonts w:hint="eastAsia" w:eastAsiaTheme="minorEastAsia"/>
          <w:color w:val="auto"/>
          <w:highlight w:val="none"/>
        </w:rPr>
        <w:t>本公司将同时符合下列条件且未被指定为以公允价值计量且其变动计入当期损益的金融资产，分类为以摊余成本计量的金融资产：</w:t>
      </w:r>
    </w:p>
    <w:p>
      <w:pPr>
        <w:pStyle w:val="35"/>
        <w:numPr>
          <w:ilvl w:val="0"/>
          <w:numId w:val="14"/>
        </w:numPr>
        <w:rPr>
          <w:rFonts w:eastAsiaTheme="minorEastAsia"/>
          <w:color w:val="auto"/>
          <w:highlight w:val="none"/>
        </w:rPr>
      </w:pPr>
      <w:r>
        <w:rPr>
          <w:rFonts w:hint="eastAsia" w:eastAsiaTheme="minorEastAsia"/>
          <w:color w:val="auto"/>
          <w:highlight w:val="none"/>
        </w:rPr>
        <w:t>业务模式是以收取合同现金流量为目标；</w:t>
      </w:r>
    </w:p>
    <w:p>
      <w:pPr>
        <w:pStyle w:val="35"/>
        <w:numPr>
          <w:ilvl w:val="0"/>
          <w:numId w:val="14"/>
        </w:numPr>
        <w:rPr>
          <w:rFonts w:eastAsiaTheme="minorEastAsia"/>
          <w:color w:val="auto"/>
          <w:highlight w:val="none"/>
        </w:rPr>
      </w:pPr>
      <w:r>
        <w:rPr>
          <w:rFonts w:hint="eastAsia" w:eastAsiaTheme="minorEastAsia"/>
          <w:color w:val="auto"/>
          <w:highlight w:val="none"/>
        </w:rPr>
        <w:t>合同现金流量仅为对本金和以未偿付本金金额为基础的利息的支付。</w:t>
      </w:r>
    </w:p>
    <w:p>
      <w:pPr>
        <w:pStyle w:val="35"/>
        <w:ind w:left="1275" w:leftChars="607"/>
        <w:rPr>
          <w:rFonts w:eastAsiaTheme="minorEastAsia"/>
          <w:color w:val="auto"/>
          <w:highlight w:val="none"/>
        </w:rPr>
      </w:pPr>
    </w:p>
    <w:p>
      <w:pPr>
        <w:pStyle w:val="35"/>
        <w:ind w:left="1277" w:leftChars="608"/>
        <w:rPr>
          <w:rFonts w:eastAsiaTheme="minorEastAsia"/>
          <w:color w:val="auto"/>
          <w:highlight w:val="none"/>
        </w:rPr>
      </w:pPr>
      <w:r>
        <w:rPr>
          <w:rFonts w:hint="eastAsia" w:eastAsiaTheme="minorEastAsia"/>
          <w:color w:val="auto"/>
          <w:highlight w:val="none"/>
        </w:rPr>
        <w:t>本公司将同时符合下列条件且未被指定为以公允价值计量且其变动计入当期损益的金融资产，分类为以公允价值计量且其变动计入其他综合收益的金融资产（债务工具）：</w:t>
      </w:r>
    </w:p>
    <w:p>
      <w:pPr>
        <w:pStyle w:val="35"/>
        <w:numPr>
          <w:ilvl w:val="0"/>
          <w:numId w:val="14"/>
        </w:numPr>
        <w:rPr>
          <w:rFonts w:eastAsiaTheme="minorEastAsia"/>
          <w:color w:val="auto"/>
          <w:highlight w:val="none"/>
        </w:rPr>
      </w:pPr>
      <w:r>
        <w:rPr>
          <w:rFonts w:hint="eastAsia" w:eastAsiaTheme="minorEastAsia"/>
          <w:color w:val="auto"/>
          <w:highlight w:val="none"/>
        </w:rPr>
        <w:t>业务模式既以收取合同现金流量又以出售该金融资产为目标；</w:t>
      </w:r>
    </w:p>
    <w:p>
      <w:pPr>
        <w:pStyle w:val="35"/>
        <w:numPr>
          <w:ilvl w:val="0"/>
          <w:numId w:val="14"/>
        </w:numPr>
        <w:rPr>
          <w:rFonts w:eastAsiaTheme="minorEastAsia"/>
          <w:color w:val="auto"/>
          <w:highlight w:val="none"/>
        </w:rPr>
      </w:pPr>
      <w:r>
        <w:rPr>
          <w:rFonts w:hint="eastAsia" w:eastAsiaTheme="minorEastAsia"/>
          <w:color w:val="auto"/>
          <w:highlight w:val="none"/>
        </w:rPr>
        <w:t>合同现金流量仅为对本金和以未偿付本金金额为基础的利息的支付。</w:t>
      </w:r>
    </w:p>
    <w:p>
      <w:pPr>
        <w:pStyle w:val="35"/>
        <w:ind w:left="1277" w:leftChars="608"/>
        <w:rPr>
          <w:color w:val="auto"/>
          <w:highlight w:val="none"/>
        </w:rPr>
      </w:pPr>
    </w:p>
    <w:p>
      <w:pPr>
        <w:pStyle w:val="35"/>
        <w:rPr>
          <w:color w:val="auto"/>
          <w:highlight w:val="none"/>
        </w:rPr>
      </w:pPr>
      <w:r>
        <w:rPr>
          <w:color w:val="auto"/>
          <w:highlight w:val="none"/>
        </w:rPr>
        <w:t>对于非交易性权益工具投资</w:t>
      </w:r>
      <w:r>
        <w:rPr>
          <w:rFonts w:hint="eastAsia"/>
          <w:color w:val="auto"/>
          <w:highlight w:val="none"/>
        </w:rPr>
        <w:t>，</w:t>
      </w:r>
      <w:r>
        <w:rPr>
          <w:color w:val="auto"/>
          <w:highlight w:val="none"/>
        </w:rPr>
        <w:t>本公司可以在初始确认时将其不可撤销地指定为以公允价值计量且其变动计入其他综合收益的金融资产</w:t>
      </w:r>
      <w:r>
        <w:rPr>
          <w:rFonts w:hint="eastAsia"/>
          <w:color w:val="auto"/>
          <w:highlight w:val="none"/>
        </w:rPr>
        <w:t>（权益工具）。该指定在单项投资的基础上作出，且相关投资从发行者的角度符合权益工具的定义。</w:t>
      </w:r>
    </w:p>
    <w:p>
      <w:pPr>
        <w:pStyle w:val="35"/>
        <w:rPr>
          <w:color w:val="auto"/>
          <w:highlight w:val="none"/>
        </w:rPr>
      </w:pPr>
    </w:p>
    <w:p>
      <w:pPr>
        <w:pStyle w:val="35"/>
        <w:ind w:left="1277" w:leftChars="608"/>
        <w:rPr>
          <w:color w:val="auto"/>
          <w:highlight w:val="none"/>
        </w:rPr>
      </w:pPr>
      <w:r>
        <w:rPr>
          <w:rFonts w:hint="eastAsia" w:eastAsiaTheme="minorEastAsia"/>
          <w:color w:val="auto"/>
          <w:highlight w:val="none"/>
        </w:rPr>
        <w:t>除上述以摊余成本计量和以公允价值计量且其变动计入其他综合收益的金融资产外，本公司将其余所有的金融资产分类为以公允价值计量且其变动计入当期损益的金融资产。</w:t>
      </w:r>
    </w:p>
    <w:p>
      <w:pPr>
        <w:pStyle w:val="35"/>
        <w:rPr>
          <w:color w:val="auto"/>
          <w:highlight w:val="none"/>
        </w:rPr>
      </w:pPr>
      <w:r>
        <w:rPr>
          <w:color w:val="auto"/>
          <w:highlight w:val="none"/>
        </w:rPr>
        <w:t>在初始确认时</w:t>
      </w:r>
      <w:r>
        <w:rPr>
          <w:rFonts w:hint="eastAsia"/>
          <w:color w:val="auto"/>
          <w:highlight w:val="none"/>
        </w:rPr>
        <w:t>，如果</w:t>
      </w:r>
      <w:r>
        <w:rPr>
          <w:color w:val="auto"/>
          <w:highlight w:val="none"/>
        </w:rPr>
        <w:t>能够消除或显著减少会计错配</w:t>
      </w:r>
      <w:r>
        <w:rPr>
          <w:rFonts w:hint="eastAsia"/>
          <w:color w:val="auto"/>
          <w:highlight w:val="none"/>
        </w:rPr>
        <w:t>，本公司</w:t>
      </w:r>
      <w:r>
        <w:rPr>
          <w:color w:val="auto"/>
          <w:highlight w:val="none"/>
        </w:rPr>
        <w:t>可以将本应分类为以摊余成本</w:t>
      </w:r>
      <w:r>
        <w:rPr>
          <w:rFonts w:hint="eastAsia"/>
          <w:color w:val="auto"/>
          <w:highlight w:val="none"/>
        </w:rPr>
        <w:t>计量或以公允价值计量且其变动计入其他综合收益的</w:t>
      </w:r>
      <w:r>
        <w:rPr>
          <w:color w:val="auto"/>
          <w:highlight w:val="none"/>
        </w:rPr>
        <w:t>金融资产不可撤销地指定为以公允价值计量且其变动计入当期损益的金融资产</w:t>
      </w:r>
      <w:r>
        <w:rPr>
          <w:rFonts w:hint="eastAsia"/>
          <w:color w:val="auto"/>
          <w:highlight w:val="none"/>
        </w:rPr>
        <w:t>。</w:t>
      </w:r>
    </w:p>
    <w:p>
      <w:pPr>
        <w:pStyle w:val="35"/>
        <w:rPr>
          <w:color w:val="auto"/>
          <w:highlight w:val="none"/>
        </w:rPr>
      </w:pPr>
    </w:p>
    <w:p>
      <w:pPr>
        <w:pStyle w:val="35"/>
        <w:rPr>
          <w:color w:val="auto"/>
          <w:highlight w:val="none"/>
        </w:rPr>
      </w:pPr>
      <w:r>
        <w:rPr>
          <w:color w:val="auto"/>
          <w:highlight w:val="none"/>
        </w:rPr>
        <w:t>金融负债于初始确认时分类为：以公允价值计量且其变动计入当期损益的金融负债和以摊余成本计量的金融负债。</w:t>
      </w:r>
    </w:p>
    <w:p>
      <w:pPr>
        <w:pStyle w:val="35"/>
        <w:rPr>
          <w:color w:val="auto"/>
          <w:highlight w:val="none"/>
        </w:rPr>
      </w:pPr>
    </w:p>
    <w:p>
      <w:pPr>
        <w:pStyle w:val="35"/>
        <w:rPr>
          <w:color w:val="auto"/>
          <w:highlight w:val="none"/>
        </w:rPr>
      </w:pPr>
      <w:r>
        <w:rPr>
          <w:rFonts w:hint="eastAsia"/>
          <w:color w:val="auto"/>
          <w:highlight w:val="none"/>
        </w:rPr>
        <w:t>符合以下条件之一的金融负债可在初始计量时指定为以公允价值计量且其变动计入当期损益的金融负债：</w:t>
      </w:r>
    </w:p>
    <w:p>
      <w:pPr>
        <w:pStyle w:val="35"/>
        <w:rPr>
          <w:color w:val="auto"/>
          <w:highlight w:val="none"/>
        </w:rPr>
      </w:pPr>
      <w:r>
        <w:rPr>
          <w:rFonts w:hint="eastAsia"/>
          <w:color w:val="auto"/>
          <w:highlight w:val="none"/>
        </w:rPr>
        <w:t>1）该项指定能够消除或显著减少会计错配。</w:t>
      </w:r>
    </w:p>
    <w:p>
      <w:pPr>
        <w:pStyle w:val="35"/>
        <w:rPr>
          <w:color w:val="auto"/>
          <w:highlight w:val="none"/>
        </w:rPr>
      </w:pPr>
      <w:r>
        <w:rPr>
          <w:rFonts w:hint="eastAsia"/>
          <w:color w:val="auto"/>
          <w:highlight w:val="none"/>
        </w:rPr>
        <w:t>2）根据正式书面文件载明的企业风险管理或投资策略，以公允价值为基础对金融负债组合或金融资产和金融负债组合进行管理和业绩评价，并在企业内部以此为基础向关键管理人员报告。</w:t>
      </w:r>
    </w:p>
    <w:p>
      <w:pPr>
        <w:pStyle w:val="35"/>
        <w:rPr>
          <w:color w:val="auto"/>
          <w:highlight w:val="none"/>
        </w:rPr>
      </w:pPr>
      <w:r>
        <w:rPr>
          <w:rFonts w:hint="eastAsia"/>
          <w:color w:val="auto"/>
          <w:highlight w:val="none"/>
        </w:rPr>
        <w:t>3）该金融负债包含需单独分拆的嵌入衍生工具。</w:t>
      </w:r>
    </w:p>
    <w:p>
      <w:pPr>
        <w:pStyle w:val="35"/>
        <w:rPr>
          <w:color w:val="auto"/>
          <w:highlight w:val="none"/>
        </w:rPr>
      </w:pPr>
      <w:r>
        <w:rPr>
          <w:rFonts w:hint="eastAsia"/>
          <w:color w:val="auto"/>
          <w:highlight w:val="none"/>
        </w:rPr>
        <w:t>按照上述条件，本公司指定的这类金融负债主要包括：（具体描述指定的情况）</w:t>
      </w:r>
    </w:p>
    <w:p>
      <w:pPr>
        <w:pStyle w:val="35"/>
        <w:rPr>
          <w:color w:val="auto"/>
          <w:highlight w:val="none"/>
        </w:rPr>
      </w:pPr>
    </w:p>
    <w:p>
      <w:pPr>
        <w:pStyle w:val="44"/>
        <w:rPr>
          <w:color w:val="auto"/>
          <w:highlight w:val="none"/>
        </w:rPr>
      </w:pPr>
      <w:r>
        <w:rPr>
          <w:color w:val="auto"/>
          <w:highlight w:val="none"/>
        </w:rPr>
        <w:t>金融工具的确认依据和计量方法</w:t>
      </w:r>
    </w:p>
    <w:p>
      <w:pPr>
        <w:pStyle w:val="35"/>
        <w:rPr>
          <w:color w:val="auto"/>
          <w:highlight w:val="none"/>
        </w:rPr>
      </w:pPr>
      <w:r>
        <w:rPr>
          <w:rFonts w:hint="eastAsia"/>
          <w:color w:val="auto"/>
          <w:highlight w:val="none"/>
        </w:rPr>
        <w:t>（1）以摊余成本计量的金融资产</w:t>
      </w:r>
    </w:p>
    <w:p>
      <w:pPr>
        <w:pStyle w:val="35"/>
        <w:rPr>
          <w:color w:val="auto"/>
          <w:highlight w:val="none"/>
        </w:rPr>
      </w:pPr>
      <w:r>
        <w:rPr>
          <w:color w:val="auto"/>
          <w:highlight w:val="none"/>
        </w:rPr>
        <w:t>以摊余成本计量的金融资产包括应收票据</w:t>
      </w:r>
      <w:r>
        <w:rPr>
          <w:rFonts w:hint="eastAsia"/>
          <w:color w:val="auto"/>
          <w:highlight w:val="none"/>
        </w:rPr>
        <w:t>、</w:t>
      </w:r>
      <w:r>
        <w:rPr>
          <w:color w:val="auto"/>
          <w:highlight w:val="none"/>
        </w:rPr>
        <w:t>应收账款、其他应收款</w:t>
      </w:r>
      <w:r>
        <w:rPr>
          <w:rFonts w:hint="eastAsia"/>
          <w:color w:val="auto"/>
          <w:highlight w:val="none"/>
        </w:rPr>
        <w:t>、</w:t>
      </w:r>
      <w:r>
        <w:rPr>
          <w:color w:val="auto"/>
          <w:highlight w:val="none"/>
        </w:rPr>
        <w:t>长期应收款</w:t>
      </w:r>
      <w:r>
        <w:rPr>
          <w:rFonts w:hint="eastAsia"/>
          <w:color w:val="auto"/>
          <w:highlight w:val="none"/>
        </w:rPr>
        <w:t>、</w:t>
      </w:r>
      <w:r>
        <w:rPr>
          <w:color w:val="auto"/>
          <w:highlight w:val="none"/>
        </w:rPr>
        <w:t>债权投资等，按公允价值进行初始计量</w:t>
      </w:r>
      <w:r>
        <w:rPr>
          <w:rFonts w:hint="eastAsia"/>
          <w:color w:val="auto"/>
          <w:highlight w:val="none"/>
        </w:rPr>
        <w:t>，</w:t>
      </w:r>
      <w:r>
        <w:rPr>
          <w:color w:val="auto"/>
          <w:highlight w:val="none"/>
        </w:rPr>
        <w:t>相关交易费用计入初始确认金额</w:t>
      </w:r>
      <w:r>
        <w:rPr>
          <w:rFonts w:hint="eastAsia"/>
          <w:color w:val="auto"/>
          <w:highlight w:val="none"/>
        </w:rPr>
        <w:t>；不包含重大融资成分的应收账款以及本公司决定不考虑不超过一年的融资成分的应收账款，以合同交易价格进行初始计量。</w:t>
      </w:r>
    </w:p>
    <w:p>
      <w:pPr>
        <w:pStyle w:val="35"/>
        <w:rPr>
          <w:color w:val="auto"/>
          <w:highlight w:val="none"/>
        </w:rPr>
      </w:pPr>
      <w:r>
        <w:rPr>
          <w:color w:val="auto"/>
          <w:highlight w:val="none"/>
        </w:rPr>
        <w:t>持有期间采用实际利率法计算的利息计入当期损益</w:t>
      </w:r>
      <w:r>
        <w:rPr>
          <w:rFonts w:hint="eastAsia"/>
          <w:color w:val="auto"/>
          <w:highlight w:val="none"/>
        </w:rPr>
        <w:t>。</w:t>
      </w:r>
    </w:p>
    <w:p>
      <w:pPr>
        <w:pStyle w:val="35"/>
        <w:rPr>
          <w:color w:val="auto"/>
          <w:highlight w:val="none"/>
        </w:rPr>
      </w:pPr>
      <w:r>
        <w:rPr>
          <w:color w:val="auto"/>
          <w:highlight w:val="none"/>
        </w:rPr>
        <w:t>收回或处置时，将取得的价款与该金融资产账面价值之间的差额计入当期损益。</w:t>
      </w:r>
    </w:p>
    <w:p>
      <w:pPr>
        <w:pStyle w:val="35"/>
        <w:rPr>
          <w:color w:val="auto"/>
          <w:highlight w:val="none"/>
        </w:rPr>
      </w:pPr>
    </w:p>
    <w:p>
      <w:pPr>
        <w:pStyle w:val="35"/>
        <w:rPr>
          <w:color w:val="auto"/>
          <w:highlight w:val="none"/>
        </w:rPr>
      </w:pPr>
      <w:r>
        <w:rPr>
          <w:rFonts w:hint="eastAsia"/>
          <w:color w:val="auto"/>
          <w:highlight w:val="none"/>
        </w:rPr>
        <w:t>（2）以公允价值计量且其变动计入其他综合收益的金融资产（债务工具）</w:t>
      </w:r>
    </w:p>
    <w:p>
      <w:pPr>
        <w:pStyle w:val="35"/>
        <w:rPr>
          <w:color w:val="auto"/>
          <w:highlight w:val="none"/>
        </w:rPr>
      </w:pPr>
      <w:r>
        <w:rPr>
          <w:rFonts w:hint="eastAsia"/>
          <w:color w:val="auto"/>
          <w:highlight w:val="none"/>
        </w:rPr>
        <w:t>以公允价值计量且其变动计入其他综合收益的金融资产（债务工具）</w:t>
      </w:r>
      <w:r>
        <w:rPr>
          <w:color w:val="auto"/>
          <w:highlight w:val="none"/>
        </w:rPr>
        <w:t>包括</w:t>
      </w:r>
      <w:r>
        <w:rPr>
          <w:rFonts w:hint="eastAsia"/>
          <w:color w:val="auto"/>
          <w:highlight w:val="none"/>
        </w:rPr>
        <w:t>应收款项融资、</w:t>
      </w:r>
      <w:r>
        <w:rPr>
          <w:color w:val="auto"/>
          <w:highlight w:val="none"/>
        </w:rPr>
        <w:t>其他债权投资等</w:t>
      </w:r>
      <w:r>
        <w:rPr>
          <w:rFonts w:hint="eastAsia"/>
          <w:color w:val="auto"/>
          <w:highlight w:val="none"/>
        </w:rPr>
        <w:t>，</w:t>
      </w:r>
      <w:r>
        <w:rPr>
          <w:color w:val="auto"/>
          <w:highlight w:val="none"/>
        </w:rPr>
        <w:t>按公允价值进行初始计量</w:t>
      </w:r>
      <w:r>
        <w:rPr>
          <w:rFonts w:hint="eastAsia"/>
          <w:color w:val="auto"/>
          <w:highlight w:val="none"/>
        </w:rPr>
        <w:t>，</w:t>
      </w:r>
      <w:r>
        <w:rPr>
          <w:color w:val="auto"/>
          <w:highlight w:val="none"/>
        </w:rPr>
        <w:t>相关交易费用计入初始确认金额</w:t>
      </w:r>
      <w:r>
        <w:rPr>
          <w:rFonts w:hint="eastAsia"/>
          <w:color w:val="auto"/>
          <w:highlight w:val="none"/>
        </w:rPr>
        <w:t>。该金融资产按公允价值进行后续计量，</w:t>
      </w:r>
      <w:r>
        <w:rPr>
          <w:color w:val="auto"/>
          <w:highlight w:val="none"/>
        </w:rPr>
        <w:t>公允价值变动除采用实际利率法计算的利息</w:t>
      </w:r>
      <w:r>
        <w:rPr>
          <w:rFonts w:hint="eastAsia"/>
          <w:color w:val="auto"/>
          <w:highlight w:val="none"/>
        </w:rPr>
        <w:t>、</w:t>
      </w:r>
      <w:r>
        <w:rPr>
          <w:color w:val="auto"/>
          <w:highlight w:val="none"/>
        </w:rPr>
        <w:t>减值损失或利得</w:t>
      </w:r>
      <w:r>
        <w:rPr>
          <w:rFonts w:hint="eastAsia"/>
          <w:color w:val="auto"/>
          <w:highlight w:val="none"/>
        </w:rPr>
        <w:t>和</w:t>
      </w:r>
      <w:r>
        <w:rPr>
          <w:color w:val="auto"/>
          <w:highlight w:val="none"/>
        </w:rPr>
        <w:t>汇兑损益之外，均计入其他综合收益。</w:t>
      </w:r>
    </w:p>
    <w:p>
      <w:pPr>
        <w:pStyle w:val="35"/>
        <w:rPr>
          <w:color w:val="auto"/>
          <w:highlight w:val="none"/>
        </w:rPr>
      </w:pPr>
      <w:r>
        <w:rPr>
          <w:color w:val="auto"/>
          <w:highlight w:val="none"/>
        </w:rPr>
        <w:t>终止确认时</w:t>
      </w:r>
      <w:r>
        <w:rPr>
          <w:rFonts w:hint="eastAsia"/>
          <w:color w:val="auto"/>
          <w:highlight w:val="none"/>
        </w:rPr>
        <w:t>，</w:t>
      </w:r>
      <w:r>
        <w:rPr>
          <w:color w:val="auto"/>
          <w:highlight w:val="none"/>
        </w:rPr>
        <w:t>之前计入其他综合收益的累计利得或损失从其他综合收益中转出，计入当期损益。</w:t>
      </w:r>
    </w:p>
    <w:p>
      <w:pPr>
        <w:pStyle w:val="35"/>
        <w:rPr>
          <w:color w:val="auto"/>
          <w:highlight w:val="none"/>
        </w:rPr>
      </w:pPr>
    </w:p>
    <w:p>
      <w:pPr>
        <w:pStyle w:val="35"/>
        <w:rPr>
          <w:color w:val="auto"/>
          <w:highlight w:val="none"/>
        </w:rPr>
      </w:pPr>
      <w:r>
        <w:rPr>
          <w:rFonts w:hint="eastAsia"/>
          <w:color w:val="auto"/>
          <w:highlight w:val="none"/>
        </w:rPr>
        <w:t>（3）以公允价值计量且其变动计入其他综合收益的金融资产（权益工具）</w:t>
      </w:r>
    </w:p>
    <w:p>
      <w:pPr>
        <w:pStyle w:val="35"/>
        <w:rPr>
          <w:color w:val="auto"/>
          <w:highlight w:val="none"/>
        </w:rPr>
      </w:pPr>
      <w:r>
        <w:rPr>
          <w:rFonts w:hint="eastAsia"/>
          <w:color w:val="auto"/>
          <w:highlight w:val="none"/>
        </w:rPr>
        <w:t>以公允价值计量且其变动计入其他综合收益的金融资产（权益工具）</w:t>
      </w:r>
      <w:r>
        <w:rPr>
          <w:color w:val="auto"/>
          <w:highlight w:val="none"/>
        </w:rPr>
        <w:t>包括其他权益工具投资等</w:t>
      </w:r>
      <w:r>
        <w:rPr>
          <w:rFonts w:hint="eastAsia"/>
          <w:color w:val="auto"/>
          <w:highlight w:val="none"/>
        </w:rPr>
        <w:t>，</w:t>
      </w:r>
      <w:r>
        <w:rPr>
          <w:color w:val="auto"/>
          <w:highlight w:val="none"/>
        </w:rPr>
        <w:t>按公允价值进行初始计量</w:t>
      </w:r>
      <w:r>
        <w:rPr>
          <w:rFonts w:hint="eastAsia"/>
          <w:color w:val="auto"/>
          <w:highlight w:val="none"/>
        </w:rPr>
        <w:t>，</w:t>
      </w:r>
      <w:r>
        <w:rPr>
          <w:color w:val="auto"/>
          <w:highlight w:val="none"/>
        </w:rPr>
        <w:t>相关交易费用计入初始确认金额</w:t>
      </w:r>
      <w:r>
        <w:rPr>
          <w:rFonts w:hint="eastAsia"/>
          <w:color w:val="auto"/>
          <w:highlight w:val="none"/>
        </w:rPr>
        <w:t>。该金融资产按公允价值进行后续计量，</w:t>
      </w:r>
      <w:r>
        <w:rPr>
          <w:color w:val="auto"/>
          <w:highlight w:val="none"/>
        </w:rPr>
        <w:t>公允价值变动计入其他综合收益</w:t>
      </w:r>
      <w:r>
        <w:rPr>
          <w:rFonts w:hint="eastAsia"/>
          <w:color w:val="auto"/>
          <w:highlight w:val="none"/>
        </w:rPr>
        <w:t>。取得的股利计入当期损益。</w:t>
      </w:r>
    </w:p>
    <w:p>
      <w:pPr>
        <w:pStyle w:val="35"/>
        <w:rPr>
          <w:color w:val="auto"/>
          <w:highlight w:val="none"/>
        </w:rPr>
      </w:pPr>
      <w:r>
        <w:rPr>
          <w:color w:val="auto"/>
          <w:highlight w:val="none"/>
        </w:rPr>
        <w:t>终止确认时</w:t>
      </w:r>
      <w:r>
        <w:rPr>
          <w:rFonts w:hint="eastAsia"/>
          <w:color w:val="auto"/>
          <w:highlight w:val="none"/>
        </w:rPr>
        <w:t>，</w:t>
      </w:r>
      <w:r>
        <w:rPr>
          <w:color w:val="auto"/>
          <w:highlight w:val="none"/>
        </w:rPr>
        <w:t>之前计入其他综合收益的累计利得或损失从其他综合收益中转出，计入留存收益。</w:t>
      </w:r>
    </w:p>
    <w:p>
      <w:pPr>
        <w:pStyle w:val="35"/>
        <w:rPr>
          <w:color w:val="auto"/>
          <w:highlight w:val="none"/>
        </w:rPr>
      </w:pPr>
    </w:p>
    <w:p>
      <w:pPr>
        <w:pStyle w:val="35"/>
        <w:rPr>
          <w:color w:val="auto"/>
          <w:highlight w:val="none"/>
        </w:rPr>
      </w:pPr>
      <w:r>
        <w:rPr>
          <w:rFonts w:hint="eastAsia"/>
          <w:color w:val="auto"/>
          <w:highlight w:val="none"/>
        </w:rPr>
        <w:t>（4）以公允价值计量且其变动计入当期损益的金融资产</w:t>
      </w:r>
    </w:p>
    <w:p>
      <w:pPr>
        <w:pStyle w:val="35"/>
        <w:rPr>
          <w:color w:val="auto"/>
          <w:highlight w:val="none"/>
        </w:rPr>
      </w:pPr>
      <w:r>
        <w:rPr>
          <w:rFonts w:hint="eastAsia"/>
          <w:color w:val="auto"/>
          <w:highlight w:val="none"/>
        </w:rPr>
        <w:t>以公允价值计量且其变动计入当期损益的金融资产</w:t>
      </w:r>
      <w:r>
        <w:rPr>
          <w:color w:val="auto"/>
          <w:highlight w:val="none"/>
        </w:rPr>
        <w:t>包括交易性金融资产</w:t>
      </w:r>
      <w:r>
        <w:rPr>
          <w:rFonts w:hint="eastAsia"/>
          <w:color w:val="auto"/>
          <w:highlight w:val="none"/>
        </w:rPr>
        <w:t>、衍生金融资产、</w:t>
      </w:r>
      <w:r>
        <w:rPr>
          <w:color w:val="auto"/>
          <w:highlight w:val="none"/>
        </w:rPr>
        <w:t>其他非流动金融资产等</w:t>
      </w:r>
      <w:r>
        <w:rPr>
          <w:rFonts w:hint="eastAsia"/>
          <w:color w:val="auto"/>
          <w:highlight w:val="none"/>
        </w:rPr>
        <w:t>，</w:t>
      </w:r>
      <w:r>
        <w:rPr>
          <w:color w:val="auto"/>
          <w:highlight w:val="none"/>
        </w:rPr>
        <w:t>按公允价值进行初始计量</w:t>
      </w:r>
      <w:r>
        <w:rPr>
          <w:rFonts w:hint="eastAsia"/>
          <w:color w:val="auto"/>
          <w:highlight w:val="none"/>
        </w:rPr>
        <w:t>，</w:t>
      </w:r>
      <w:r>
        <w:rPr>
          <w:color w:val="auto"/>
          <w:highlight w:val="none"/>
        </w:rPr>
        <w:t>相关交易费用计入当期损益</w:t>
      </w:r>
      <w:r>
        <w:rPr>
          <w:rFonts w:hint="eastAsia"/>
          <w:color w:val="auto"/>
          <w:highlight w:val="none"/>
        </w:rPr>
        <w:t>。该金融资产按公允价值进行后续计量，</w:t>
      </w:r>
      <w:r>
        <w:rPr>
          <w:color w:val="auto"/>
          <w:highlight w:val="none"/>
        </w:rPr>
        <w:t>公允价值变动计入当期损益。</w:t>
      </w:r>
    </w:p>
    <w:p>
      <w:pPr>
        <w:pStyle w:val="35"/>
        <w:rPr>
          <w:color w:val="auto"/>
          <w:highlight w:val="none"/>
        </w:rPr>
      </w:pPr>
    </w:p>
    <w:p>
      <w:pPr>
        <w:pStyle w:val="35"/>
        <w:rPr>
          <w:color w:val="auto"/>
          <w:highlight w:val="none"/>
        </w:rPr>
      </w:pPr>
      <w:r>
        <w:rPr>
          <w:rFonts w:hint="eastAsia"/>
          <w:color w:val="auto"/>
          <w:highlight w:val="none"/>
        </w:rPr>
        <w:t>（5）以公允价值计量且其变动计入当期损益的金融负债</w:t>
      </w:r>
    </w:p>
    <w:p>
      <w:pPr>
        <w:pStyle w:val="35"/>
        <w:rPr>
          <w:color w:val="auto"/>
          <w:highlight w:val="none"/>
        </w:rPr>
      </w:pPr>
      <w:r>
        <w:rPr>
          <w:rFonts w:hint="eastAsia"/>
          <w:color w:val="auto"/>
          <w:highlight w:val="none"/>
        </w:rPr>
        <w:t>以公允价值计量且其变动计入当期损益的金融负债</w:t>
      </w:r>
      <w:r>
        <w:rPr>
          <w:color w:val="auto"/>
          <w:highlight w:val="none"/>
        </w:rPr>
        <w:t>包括交易性金融负债</w:t>
      </w:r>
      <w:r>
        <w:rPr>
          <w:rFonts w:hint="eastAsia"/>
          <w:color w:val="auto"/>
          <w:highlight w:val="none"/>
        </w:rPr>
        <w:t>、</w:t>
      </w:r>
      <w:r>
        <w:rPr>
          <w:color w:val="auto"/>
          <w:highlight w:val="none"/>
        </w:rPr>
        <w:t>衍生金融负债等</w:t>
      </w:r>
      <w:r>
        <w:rPr>
          <w:rFonts w:hint="eastAsia"/>
          <w:color w:val="auto"/>
          <w:highlight w:val="none"/>
        </w:rPr>
        <w:t>，</w:t>
      </w:r>
      <w:r>
        <w:rPr>
          <w:color w:val="auto"/>
          <w:highlight w:val="none"/>
        </w:rPr>
        <w:t>按公允价值进行初始计量</w:t>
      </w:r>
      <w:r>
        <w:rPr>
          <w:rFonts w:hint="eastAsia"/>
          <w:color w:val="auto"/>
          <w:highlight w:val="none"/>
        </w:rPr>
        <w:t>，</w:t>
      </w:r>
      <w:r>
        <w:rPr>
          <w:color w:val="auto"/>
          <w:highlight w:val="none"/>
        </w:rPr>
        <w:t>相关交易费用计入当期损益</w:t>
      </w:r>
      <w:r>
        <w:rPr>
          <w:rFonts w:hint="eastAsia"/>
          <w:color w:val="auto"/>
          <w:highlight w:val="none"/>
        </w:rPr>
        <w:t>。该金融负债按公允价值进行后续计量，</w:t>
      </w:r>
      <w:r>
        <w:rPr>
          <w:color w:val="auto"/>
          <w:highlight w:val="none"/>
        </w:rPr>
        <w:t>公允价值变动计入当期损益。</w:t>
      </w:r>
    </w:p>
    <w:p>
      <w:pPr>
        <w:pStyle w:val="35"/>
        <w:rPr>
          <w:color w:val="auto"/>
          <w:highlight w:val="none"/>
        </w:rPr>
      </w:pPr>
      <w:r>
        <w:rPr>
          <w:color w:val="auto"/>
          <w:highlight w:val="none"/>
        </w:rPr>
        <w:t>终止确认时，其</w:t>
      </w:r>
      <w:r>
        <w:rPr>
          <w:rFonts w:hint="eastAsia"/>
          <w:color w:val="auto"/>
          <w:highlight w:val="none"/>
        </w:rPr>
        <w:t>账面</w:t>
      </w:r>
      <w:r>
        <w:rPr>
          <w:color w:val="auto"/>
          <w:highlight w:val="none"/>
        </w:rPr>
        <w:t>价值与</w:t>
      </w:r>
      <w:r>
        <w:rPr>
          <w:rFonts w:hint="eastAsia"/>
          <w:color w:val="auto"/>
          <w:highlight w:val="none"/>
        </w:rPr>
        <w:t>支付的对价</w:t>
      </w:r>
      <w:r>
        <w:rPr>
          <w:color w:val="auto"/>
          <w:highlight w:val="none"/>
        </w:rPr>
        <w:t>之间的差额</w:t>
      </w:r>
      <w:r>
        <w:rPr>
          <w:rFonts w:hint="eastAsia"/>
          <w:color w:val="auto"/>
          <w:highlight w:val="none"/>
        </w:rPr>
        <w:t>计入当期</w:t>
      </w:r>
      <w:r>
        <w:rPr>
          <w:color w:val="auto"/>
          <w:highlight w:val="none"/>
        </w:rPr>
        <w:t>损益。</w:t>
      </w:r>
    </w:p>
    <w:p>
      <w:pPr>
        <w:pStyle w:val="35"/>
        <w:rPr>
          <w:color w:val="auto"/>
          <w:highlight w:val="none"/>
        </w:rPr>
      </w:pPr>
    </w:p>
    <w:p>
      <w:pPr>
        <w:pStyle w:val="35"/>
        <w:rPr>
          <w:color w:val="auto"/>
          <w:highlight w:val="none"/>
        </w:rPr>
      </w:pPr>
      <w:r>
        <w:rPr>
          <w:rFonts w:hint="eastAsia"/>
          <w:color w:val="auto"/>
          <w:highlight w:val="none"/>
        </w:rPr>
        <w:t>（6）以摊余成本计量的金融负债</w:t>
      </w:r>
    </w:p>
    <w:p>
      <w:pPr>
        <w:pStyle w:val="35"/>
        <w:rPr>
          <w:color w:val="auto"/>
          <w:highlight w:val="none"/>
        </w:rPr>
      </w:pPr>
      <w:r>
        <w:rPr>
          <w:color w:val="auto"/>
          <w:highlight w:val="none"/>
        </w:rPr>
        <w:t>以摊余成本计量的金融负债包括短期借款</w:t>
      </w:r>
      <w:r>
        <w:rPr>
          <w:rFonts w:hint="eastAsia"/>
          <w:color w:val="auto"/>
          <w:highlight w:val="none"/>
        </w:rPr>
        <w:t>、</w:t>
      </w:r>
      <w:r>
        <w:rPr>
          <w:color w:val="auto"/>
          <w:highlight w:val="none"/>
        </w:rPr>
        <w:t>应付票据</w:t>
      </w:r>
      <w:r>
        <w:rPr>
          <w:rFonts w:hint="eastAsia"/>
          <w:color w:val="auto"/>
          <w:highlight w:val="none"/>
        </w:rPr>
        <w:t>、</w:t>
      </w:r>
      <w:r>
        <w:rPr>
          <w:color w:val="auto"/>
          <w:highlight w:val="none"/>
        </w:rPr>
        <w:t>应付账款、其他应付款</w:t>
      </w:r>
      <w:r>
        <w:rPr>
          <w:rFonts w:hint="eastAsia"/>
          <w:color w:val="auto"/>
          <w:highlight w:val="none"/>
        </w:rPr>
        <w:t>、长期借款、应付债券、</w:t>
      </w:r>
      <w:r>
        <w:rPr>
          <w:color w:val="auto"/>
          <w:highlight w:val="none"/>
        </w:rPr>
        <w:t>长期应付款，按公允价值进行初始计量</w:t>
      </w:r>
      <w:r>
        <w:rPr>
          <w:rFonts w:hint="eastAsia"/>
          <w:color w:val="auto"/>
          <w:highlight w:val="none"/>
        </w:rPr>
        <w:t>，</w:t>
      </w:r>
      <w:r>
        <w:rPr>
          <w:color w:val="auto"/>
          <w:highlight w:val="none"/>
        </w:rPr>
        <w:t>相关交易费用计入初始确认金额</w:t>
      </w:r>
      <w:r>
        <w:rPr>
          <w:rFonts w:hint="eastAsia"/>
          <w:color w:val="auto"/>
          <w:highlight w:val="none"/>
        </w:rPr>
        <w:t>。</w:t>
      </w:r>
    </w:p>
    <w:p>
      <w:pPr>
        <w:pStyle w:val="35"/>
        <w:rPr>
          <w:color w:val="auto"/>
          <w:highlight w:val="none"/>
        </w:rPr>
      </w:pPr>
      <w:r>
        <w:rPr>
          <w:color w:val="auto"/>
          <w:highlight w:val="none"/>
        </w:rPr>
        <w:t>持有期间采用实际利率法计算的利息计入当期损益</w:t>
      </w:r>
      <w:r>
        <w:rPr>
          <w:rFonts w:hint="eastAsia"/>
          <w:color w:val="auto"/>
          <w:highlight w:val="none"/>
        </w:rPr>
        <w:t>。</w:t>
      </w:r>
    </w:p>
    <w:p>
      <w:pPr>
        <w:pStyle w:val="35"/>
        <w:rPr>
          <w:color w:val="auto"/>
          <w:highlight w:val="none"/>
        </w:rPr>
      </w:pPr>
      <w:r>
        <w:rPr>
          <w:color w:val="auto"/>
          <w:highlight w:val="none"/>
        </w:rPr>
        <w:t>终止确认时，将</w:t>
      </w:r>
      <w:r>
        <w:rPr>
          <w:rFonts w:hint="eastAsia"/>
          <w:color w:val="auto"/>
          <w:highlight w:val="none"/>
        </w:rPr>
        <w:t>支付的对价</w:t>
      </w:r>
      <w:r>
        <w:rPr>
          <w:color w:val="auto"/>
          <w:highlight w:val="none"/>
        </w:rPr>
        <w:t>与该金融负债账面价值之间的差额计入当期损益。</w:t>
      </w:r>
    </w:p>
    <w:p>
      <w:pPr>
        <w:pStyle w:val="35"/>
        <w:rPr>
          <w:color w:val="auto"/>
          <w:highlight w:val="none"/>
        </w:rPr>
      </w:pPr>
    </w:p>
    <w:p>
      <w:pPr>
        <w:pStyle w:val="44"/>
        <w:rPr>
          <w:color w:val="auto"/>
          <w:highlight w:val="none"/>
        </w:rPr>
      </w:pPr>
      <w:r>
        <w:rPr>
          <w:color w:val="auto"/>
          <w:highlight w:val="none"/>
        </w:rPr>
        <w:t>金融资产终止确认和金融资产转移</w:t>
      </w:r>
    </w:p>
    <w:p>
      <w:pPr>
        <w:pStyle w:val="35"/>
        <w:rPr>
          <w:rFonts w:eastAsiaTheme="minorEastAsia"/>
          <w:color w:val="auto"/>
          <w:highlight w:val="none"/>
        </w:rPr>
      </w:pPr>
      <w:r>
        <w:rPr>
          <w:rFonts w:eastAsiaTheme="minorEastAsia"/>
          <w:color w:val="auto"/>
          <w:highlight w:val="none"/>
        </w:rPr>
        <w:t>满足下列条件之一时</w:t>
      </w:r>
      <w:r>
        <w:rPr>
          <w:rFonts w:hint="eastAsia" w:eastAsiaTheme="minorEastAsia"/>
          <w:color w:val="auto"/>
          <w:highlight w:val="none"/>
        </w:rPr>
        <w:t>，</w:t>
      </w:r>
      <w:r>
        <w:rPr>
          <w:rFonts w:eastAsiaTheme="minorEastAsia"/>
          <w:color w:val="auto"/>
          <w:highlight w:val="none"/>
        </w:rPr>
        <w:t>本公司终止确认金融资产</w:t>
      </w:r>
      <w:r>
        <w:rPr>
          <w:rFonts w:hint="eastAsia" w:eastAsiaTheme="minorEastAsia"/>
          <w:color w:val="auto"/>
          <w:highlight w:val="none"/>
        </w:rPr>
        <w:t>：</w:t>
      </w:r>
    </w:p>
    <w:p>
      <w:pPr>
        <w:pStyle w:val="35"/>
        <w:numPr>
          <w:ilvl w:val="0"/>
          <w:numId w:val="15"/>
        </w:numPr>
        <w:rPr>
          <w:rFonts w:eastAsiaTheme="minorEastAsia"/>
          <w:color w:val="auto"/>
          <w:highlight w:val="none"/>
        </w:rPr>
      </w:pPr>
      <w:r>
        <w:rPr>
          <w:rFonts w:hint="eastAsia" w:eastAsiaTheme="minorEastAsia"/>
          <w:color w:val="auto"/>
          <w:highlight w:val="none"/>
        </w:rPr>
        <w:t>收取金融资产现金流量的合同权利终止；</w:t>
      </w:r>
    </w:p>
    <w:p>
      <w:pPr>
        <w:pStyle w:val="35"/>
        <w:numPr>
          <w:ilvl w:val="0"/>
          <w:numId w:val="15"/>
        </w:numPr>
        <w:rPr>
          <w:rFonts w:eastAsiaTheme="minorEastAsia"/>
          <w:color w:val="auto"/>
          <w:highlight w:val="none"/>
        </w:rPr>
      </w:pPr>
      <w:r>
        <w:rPr>
          <w:rFonts w:eastAsiaTheme="minorEastAsia"/>
          <w:color w:val="auto"/>
          <w:highlight w:val="none"/>
        </w:rPr>
        <w:t>金融资产已转移，</w:t>
      </w:r>
      <w:r>
        <w:rPr>
          <w:rFonts w:hint="eastAsia" w:eastAsiaTheme="minorEastAsia"/>
          <w:color w:val="auto"/>
          <w:highlight w:val="none"/>
        </w:rPr>
        <w:t>且</w:t>
      </w:r>
      <w:r>
        <w:rPr>
          <w:rFonts w:eastAsiaTheme="minorEastAsia"/>
          <w:color w:val="auto"/>
          <w:highlight w:val="none"/>
        </w:rPr>
        <w:t>已将金融资产所有权上几乎所有的风险和报酬转移给转入方；</w:t>
      </w:r>
    </w:p>
    <w:p>
      <w:pPr>
        <w:pStyle w:val="35"/>
        <w:numPr>
          <w:ilvl w:val="0"/>
          <w:numId w:val="15"/>
        </w:numPr>
        <w:rPr>
          <w:rFonts w:eastAsiaTheme="minorEastAsia"/>
          <w:color w:val="auto"/>
          <w:highlight w:val="none"/>
        </w:rPr>
      </w:pPr>
      <w:r>
        <w:rPr>
          <w:rFonts w:eastAsiaTheme="minorEastAsia"/>
          <w:color w:val="auto"/>
          <w:highlight w:val="none"/>
        </w:rPr>
        <w:t>金融资产已转移</w:t>
      </w:r>
      <w:r>
        <w:rPr>
          <w:rFonts w:hint="eastAsia" w:eastAsiaTheme="minorEastAsia"/>
          <w:color w:val="auto"/>
          <w:highlight w:val="none"/>
        </w:rPr>
        <w:t>，</w:t>
      </w:r>
      <w:r>
        <w:rPr>
          <w:rFonts w:eastAsiaTheme="minorEastAsia"/>
          <w:color w:val="auto"/>
          <w:highlight w:val="none"/>
        </w:rPr>
        <w:t>虽然本公司既没有转移也没有</w:t>
      </w:r>
      <w:r>
        <w:rPr>
          <w:rFonts w:hint="eastAsia" w:eastAsiaTheme="minorEastAsia"/>
          <w:color w:val="auto"/>
          <w:highlight w:val="none"/>
        </w:rPr>
        <w:t>保留金融资产所有权上几乎所有的风险和报酬，但是未保留对金融资产的控制。</w:t>
      </w:r>
    </w:p>
    <w:p>
      <w:pPr>
        <w:pStyle w:val="35"/>
        <w:rPr>
          <w:rFonts w:eastAsiaTheme="minorEastAsia"/>
          <w:color w:val="auto"/>
          <w:highlight w:val="none"/>
        </w:rPr>
      </w:pPr>
    </w:p>
    <w:p>
      <w:pPr>
        <w:pStyle w:val="35"/>
        <w:rPr>
          <w:rFonts w:eastAsiaTheme="minorEastAsia"/>
          <w:color w:val="auto"/>
          <w:highlight w:val="none"/>
        </w:rPr>
      </w:pPr>
      <w:r>
        <w:rPr>
          <w:rFonts w:eastAsiaTheme="minorEastAsia"/>
          <w:color w:val="auto"/>
          <w:highlight w:val="none"/>
        </w:rPr>
        <w:t>发生金融资产转移时</w:t>
      </w:r>
      <w:r>
        <w:rPr>
          <w:rFonts w:hint="eastAsia" w:eastAsiaTheme="minorEastAsia"/>
          <w:color w:val="auto"/>
          <w:highlight w:val="none"/>
        </w:rPr>
        <w:t>，</w:t>
      </w:r>
      <w:r>
        <w:rPr>
          <w:rFonts w:eastAsiaTheme="minorEastAsia"/>
          <w:color w:val="auto"/>
          <w:highlight w:val="none"/>
        </w:rPr>
        <w:t>如保留了金融资产所有权上几乎所有的风险和报酬的，则不终止确认该金融资产。</w:t>
      </w:r>
    </w:p>
    <w:p>
      <w:pPr>
        <w:pStyle w:val="35"/>
        <w:rPr>
          <w:rFonts w:eastAsiaTheme="minorEastAsia"/>
          <w:color w:val="auto"/>
          <w:highlight w:val="none"/>
        </w:rPr>
      </w:pPr>
    </w:p>
    <w:p>
      <w:pPr>
        <w:pStyle w:val="35"/>
        <w:rPr>
          <w:rFonts w:eastAsiaTheme="minorEastAsia"/>
          <w:color w:val="auto"/>
          <w:highlight w:val="none"/>
        </w:rPr>
      </w:pPr>
      <w:r>
        <w:rPr>
          <w:rFonts w:eastAsiaTheme="minorEastAsia"/>
          <w:color w:val="auto"/>
          <w:highlight w:val="none"/>
        </w:rPr>
        <w:t>在判断金融资产转移是否满足上述金融资产终止确认条件时，采用实质重于形式的原则。公司将金融资产转移区分为金融资产整体转移和部分转移。金融资产整体转移满足终止确认条件的，将下列两项金额的差额计入当期损益：</w:t>
      </w:r>
    </w:p>
    <w:p>
      <w:pPr>
        <w:pStyle w:val="35"/>
        <w:rPr>
          <w:rFonts w:eastAsiaTheme="minorEastAsia"/>
          <w:color w:val="auto"/>
          <w:highlight w:val="none"/>
        </w:rPr>
      </w:pPr>
      <w:r>
        <w:rPr>
          <w:rFonts w:eastAsiaTheme="minorEastAsia"/>
          <w:color w:val="auto"/>
          <w:highlight w:val="none"/>
        </w:rPr>
        <w:t>（1）所转移金融资产的账面价值；</w:t>
      </w:r>
    </w:p>
    <w:p>
      <w:pPr>
        <w:pStyle w:val="35"/>
        <w:rPr>
          <w:rFonts w:eastAsiaTheme="minorEastAsia"/>
          <w:color w:val="auto"/>
          <w:highlight w:val="none"/>
        </w:rPr>
      </w:pPr>
      <w:r>
        <w:rPr>
          <w:rFonts w:eastAsiaTheme="minorEastAsia"/>
          <w:color w:val="auto"/>
          <w:highlight w:val="none"/>
        </w:rPr>
        <w:t>（2）因转移而收到的对价，与原直接计入所有者权益的公允价值变动累计额（涉及转移的金融资产为</w:t>
      </w:r>
      <w:r>
        <w:rPr>
          <w:rFonts w:hint="eastAsia"/>
          <w:color w:val="auto"/>
          <w:highlight w:val="none"/>
        </w:rPr>
        <w:t>以公允价值计量且其变动计入其他综合收益的金融资产（债务工具）</w:t>
      </w:r>
      <w:r>
        <w:rPr>
          <w:rFonts w:eastAsiaTheme="minorEastAsia"/>
          <w:color w:val="auto"/>
          <w:highlight w:val="none"/>
        </w:rPr>
        <w:t>的情形）之和。</w:t>
      </w:r>
    </w:p>
    <w:p>
      <w:pPr>
        <w:pStyle w:val="35"/>
        <w:rPr>
          <w:rFonts w:eastAsiaTheme="minorEastAsia"/>
          <w:color w:val="auto"/>
          <w:highlight w:val="none"/>
        </w:rPr>
      </w:pPr>
    </w:p>
    <w:p>
      <w:pPr>
        <w:pStyle w:val="35"/>
        <w:rPr>
          <w:rFonts w:eastAsiaTheme="minorEastAsia"/>
          <w:color w:val="auto"/>
          <w:highlight w:val="none"/>
        </w:rPr>
      </w:pPr>
      <w:r>
        <w:rPr>
          <w:rFonts w:eastAsiaTheme="minorEastAsia"/>
          <w:color w:val="auto"/>
          <w:highlight w:val="none"/>
        </w:rPr>
        <w:t>金融资产部分转移满足终止确认条件的，将所转移金融资产整体的账面价值，在终止确认部分和未终止确认部分之间，按照各自的相对公允价值进行分摊，并将下列两项金额的差额计入当期损益：</w:t>
      </w:r>
    </w:p>
    <w:p>
      <w:pPr>
        <w:pStyle w:val="35"/>
        <w:rPr>
          <w:rFonts w:eastAsiaTheme="minorEastAsia"/>
          <w:color w:val="auto"/>
          <w:highlight w:val="none"/>
        </w:rPr>
      </w:pPr>
      <w:r>
        <w:rPr>
          <w:rFonts w:eastAsiaTheme="minorEastAsia"/>
          <w:color w:val="auto"/>
          <w:highlight w:val="none"/>
        </w:rPr>
        <w:t>（1）终止确认部分的账面价值；</w:t>
      </w:r>
    </w:p>
    <w:p>
      <w:pPr>
        <w:pStyle w:val="35"/>
        <w:rPr>
          <w:rFonts w:eastAsiaTheme="minorEastAsia"/>
          <w:color w:val="auto"/>
          <w:highlight w:val="none"/>
        </w:rPr>
      </w:pPr>
      <w:r>
        <w:rPr>
          <w:rFonts w:eastAsiaTheme="minorEastAsia"/>
          <w:color w:val="auto"/>
          <w:highlight w:val="none"/>
        </w:rPr>
        <w:t>（2）终止确认部分的对价，与原直接计入所有者权益的公允价值变动累计额中对应终止确认部分的金额（涉及转移的金融资产为</w:t>
      </w:r>
      <w:r>
        <w:rPr>
          <w:rFonts w:hint="eastAsia"/>
          <w:color w:val="auto"/>
          <w:highlight w:val="none"/>
        </w:rPr>
        <w:t>以公允价值计量且其变动计入其他综合收益的金融资产（债务工具）</w:t>
      </w:r>
      <w:r>
        <w:rPr>
          <w:rFonts w:eastAsiaTheme="minorEastAsia"/>
          <w:color w:val="auto"/>
          <w:highlight w:val="none"/>
        </w:rPr>
        <w:t>的情形）之和。</w:t>
      </w:r>
    </w:p>
    <w:p>
      <w:pPr>
        <w:pStyle w:val="35"/>
        <w:rPr>
          <w:rFonts w:eastAsiaTheme="minorEastAsia"/>
          <w:color w:val="auto"/>
          <w:highlight w:val="none"/>
        </w:rPr>
      </w:pPr>
    </w:p>
    <w:p>
      <w:pPr>
        <w:pStyle w:val="35"/>
        <w:rPr>
          <w:rFonts w:eastAsiaTheme="minorEastAsia"/>
          <w:color w:val="auto"/>
          <w:highlight w:val="none"/>
        </w:rPr>
      </w:pPr>
      <w:r>
        <w:rPr>
          <w:rFonts w:eastAsiaTheme="minorEastAsia"/>
          <w:color w:val="auto"/>
          <w:highlight w:val="none"/>
        </w:rPr>
        <w:t>金融资产转移不满足终止确认条件的，继续确认该金融资产，所收到的对价确认为一项金融负债。</w:t>
      </w:r>
    </w:p>
    <w:p>
      <w:pPr>
        <w:pStyle w:val="44"/>
        <w:rPr>
          <w:color w:val="auto"/>
          <w:highlight w:val="none"/>
        </w:rPr>
      </w:pPr>
      <w:r>
        <w:rPr>
          <w:color w:val="auto"/>
          <w:highlight w:val="none"/>
        </w:rPr>
        <w:t>金融负债终止确认</w:t>
      </w:r>
    </w:p>
    <w:p>
      <w:pPr>
        <w:pStyle w:val="35"/>
        <w:rPr>
          <w:rFonts w:eastAsiaTheme="minorEastAsia"/>
          <w:color w:val="auto"/>
          <w:highlight w:val="none"/>
        </w:rPr>
      </w:pPr>
      <w:r>
        <w:rPr>
          <w:rFonts w:eastAsiaTheme="minorEastAsia"/>
          <w:color w:val="auto"/>
          <w:highlight w:val="none"/>
        </w:rPr>
        <w:t>金融负债的现时义务全部或部分已经解除的，则终止确认该金融负债或其一部分；本公司若与债权人签定协议，以承担新金融负债方式替换现存金融负债，且新金融负债与现存金融负债的合同条款实质上不同的，则终止确认现存金融负债，并同时确认新金融负债。</w:t>
      </w:r>
    </w:p>
    <w:p>
      <w:pPr>
        <w:pStyle w:val="35"/>
        <w:rPr>
          <w:rFonts w:eastAsiaTheme="minorEastAsia"/>
          <w:color w:val="auto"/>
          <w:highlight w:val="none"/>
        </w:rPr>
      </w:pPr>
      <w:r>
        <w:rPr>
          <w:rFonts w:eastAsiaTheme="minorEastAsia"/>
          <w:color w:val="auto"/>
          <w:highlight w:val="none"/>
        </w:rPr>
        <w:t>对现存金融负债全部或部分合同条款作出实质性修改的，则终止确认现存金融负债或其一部分，同时将修改条款后的金融负债确认为一项新金融负债。</w:t>
      </w:r>
    </w:p>
    <w:p>
      <w:pPr>
        <w:pStyle w:val="35"/>
        <w:rPr>
          <w:rFonts w:eastAsiaTheme="minorEastAsia"/>
          <w:color w:val="auto"/>
          <w:highlight w:val="none"/>
        </w:rPr>
      </w:pPr>
      <w:r>
        <w:rPr>
          <w:rFonts w:eastAsiaTheme="minorEastAsia"/>
          <w:color w:val="auto"/>
          <w:highlight w:val="none"/>
        </w:rPr>
        <w:t>金融负债全部或部分终止确认时，终止确认的金融负债账面价值与支付对价（包括转出的非现金资产或承担的新金融负债）之间的差额，计入当期损益。</w:t>
      </w:r>
    </w:p>
    <w:p>
      <w:pPr>
        <w:pStyle w:val="35"/>
        <w:rPr>
          <w:color w:val="auto"/>
          <w:highlight w:val="none"/>
        </w:rPr>
      </w:pPr>
      <w:r>
        <w:rPr>
          <w:rFonts w:eastAsiaTheme="minorEastAsia"/>
          <w:color w:val="auto"/>
          <w:highlight w:val="none"/>
        </w:rPr>
        <w:t>本公司若回购部分金融负债的，在回购日按照继续确认部分与终止确认部分的相对公允价值，将该金融负债整体的账面价值进行分配。分配给终止确认部分的账面价值与支付的对价（包括转出的非现金资产或承担的新金融负债）之间的差额，计入当期损益。</w:t>
      </w:r>
    </w:p>
    <w:p>
      <w:pPr>
        <w:pStyle w:val="35"/>
        <w:rPr>
          <w:color w:val="auto"/>
          <w:highlight w:val="none"/>
        </w:rPr>
      </w:pPr>
    </w:p>
    <w:p>
      <w:pPr>
        <w:pStyle w:val="44"/>
        <w:rPr>
          <w:color w:val="auto"/>
          <w:highlight w:val="none"/>
        </w:rPr>
      </w:pPr>
      <w:r>
        <w:rPr>
          <w:color w:val="auto"/>
          <w:highlight w:val="none"/>
        </w:rPr>
        <w:t>金融资产和金融负债的公允价值的确定方法</w:t>
      </w:r>
    </w:p>
    <w:p>
      <w:pPr>
        <w:pStyle w:val="35"/>
        <w:rPr>
          <w:rFonts w:eastAsiaTheme="minorEastAsia"/>
          <w:color w:val="auto"/>
          <w:highlight w:val="none"/>
        </w:rPr>
      </w:pPr>
      <w:r>
        <w:rPr>
          <w:rFonts w:eastAsiaTheme="minorEastAsia"/>
          <w:color w:val="auto"/>
          <w:highlight w:val="none"/>
        </w:rPr>
        <w:t>存在活跃市场的金融工具，以活跃市场中的报价确定其公允价值。不存在活跃市场的金融工具，采用估值技术确定其公允价值。在估值时，本公司采用在当前情况下适用并且有足够可利用数据和其他信息支持的估值技术，选择与市场参与者在相关资产或负债的交易中所考虑的资产或负债特征相一致的输入值，并优先使用相关可观察输入值。只有在相关可观察输入值无法取得或取得不切实可行的情况下，才使用不可观察输入值。</w:t>
      </w:r>
    </w:p>
    <w:p>
      <w:pPr>
        <w:pStyle w:val="35"/>
        <w:rPr>
          <w:color w:val="auto"/>
          <w:highlight w:val="none"/>
        </w:rPr>
      </w:pPr>
    </w:p>
    <w:p>
      <w:pPr>
        <w:pStyle w:val="44"/>
        <w:rPr>
          <w:color w:val="auto"/>
          <w:highlight w:val="none"/>
        </w:rPr>
      </w:pPr>
      <w:r>
        <w:rPr>
          <w:color w:val="auto"/>
          <w:highlight w:val="none"/>
        </w:rPr>
        <w:t>金融资产减值的测试方法及会计处理方法</w:t>
      </w:r>
    </w:p>
    <w:p>
      <w:pPr>
        <w:pStyle w:val="35"/>
        <w:rPr>
          <w:color w:val="auto"/>
          <w:highlight w:val="none"/>
        </w:rPr>
      </w:pPr>
      <w:r>
        <w:rPr>
          <w:color w:val="auto"/>
          <w:highlight w:val="none"/>
        </w:rPr>
        <w:t>本公司</w:t>
      </w:r>
      <w:r>
        <w:rPr>
          <w:rFonts w:hint="eastAsia"/>
          <w:color w:val="auto"/>
          <w:highlight w:val="none"/>
        </w:rPr>
        <w:t>以单项或组合的方式</w:t>
      </w:r>
      <w:r>
        <w:rPr>
          <w:color w:val="auto"/>
          <w:highlight w:val="none"/>
        </w:rPr>
        <w:t>对以摊余成本计量的金融资产</w:t>
      </w:r>
      <w:r>
        <w:rPr>
          <w:rFonts w:hint="eastAsia"/>
          <w:color w:val="auto"/>
          <w:highlight w:val="none"/>
        </w:rPr>
        <w:t>、</w:t>
      </w:r>
      <w:r>
        <w:rPr>
          <w:color w:val="auto"/>
          <w:highlight w:val="none"/>
        </w:rPr>
        <w:t>以公允价值计量且其变动计入其他综合收益的金融资产</w:t>
      </w:r>
      <w:r>
        <w:rPr>
          <w:rFonts w:hint="eastAsia"/>
          <w:color w:val="auto"/>
          <w:highlight w:val="none"/>
        </w:rPr>
        <w:t>（债务工具）和财务担保合同等的预期信用损失进行估计。</w:t>
      </w:r>
    </w:p>
    <w:p>
      <w:pPr>
        <w:pStyle w:val="35"/>
        <w:rPr>
          <w:color w:val="auto"/>
          <w:highlight w:val="none"/>
        </w:rPr>
      </w:pPr>
      <w:r>
        <w:rPr>
          <w:rFonts w:hint="eastAsia"/>
          <w:color w:val="auto"/>
          <w:highlight w:val="none"/>
        </w:rPr>
        <w:t>本公司考虑有关过去事项、当前状况以及对未来经济状况的预测等合理且有依据的信息，以发生违约的风险为权重，计算合同应收的现金流量与预期能收到的现金流量之间差额的现值的概率加权金额，确认预期信用损失。</w:t>
      </w:r>
      <w:r>
        <w:rPr>
          <w:color w:val="auto"/>
          <w:highlight w:val="none"/>
        </w:rPr>
        <w:t>如果该金融工具的信用风险自初始确认后已显著增加，本公司按照相当于该金融工具整个存续期内预期信用损失的金额计量其损失准备</w:t>
      </w:r>
      <w:r>
        <w:rPr>
          <w:rFonts w:hint="eastAsia"/>
          <w:color w:val="auto"/>
          <w:highlight w:val="none"/>
        </w:rPr>
        <w:t>；</w:t>
      </w:r>
      <w:r>
        <w:rPr>
          <w:color w:val="auto"/>
          <w:highlight w:val="none"/>
        </w:rPr>
        <w:t>如果该金融工具的信用风险自初始确认后并未显著增加，本公司按照相当于该金融工具未来12个月内预期信用损失的金额计量其损失准备</w:t>
      </w:r>
      <w:r>
        <w:rPr>
          <w:rFonts w:hint="eastAsia"/>
          <w:color w:val="auto"/>
          <w:highlight w:val="none"/>
        </w:rPr>
        <w:t>。</w:t>
      </w:r>
      <w:r>
        <w:rPr>
          <w:color w:val="auto"/>
          <w:highlight w:val="none"/>
        </w:rPr>
        <w:t>由此形成的损失准备的增加或转回金额，作为减值损失或利得计入当期损益。</w:t>
      </w:r>
    </w:p>
    <w:p>
      <w:pPr>
        <w:pStyle w:val="35"/>
        <w:rPr>
          <w:color w:val="auto"/>
          <w:highlight w:val="none"/>
        </w:rPr>
      </w:pPr>
      <w:r>
        <w:rPr>
          <w:color w:val="auto"/>
          <w:highlight w:val="none"/>
        </w:rPr>
        <w:t>本公司通过比较金融工具在资产负债表日发生违约的风险与在初始确认日发生违约的风险</w:t>
      </w:r>
      <w:r>
        <w:rPr>
          <w:rFonts w:hint="eastAsia"/>
          <w:color w:val="auto"/>
          <w:highlight w:val="none"/>
        </w:rPr>
        <w:t>，</w:t>
      </w:r>
      <w:r>
        <w:rPr>
          <w:color w:val="auto"/>
          <w:highlight w:val="none"/>
        </w:rPr>
        <w:t>以确定金融工具预计存续期内发生违约风险的相对变化</w:t>
      </w:r>
      <w:r>
        <w:rPr>
          <w:rFonts w:hint="eastAsia"/>
          <w:color w:val="auto"/>
          <w:highlight w:val="none"/>
        </w:rPr>
        <w:t>，</w:t>
      </w:r>
      <w:r>
        <w:rPr>
          <w:color w:val="auto"/>
          <w:highlight w:val="none"/>
        </w:rPr>
        <w:t>以评估金融工具的信用风险自初始确认后是否已显著增加</w:t>
      </w:r>
      <w:r>
        <w:rPr>
          <w:rFonts w:hint="eastAsia"/>
          <w:color w:val="auto"/>
          <w:highlight w:val="none"/>
        </w:rPr>
        <w:t>。</w:t>
      </w:r>
      <w:r>
        <w:rPr>
          <w:color w:val="auto"/>
          <w:highlight w:val="none"/>
        </w:rPr>
        <w:t>通常逾期超过</w:t>
      </w:r>
      <w:r>
        <w:rPr>
          <w:rFonts w:hint="eastAsia"/>
          <w:color w:val="auto"/>
          <w:highlight w:val="none"/>
        </w:rPr>
        <w:t>30日，本公司即认为该金融工具的信用风险已显著增加，除非有确凿证据证明该金融工具的信用风险自初始确认后并未显著增加。</w:t>
      </w:r>
    </w:p>
    <w:p>
      <w:pPr>
        <w:pStyle w:val="35"/>
        <w:rPr>
          <w:color w:val="auto"/>
          <w:highlight w:val="none"/>
        </w:rPr>
      </w:pPr>
      <w:r>
        <w:rPr>
          <w:rFonts w:hint="eastAsia"/>
          <w:color w:val="auto"/>
          <w:highlight w:val="none"/>
        </w:rPr>
        <w:t>如果金融工具于资产负债表日的信用风险较低，本公司即认为该金融工具的信用风险自初始确认后并未显著增加。</w:t>
      </w:r>
    </w:p>
    <w:p>
      <w:pPr>
        <w:pStyle w:val="35"/>
        <w:rPr>
          <w:color w:val="auto"/>
          <w:highlight w:val="none"/>
        </w:rPr>
      </w:pPr>
      <w:r>
        <w:rPr>
          <w:rFonts w:hint="eastAsia"/>
          <w:color w:val="auto"/>
          <w:highlight w:val="none"/>
        </w:rPr>
        <w:t>如果有客观证据表明某项金融资产已经发生信用减值，则本公司在单项基础上对该金融资产计提减值准备。</w:t>
      </w:r>
    </w:p>
    <w:p>
      <w:pPr>
        <w:pStyle w:val="35"/>
        <w:rPr>
          <w:rFonts w:eastAsiaTheme="minorEastAsia"/>
          <w:color w:val="auto"/>
          <w:highlight w:val="none"/>
        </w:rPr>
      </w:pPr>
      <w:r>
        <w:rPr>
          <w:rFonts w:hint="eastAsia" w:eastAsiaTheme="minorEastAsia"/>
          <w:color w:val="auto"/>
          <w:highlight w:val="none"/>
        </w:rPr>
        <w:t>对于由《企业会计准则第1</w:t>
      </w:r>
      <w:r>
        <w:rPr>
          <w:rFonts w:eastAsiaTheme="minorEastAsia"/>
          <w:color w:val="auto"/>
          <w:highlight w:val="none"/>
        </w:rPr>
        <w:t>4号</w:t>
      </w:r>
      <w:r>
        <w:rPr>
          <w:rFonts w:hint="eastAsia" w:eastAsiaTheme="minorEastAsia"/>
          <w:color w:val="auto"/>
          <w:highlight w:val="none"/>
        </w:rPr>
        <w:t>——收入》(</w:t>
      </w:r>
      <w:r>
        <w:rPr>
          <w:rFonts w:eastAsiaTheme="minorEastAsia"/>
          <w:color w:val="auto"/>
          <w:highlight w:val="none"/>
        </w:rPr>
        <w:t>2017</w:t>
      </w:r>
      <w:r>
        <w:rPr>
          <w:rFonts w:hint="eastAsia" w:eastAsiaTheme="minorEastAsia"/>
          <w:color w:val="auto"/>
          <w:highlight w:val="none"/>
        </w:rPr>
        <w:t>)</w:t>
      </w:r>
      <w:r>
        <w:rPr>
          <w:rFonts w:eastAsiaTheme="minorEastAsia"/>
          <w:color w:val="auto"/>
          <w:highlight w:val="none"/>
        </w:rPr>
        <w:t>规范的交易</w:t>
      </w:r>
      <w:r>
        <w:rPr>
          <w:rFonts w:hint="eastAsia" w:eastAsiaTheme="minorEastAsia"/>
          <w:color w:val="auto"/>
          <w:highlight w:val="none"/>
        </w:rPr>
        <w:t>形成的应收款项和合同资产，无论是否包含重大融资成分，本公司</w:t>
      </w:r>
      <w:r>
        <w:rPr>
          <w:rFonts w:eastAsiaTheme="minorEastAsia"/>
          <w:color w:val="auto"/>
          <w:highlight w:val="none"/>
        </w:rPr>
        <w:t>始终按照相当于整个存续期内预期信用损失的金额计量其损失准备</w:t>
      </w:r>
      <w:r>
        <w:rPr>
          <w:rFonts w:hint="eastAsia" w:eastAsiaTheme="minorEastAsia"/>
          <w:color w:val="auto"/>
          <w:highlight w:val="none"/>
        </w:rPr>
        <w:t>。</w:t>
      </w:r>
    </w:p>
    <w:p>
      <w:pPr>
        <w:pStyle w:val="35"/>
        <w:rPr>
          <w:rFonts w:eastAsiaTheme="minorEastAsia"/>
          <w:color w:val="auto"/>
          <w:highlight w:val="none"/>
        </w:rPr>
      </w:pPr>
      <w:r>
        <w:rPr>
          <w:rFonts w:hint="eastAsia" w:eastAsiaTheme="minorEastAsia"/>
          <w:color w:val="auto"/>
          <w:highlight w:val="none"/>
        </w:rPr>
        <w:t>对于租赁应收款，本公司选择始终按照相当于整个存续期内预期信用损失的金额计量其损失准备。</w:t>
      </w:r>
    </w:p>
    <w:p>
      <w:pPr>
        <w:pStyle w:val="35"/>
        <w:rPr>
          <w:color w:val="auto"/>
          <w:highlight w:val="none"/>
        </w:rPr>
      </w:pPr>
      <w:r>
        <w:rPr>
          <w:rFonts w:hint="eastAsia"/>
          <w:color w:val="auto"/>
          <w:highlight w:val="none"/>
        </w:rPr>
        <w:t>本公司不再合理预期金融资产合同现金流量能够全部或部分收回的，直接减记该金融资产的账面余额。</w:t>
      </w:r>
    </w:p>
    <w:p>
      <w:pPr>
        <w:pStyle w:val="35"/>
        <w:rPr>
          <w:color w:val="auto"/>
          <w:highlight w:val="none"/>
        </w:rPr>
      </w:pPr>
    </w:p>
    <w:p>
      <w:pPr>
        <w:pStyle w:val="44"/>
        <w:rPr>
          <w:color w:val="auto"/>
          <w:highlight w:val="none"/>
        </w:rPr>
      </w:pPr>
      <w:r>
        <w:rPr>
          <w:rFonts w:hint="eastAsia"/>
          <w:color w:val="auto"/>
          <w:highlight w:val="none"/>
        </w:rPr>
        <w:t>金融资产和金融负债的抵销</w:t>
      </w:r>
    </w:p>
    <w:p>
      <w:pPr>
        <w:pStyle w:val="35"/>
        <w:rPr>
          <w:color w:val="auto"/>
          <w:highlight w:val="none"/>
        </w:rPr>
      </w:pPr>
      <w:r>
        <w:rPr>
          <w:color w:val="auto"/>
          <w:highlight w:val="none"/>
        </w:rPr>
        <w:t>当依法有权抵销债权债务且该法定权利当前是可执行的，同时交易双方准备按净额进行结算，或同时结清资产和负债时，金融资产和负债以抵销后的净额在资产负债表中列示。</w:t>
      </w:r>
    </w:p>
    <w:p>
      <w:pPr>
        <w:pStyle w:val="35"/>
        <w:rPr>
          <w:color w:val="auto"/>
          <w:highlight w:val="none"/>
        </w:rPr>
      </w:pPr>
    </w:p>
    <w:p>
      <w:pPr>
        <w:pStyle w:val="44"/>
        <w:rPr>
          <w:color w:val="auto"/>
          <w:highlight w:val="none"/>
        </w:rPr>
      </w:pPr>
      <w:r>
        <w:rPr>
          <w:rFonts w:hint="eastAsia"/>
          <w:color w:val="auto"/>
          <w:highlight w:val="none"/>
        </w:rPr>
        <w:t>金融负债与权益工具的区分及相关处理</w:t>
      </w:r>
    </w:p>
    <w:p>
      <w:pPr>
        <w:pStyle w:val="35"/>
        <w:rPr>
          <w:color w:val="auto"/>
          <w:highlight w:val="none"/>
        </w:rPr>
      </w:pPr>
      <w:r>
        <w:rPr>
          <w:color w:val="auto"/>
          <w:highlight w:val="none"/>
        </w:rPr>
        <w:t>权益工具是指能证明拥有某个企业在扣除所有负债后资产中的剩余权益的合同，如果公司不能无条件地避免以交付现金或其他金融资产来履行一项合同义务，则该合同义务为金融负债。</w:t>
      </w:r>
    </w:p>
    <w:p>
      <w:pPr>
        <w:pStyle w:val="35"/>
        <w:rPr>
          <w:color w:val="auto"/>
          <w:highlight w:val="none"/>
        </w:rPr>
      </w:pPr>
      <w:r>
        <w:rPr>
          <w:color w:val="auto"/>
          <w:highlight w:val="none"/>
        </w:rPr>
        <w:t>金融工具属于金融负债的，相关利息、股利、利得、损失，以及赎回或再融资产生的利得或损失等，应当计入当期损益。</w:t>
      </w:r>
    </w:p>
    <w:p>
      <w:pPr>
        <w:pStyle w:val="35"/>
        <w:rPr>
          <w:color w:val="auto"/>
          <w:highlight w:val="none"/>
        </w:rPr>
      </w:pPr>
      <w:r>
        <w:rPr>
          <w:color w:val="auto"/>
          <w:highlight w:val="none"/>
        </w:rPr>
        <w:t>金融工具属于权益工具的，其发行、回购、出售、注销时，发行方应当作为权益的变动处理，不应当确认权益工具的公允价值变动，发行方对权益工具的持有方的分配应作利润分配处理。</w:t>
      </w:r>
    </w:p>
    <w:p>
      <w:pPr>
        <w:pStyle w:val="35"/>
        <w:rPr>
          <w:rFonts w:hint="eastAsia"/>
          <w:color w:val="auto"/>
          <w:highlight w:val="none"/>
        </w:rPr>
      </w:pPr>
    </w:p>
    <w:p>
      <w:pPr>
        <w:pStyle w:val="35"/>
        <w:rPr>
          <w:rFonts w:hint="eastAsia"/>
          <w:color w:val="auto"/>
          <w:highlight w:val="none"/>
        </w:rPr>
      </w:pPr>
    </w:p>
    <w:p>
      <w:pPr>
        <w:pStyle w:val="35"/>
        <w:rPr>
          <w:color w:val="auto"/>
          <w:highlight w:val="none"/>
        </w:rPr>
      </w:pPr>
    </w:p>
    <w:p>
      <w:pPr>
        <w:pStyle w:val="37"/>
        <w:rPr>
          <w:color w:val="auto"/>
          <w:highlight w:val="none"/>
        </w:rPr>
      </w:pPr>
      <w:r>
        <w:rPr>
          <w:color w:val="auto"/>
          <w:highlight w:val="none"/>
        </w:rPr>
        <w:t>应收票据</w:t>
      </w:r>
    </w:p>
    <w:p>
      <w:pPr>
        <w:pStyle w:val="38"/>
        <w:rPr>
          <w:color w:val="auto"/>
          <w:highlight w:val="none"/>
        </w:rPr>
      </w:pPr>
      <w:r>
        <w:rPr>
          <w:color w:val="auto"/>
          <w:highlight w:val="none"/>
        </w:rPr>
        <w:t>如果企业确定金融工具的违约风险较低，借款人在短期内履行其支付合同现金流量义务的能力很强，并且即使较长时期内经济形势和经营环境存在不利变化，也不一定会降低借款人履行其支付合同现金流量义务的能力，那么该金融工具可被视为具有较低的信用风险。</w:t>
      </w:r>
    </w:p>
    <w:p>
      <w:pPr>
        <w:pStyle w:val="38"/>
        <w:rPr>
          <w:color w:val="auto"/>
          <w:highlight w:val="none"/>
        </w:rPr>
      </w:pPr>
      <w:r>
        <w:rPr>
          <w:rFonts w:hint="eastAsia"/>
          <w:color w:val="auto"/>
          <w:highlight w:val="none"/>
        </w:rPr>
        <w:t>详见本附注</w:t>
      </w:r>
      <w:r>
        <w:rPr>
          <w:rFonts w:hint="eastAsia" w:ascii="宋体" w:hAnsi="宋体"/>
          <w:color w:val="auto"/>
          <w:highlight w:val="none"/>
        </w:rPr>
        <w:t>“</w:t>
      </w:r>
      <w:r>
        <w:rPr>
          <w:color w:val="auto"/>
          <w:highlight w:val="none"/>
        </w:rPr>
        <w:t>四、（</w:t>
      </w:r>
      <w:r>
        <w:rPr>
          <w:rFonts w:hint="eastAsia"/>
          <w:color w:val="auto"/>
          <w:highlight w:val="none"/>
        </w:rPr>
        <w:t>七</w:t>
      </w:r>
      <w:r>
        <w:rPr>
          <w:color w:val="auto"/>
          <w:highlight w:val="none"/>
        </w:rPr>
        <w:t>）金融工具-金融资产减值的测试方法及会计处理方法</w:t>
      </w:r>
      <w:r>
        <w:rPr>
          <w:rFonts w:hint="eastAsia" w:ascii="宋体" w:hAnsi="宋体"/>
          <w:color w:val="auto"/>
          <w:highlight w:val="none"/>
        </w:rPr>
        <w:t>”</w:t>
      </w:r>
      <w:r>
        <w:rPr>
          <w:color w:val="auto"/>
          <w:highlight w:val="none"/>
        </w:rPr>
        <w:t>处理。</w:t>
      </w:r>
    </w:p>
    <w:p>
      <w:pPr>
        <w:pStyle w:val="38"/>
        <w:rPr>
          <w:color w:val="auto"/>
          <w:highlight w:val="none"/>
        </w:rPr>
      </w:pPr>
    </w:p>
    <w:p>
      <w:pPr>
        <w:pStyle w:val="37"/>
        <w:rPr>
          <w:rFonts w:eastAsiaTheme="minorEastAsia"/>
          <w:color w:val="auto"/>
          <w:highlight w:val="none"/>
        </w:rPr>
      </w:pPr>
      <w:r>
        <w:rPr>
          <w:rFonts w:eastAsiaTheme="minorEastAsia"/>
          <w:color w:val="auto"/>
          <w:highlight w:val="none"/>
        </w:rPr>
        <w:t>应收款项</w:t>
      </w:r>
    </w:p>
    <w:p>
      <w:pPr>
        <w:pStyle w:val="38"/>
        <w:rPr>
          <w:color w:val="auto"/>
          <w:highlight w:val="none"/>
        </w:rPr>
      </w:pPr>
      <w:r>
        <w:rPr>
          <w:rFonts w:hint="eastAsia"/>
          <w:color w:val="auto"/>
          <w:highlight w:val="none"/>
        </w:rPr>
        <w:t>应收款项包括应收账款、其他应收款等。本公司对外销售商品或提供劳务形成的应收账款，按从购货方应收的合同或协议价款的公允价值作为初始确认金额。应收款项采用实际利率法，以摊余成本减去坏账准备后的净额列示。</w:t>
      </w:r>
    </w:p>
    <w:p>
      <w:pPr>
        <w:pStyle w:val="38"/>
        <w:rPr>
          <w:color w:val="auto"/>
          <w:highlight w:val="none"/>
        </w:rPr>
      </w:pPr>
      <w:r>
        <w:rPr>
          <w:rFonts w:hint="eastAsia"/>
          <w:color w:val="auto"/>
          <w:highlight w:val="none"/>
        </w:rPr>
        <w:t>详见本附注</w:t>
      </w:r>
      <w:r>
        <w:rPr>
          <w:rFonts w:hint="eastAsia" w:ascii="宋体" w:hAnsi="宋体"/>
          <w:color w:val="auto"/>
          <w:highlight w:val="none"/>
        </w:rPr>
        <w:t>“</w:t>
      </w:r>
      <w:r>
        <w:rPr>
          <w:color w:val="auto"/>
          <w:highlight w:val="none"/>
        </w:rPr>
        <w:t>四、（</w:t>
      </w:r>
      <w:r>
        <w:rPr>
          <w:rFonts w:hint="eastAsia"/>
          <w:color w:val="auto"/>
          <w:highlight w:val="none"/>
        </w:rPr>
        <w:t>七</w:t>
      </w:r>
      <w:r>
        <w:rPr>
          <w:color w:val="auto"/>
          <w:highlight w:val="none"/>
        </w:rPr>
        <w:t>）金融工具-金融资产减值的测试方法及会计处理方法</w:t>
      </w:r>
      <w:r>
        <w:rPr>
          <w:rFonts w:hint="eastAsia" w:ascii="宋体" w:hAnsi="宋体"/>
          <w:color w:val="auto"/>
          <w:highlight w:val="none"/>
        </w:rPr>
        <w:t>”</w:t>
      </w:r>
      <w:r>
        <w:rPr>
          <w:color w:val="auto"/>
          <w:highlight w:val="none"/>
        </w:rPr>
        <w:t>处理。</w:t>
      </w:r>
    </w:p>
    <w:p>
      <w:pPr>
        <w:pStyle w:val="38"/>
        <w:rPr>
          <w:color w:val="auto"/>
          <w:highlight w:val="none"/>
        </w:rPr>
      </w:pPr>
    </w:p>
    <w:p>
      <w:pPr>
        <w:pStyle w:val="37"/>
        <w:rPr>
          <w:rFonts w:eastAsiaTheme="minorEastAsia"/>
          <w:color w:val="auto"/>
          <w:highlight w:val="none"/>
        </w:rPr>
      </w:pPr>
      <w:r>
        <w:rPr>
          <w:rFonts w:eastAsiaTheme="minorEastAsia"/>
          <w:color w:val="auto"/>
          <w:highlight w:val="none"/>
        </w:rPr>
        <w:t>存货</w:t>
      </w:r>
    </w:p>
    <w:p>
      <w:pPr>
        <w:pStyle w:val="44"/>
        <w:rPr>
          <w:color w:val="auto"/>
          <w:highlight w:val="none"/>
        </w:rPr>
      </w:pPr>
      <w:r>
        <w:rPr>
          <w:rFonts w:hint="eastAsia"/>
          <w:color w:val="auto"/>
          <w:highlight w:val="none"/>
        </w:rPr>
        <w:t>存货的分类</w:t>
      </w:r>
    </w:p>
    <w:p>
      <w:pPr>
        <w:pStyle w:val="35"/>
        <w:rPr>
          <w:rFonts w:eastAsiaTheme="minorEastAsia"/>
          <w:color w:val="auto"/>
          <w:highlight w:val="none"/>
        </w:rPr>
      </w:pPr>
      <w:r>
        <w:rPr>
          <w:rFonts w:hint="eastAsia" w:eastAsiaTheme="minorEastAsia"/>
          <w:color w:val="auto"/>
          <w:highlight w:val="none"/>
        </w:rPr>
        <w:t>存货分为在途物资、原材料、委托加工物资、在产品、低值易耗品、包装物、库存商品、发出商品、开发成本、开发产品等。</w:t>
      </w:r>
    </w:p>
    <w:p>
      <w:pPr>
        <w:pStyle w:val="35"/>
        <w:rPr>
          <w:rFonts w:eastAsiaTheme="minorEastAsia"/>
          <w:color w:val="auto"/>
          <w:highlight w:val="none"/>
        </w:rPr>
      </w:pPr>
    </w:p>
    <w:p>
      <w:pPr>
        <w:pStyle w:val="44"/>
        <w:rPr>
          <w:color w:val="auto"/>
          <w:highlight w:val="none"/>
        </w:rPr>
      </w:pPr>
      <w:r>
        <w:rPr>
          <w:rFonts w:hint="eastAsia"/>
          <w:color w:val="auto"/>
          <w:highlight w:val="none"/>
        </w:rPr>
        <w:t>存货取得和发出的计价方法、存货的盘存制度及摊销</w:t>
      </w:r>
    </w:p>
    <w:p>
      <w:pPr>
        <w:pStyle w:val="35"/>
        <w:rPr>
          <w:rFonts w:eastAsiaTheme="minorEastAsia"/>
          <w:color w:val="auto"/>
          <w:highlight w:val="none"/>
        </w:rPr>
      </w:pPr>
      <w:r>
        <w:rPr>
          <w:rFonts w:hint="eastAsia" w:eastAsiaTheme="minorEastAsia"/>
          <w:color w:val="auto"/>
          <w:highlight w:val="none"/>
        </w:rPr>
        <w:t>存货按成本进行初始计量，存货成本包括采购成本、加工成本和其他使存货达到目前场所和状态所发生的支出。</w:t>
      </w:r>
    </w:p>
    <w:p>
      <w:pPr>
        <w:pStyle w:val="35"/>
        <w:rPr>
          <w:rFonts w:eastAsiaTheme="minorEastAsia"/>
          <w:color w:val="auto"/>
          <w:highlight w:val="none"/>
        </w:rPr>
      </w:pPr>
      <w:r>
        <w:rPr>
          <w:rFonts w:hint="eastAsia" w:eastAsiaTheme="minorEastAsia"/>
          <w:color w:val="auto"/>
          <w:highlight w:val="none"/>
        </w:rPr>
        <w:t>原材料、在产品、库存商品、发出商品等发出时采用加权平均法；低值易耗品领用时采用一次转销法摊销；周转用包装物按照预计的使用次数分次计入成本费用。</w:t>
      </w:r>
    </w:p>
    <w:p>
      <w:pPr>
        <w:pStyle w:val="35"/>
        <w:rPr>
          <w:rFonts w:hint="eastAsia" w:eastAsiaTheme="minorEastAsia"/>
          <w:color w:val="auto"/>
          <w:highlight w:val="none"/>
        </w:rPr>
      </w:pPr>
      <w:r>
        <w:rPr>
          <w:rFonts w:hint="eastAsia" w:eastAsiaTheme="minorEastAsia"/>
          <w:color w:val="auto"/>
          <w:highlight w:val="none"/>
        </w:rPr>
        <w:t>存货盘存制度采用永续盘存制。</w:t>
      </w:r>
    </w:p>
    <w:p>
      <w:pPr>
        <w:pStyle w:val="35"/>
        <w:rPr>
          <w:rFonts w:eastAsiaTheme="minorEastAsia"/>
          <w:color w:val="auto"/>
          <w:highlight w:val="none"/>
        </w:rPr>
      </w:pPr>
    </w:p>
    <w:p>
      <w:pPr>
        <w:pStyle w:val="44"/>
        <w:rPr>
          <w:color w:val="auto"/>
          <w:highlight w:val="none"/>
        </w:rPr>
      </w:pPr>
      <w:r>
        <w:rPr>
          <w:rFonts w:hint="eastAsia"/>
          <w:color w:val="auto"/>
          <w:highlight w:val="none"/>
        </w:rPr>
        <w:t>存货跌价准备的确认标准和计提方法</w:t>
      </w:r>
    </w:p>
    <w:p>
      <w:pPr>
        <w:pStyle w:val="35"/>
        <w:rPr>
          <w:rFonts w:eastAsiaTheme="minorEastAsia"/>
          <w:color w:val="auto"/>
          <w:highlight w:val="none"/>
        </w:rPr>
      </w:pPr>
      <w:r>
        <w:rPr>
          <w:rFonts w:hint="eastAsia" w:eastAsiaTheme="minorEastAsia"/>
          <w:color w:val="auto"/>
          <w:highlight w:val="none"/>
        </w:rPr>
        <w:t>资产负债表日，存货应当按照成本与可变现净值孰低计量。当存货成本高于其可变现净值的，应当计提存货跌价准备。</w:t>
      </w:r>
    </w:p>
    <w:p>
      <w:pPr>
        <w:pStyle w:val="35"/>
        <w:rPr>
          <w:rFonts w:eastAsiaTheme="minorEastAsia"/>
          <w:color w:val="auto"/>
          <w:highlight w:val="none"/>
        </w:rPr>
      </w:pPr>
      <w:r>
        <w:rPr>
          <w:rFonts w:hint="eastAsia" w:eastAsiaTheme="minorEastAsia"/>
          <w:color w:val="auto"/>
          <w:highlight w:val="none"/>
        </w:rPr>
        <w:t>期末按照单个存货项目计提存货跌价准备；但对于数量繁多、单价较低的存货，按照存货类别计提存货跌价准备；与在同一地区生产和销售的产品系列相关、具有相同或类似最终用途或目的，且难以与其他项目分开计量的存货，则合并计提存货跌价准备。</w:t>
      </w:r>
    </w:p>
    <w:p>
      <w:pPr>
        <w:pStyle w:val="35"/>
        <w:rPr>
          <w:rFonts w:eastAsiaTheme="minorEastAsia"/>
          <w:color w:val="auto"/>
          <w:highlight w:val="none"/>
        </w:rPr>
      </w:pPr>
    </w:p>
    <w:p>
      <w:pPr>
        <w:pStyle w:val="44"/>
        <w:rPr>
          <w:color w:val="auto"/>
          <w:highlight w:val="none"/>
        </w:rPr>
      </w:pPr>
      <w:r>
        <w:rPr>
          <w:rFonts w:hint="eastAsia"/>
          <w:color w:val="auto"/>
          <w:highlight w:val="none"/>
        </w:rPr>
        <w:t>存货可变现净值的确认方法</w:t>
      </w:r>
    </w:p>
    <w:p>
      <w:pPr>
        <w:pStyle w:val="35"/>
        <w:rPr>
          <w:rFonts w:eastAsiaTheme="minorEastAsia"/>
          <w:color w:val="auto"/>
          <w:highlight w:val="none"/>
        </w:rPr>
      </w:pPr>
      <w:r>
        <w:rPr>
          <w:rFonts w:hint="eastAsia" w:eastAsiaTheme="minorEastAsia"/>
          <w:color w:val="auto"/>
          <w:highlight w:val="none"/>
        </w:rPr>
        <w:t>存货可变现净值是指在日常活动中，存货的估计售价减去至完工时估计将要发生的成本、估计的销售费用以及相关税费后的金额。</w:t>
      </w:r>
    </w:p>
    <w:p>
      <w:pPr>
        <w:pStyle w:val="35"/>
        <w:rPr>
          <w:rFonts w:eastAsiaTheme="minorEastAsia"/>
          <w:color w:val="auto"/>
          <w:highlight w:val="none"/>
        </w:rPr>
      </w:pPr>
      <w:r>
        <w:rPr>
          <w:rFonts w:hint="eastAsia" w:eastAsiaTheme="minorEastAsia"/>
          <w:color w:val="auto"/>
          <w:highlight w:val="none"/>
        </w:rPr>
        <w:t>产成品、库存商品和用于出售的材料等直接用于出售的商品存货，在正常生产经营过程中，以该存货的估计售价减去估计的销售费用和相关税费后的金额，确定其可变现净值；需要经过加工的材料存货，在正常生产经营过程中，以所生产的产成品的估计售价减去至完工时估计将要发生的成本、估计的销售费用和相关税费后的金额，确定其可变现净值；为执行销售合同或者劳务合同而持有的存货，其可变现净值以合同价格为基础计算，若持有存货的数量多于销售合同订购数量的，超出部分的存货的可变现净值以一般销售价格为基础计算。</w:t>
      </w:r>
    </w:p>
    <w:p>
      <w:pPr>
        <w:pStyle w:val="35"/>
        <w:rPr>
          <w:rFonts w:eastAsiaTheme="minorEastAsia"/>
          <w:color w:val="auto"/>
          <w:highlight w:val="none"/>
        </w:rPr>
      </w:pPr>
    </w:p>
    <w:p>
      <w:pPr>
        <w:pStyle w:val="37"/>
        <w:jc w:val="left"/>
        <w:rPr>
          <w:color w:val="auto"/>
          <w:highlight w:val="none"/>
        </w:rPr>
      </w:pPr>
      <w:r>
        <w:rPr>
          <w:color w:val="auto"/>
          <w:highlight w:val="none"/>
        </w:rPr>
        <w:t>合同资产</w:t>
      </w:r>
    </w:p>
    <w:p>
      <w:pPr>
        <w:pStyle w:val="44"/>
        <w:rPr>
          <w:color w:val="auto"/>
          <w:highlight w:val="none"/>
        </w:rPr>
      </w:pPr>
      <w:r>
        <w:rPr>
          <w:color w:val="auto"/>
          <w:highlight w:val="none"/>
        </w:rPr>
        <w:t>合同资产的确认方法及标准</w:t>
      </w:r>
    </w:p>
    <w:p>
      <w:pPr>
        <w:pStyle w:val="35"/>
        <w:rPr>
          <w:color w:val="auto"/>
          <w:highlight w:val="none"/>
        </w:rPr>
      </w:pPr>
      <w:r>
        <w:rPr>
          <w:rFonts w:hint="eastAsia"/>
          <w:color w:val="auto"/>
          <w:highlight w:val="none"/>
        </w:rPr>
        <w:t>本公司根据履行履约义务与客户付款之间的关系在资产负债表中列示合同资产或合同负债。本公司已向客户转让商品或提供服务而有权收取对价的权利（且该权利取决于时间流逝之外的其他因素）列示为合同资产。同一合同下的合同资产和合同负债以净额列示。本公司拥有的、无条件（仅取决于时间流逝）向客户收取对价的权利作为应收款项单独列示。</w:t>
      </w:r>
    </w:p>
    <w:p>
      <w:pPr>
        <w:pStyle w:val="35"/>
        <w:rPr>
          <w:color w:val="auto"/>
          <w:highlight w:val="none"/>
        </w:rPr>
      </w:pPr>
    </w:p>
    <w:p>
      <w:pPr>
        <w:pStyle w:val="44"/>
        <w:rPr>
          <w:color w:val="auto"/>
          <w:highlight w:val="none"/>
        </w:rPr>
      </w:pPr>
      <w:r>
        <w:rPr>
          <w:color w:val="auto"/>
          <w:highlight w:val="none"/>
        </w:rPr>
        <w:t>合同资产预期信用损失的确定方法及会计处理方法</w:t>
      </w:r>
    </w:p>
    <w:p>
      <w:pPr>
        <w:pStyle w:val="35"/>
        <w:rPr>
          <w:color w:val="auto"/>
          <w:highlight w:val="none"/>
        </w:rPr>
      </w:pPr>
      <w:r>
        <w:rPr>
          <w:rFonts w:hint="eastAsia"/>
          <w:color w:val="auto"/>
          <w:highlight w:val="none"/>
        </w:rPr>
        <w:t>合同资产的预期信用损失的确定方法及会计处理方法详见本附注</w:t>
      </w:r>
      <w:r>
        <w:rPr>
          <w:rFonts w:hint="eastAsia" w:ascii="宋体" w:hAnsi="宋体"/>
          <w:color w:val="auto"/>
          <w:highlight w:val="none"/>
        </w:rPr>
        <w:t>“</w:t>
      </w:r>
      <w:r>
        <w:rPr>
          <w:color w:val="auto"/>
          <w:highlight w:val="none"/>
        </w:rPr>
        <w:t>四、（</w:t>
      </w:r>
      <w:r>
        <w:rPr>
          <w:rFonts w:hint="eastAsia"/>
          <w:color w:val="auto"/>
          <w:highlight w:val="none"/>
        </w:rPr>
        <w:t>七</w:t>
      </w:r>
      <w:r>
        <w:rPr>
          <w:color w:val="auto"/>
          <w:highlight w:val="none"/>
        </w:rPr>
        <w:t>）金融工具-金融资产减值的测试方法及会计处理方法</w:t>
      </w:r>
      <w:r>
        <w:rPr>
          <w:rFonts w:hint="eastAsia" w:ascii="宋体" w:hAnsi="宋体"/>
          <w:color w:val="auto"/>
          <w:highlight w:val="none"/>
        </w:rPr>
        <w:t>”</w:t>
      </w:r>
      <w:r>
        <w:rPr>
          <w:color w:val="auto"/>
          <w:highlight w:val="none"/>
        </w:rPr>
        <w:t>。</w:t>
      </w:r>
    </w:p>
    <w:p>
      <w:pPr>
        <w:pStyle w:val="35"/>
        <w:rPr>
          <w:color w:val="auto"/>
          <w:highlight w:val="none"/>
        </w:rPr>
      </w:pPr>
    </w:p>
    <w:p>
      <w:pPr>
        <w:pStyle w:val="37"/>
        <w:rPr>
          <w:rFonts w:eastAsiaTheme="minorEastAsia"/>
          <w:color w:val="auto"/>
          <w:highlight w:val="none"/>
        </w:rPr>
      </w:pPr>
      <w:r>
        <w:rPr>
          <w:rFonts w:eastAsiaTheme="minorEastAsia"/>
          <w:color w:val="auto"/>
          <w:highlight w:val="none"/>
        </w:rPr>
        <w:t>长期股权投资</w:t>
      </w:r>
    </w:p>
    <w:p>
      <w:pPr>
        <w:pStyle w:val="44"/>
        <w:rPr>
          <w:color w:val="auto"/>
          <w:highlight w:val="none"/>
        </w:rPr>
      </w:pPr>
      <w:r>
        <w:rPr>
          <w:rFonts w:hint="eastAsia"/>
          <w:color w:val="auto"/>
          <w:highlight w:val="none"/>
        </w:rPr>
        <w:t>共同控制、重大影响的判断标准</w:t>
      </w:r>
    </w:p>
    <w:p>
      <w:pPr>
        <w:pStyle w:val="35"/>
        <w:rPr>
          <w:rFonts w:eastAsiaTheme="minorEastAsia"/>
          <w:color w:val="auto"/>
          <w:highlight w:val="none"/>
        </w:rPr>
      </w:pPr>
      <w:r>
        <w:rPr>
          <w:rFonts w:hint="eastAsia" w:eastAsiaTheme="minorEastAsia"/>
          <w:color w:val="auto"/>
          <w:highlight w:val="none"/>
        </w:rPr>
        <w:t>共同控制，是指按照相关约定对某项安排所共有的控制，并且该安排的相关活动必须经过分享控制权的参与方一致同意后才能决策。本公司与其他合营方一同对被投资单位实施共同控制且对被投资单位净资产享有权利的，被投资单位为本公司的合营企业。</w:t>
      </w:r>
    </w:p>
    <w:p>
      <w:pPr>
        <w:pStyle w:val="35"/>
        <w:rPr>
          <w:rFonts w:eastAsiaTheme="minorEastAsia"/>
          <w:color w:val="auto"/>
          <w:highlight w:val="none"/>
        </w:rPr>
      </w:pPr>
      <w:r>
        <w:rPr>
          <w:rFonts w:hint="eastAsia" w:eastAsiaTheme="minorEastAsia"/>
          <w:color w:val="auto"/>
          <w:highlight w:val="none"/>
        </w:rPr>
        <w:t>重大影响，是指对被投资单位的财务和经营决策有参与决策的权力，但并不能够控制或者与其他方一起共同控制这些政策的制定。本公司能够对被投资单位施加重大影响的，被投资单位为本公司联营企业。</w:t>
      </w:r>
    </w:p>
    <w:p>
      <w:pPr>
        <w:pStyle w:val="35"/>
        <w:rPr>
          <w:rFonts w:hint="eastAsia" w:eastAsiaTheme="minorEastAsia"/>
          <w:color w:val="auto"/>
          <w:highlight w:val="none"/>
        </w:rPr>
      </w:pPr>
    </w:p>
    <w:p>
      <w:pPr>
        <w:pStyle w:val="35"/>
        <w:rPr>
          <w:rFonts w:eastAsiaTheme="minorEastAsia"/>
          <w:color w:val="auto"/>
          <w:highlight w:val="none"/>
        </w:rPr>
      </w:pPr>
    </w:p>
    <w:p>
      <w:pPr>
        <w:pStyle w:val="44"/>
        <w:rPr>
          <w:color w:val="auto"/>
          <w:highlight w:val="none"/>
        </w:rPr>
      </w:pPr>
      <w:r>
        <w:rPr>
          <w:rFonts w:hint="eastAsia"/>
          <w:color w:val="auto"/>
          <w:highlight w:val="none"/>
        </w:rPr>
        <w:t>初始投资成本的确定</w:t>
      </w:r>
    </w:p>
    <w:p>
      <w:pPr>
        <w:pStyle w:val="38"/>
        <w:rPr>
          <w:color w:val="auto"/>
          <w:highlight w:val="none"/>
        </w:rPr>
      </w:pPr>
      <w:r>
        <w:rPr>
          <w:rFonts w:hint="eastAsia"/>
          <w:color w:val="auto"/>
          <w:highlight w:val="none"/>
        </w:rPr>
        <w:t>（1）企业合并形成的长期股权投资</w:t>
      </w:r>
    </w:p>
    <w:p>
      <w:pPr>
        <w:pStyle w:val="35"/>
        <w:rPr>
          <w:rFonts w:eastAsiaTheme="minorEastAsia"/>
          <w:color w:val="auto"/>
          <w:highlight w:val="none"/>
        </w:rPr>
      </w:pPr>
      <w:r>
        <w:rPr>
          <w:rFonts w:hint="eastAsia" w:eastAsiaTheme="minorEastAsia"/>
          <w:color w:val="auto"/>
          <w:highlight w:val="none"/>
        </w:rPr>
        <w:t>对于同一控制下的企业合并形成的对子公司的长期股权投资，在合并日按照取得被合并方所有者权益在最终控制方合并财务报表中的账面价值的份额作为长期股权投资的初始投资成本。长期股权投资初始投资成本与支付对价账面价值之间的差额，调整资本公积中的股本溢价；资本公积中的股本溢价不足冲减时，调整留存收益。因追加投资等原因能够对同一控制下的被投资单位实施控制的，按上述原则确认的长期股权投资的初始投资成本与达到合并前的长期股权投资账面价值加上合并日进一步取得股份新支付对价的账面价值之和的差额，调整股本溢价，股本溢价不足冲减的，冲减留存收益。</w:t>
      </w:r>
    </w:p>
    <w:p>
      <w:pPr>
        <w:pStyle w:val="35"/>
        <w:rPr>
          <w:rFonts w:eastAsiaTheme="minorEastAsia"/>
          <w:color w:val="auto"/>
          <w:highlight w:val="none"/>
        </w:rPr>
      </w:pPr>
      <w:r>
        <w:rPr>
          <w:rFonts w:hint="eastAsia" w:eastAsiaTheme="minorEastAsia"/>
          <w:color w:val="auto"/>
          <w:highlight w:val="none"/>
        </w:rPr>
        <w:t>对于非同一控制下的企业合并形成的对子公司的长期股权投资，按照购买日确定的合并成本作为长期股权投资的初始投资成本。因追加投资等原因能够对非同一控制下的被投资单位实施控制的，按照原持有的股权投资账面价值加上新增投资成本之和作为初始投资成本。</w:t>
      </w:r>
    </w:p>
    <w:p>
      <w:pPr>
        <w:pStyle w:val="35"/>
        <w:rPr>
          <w:rFonts w:eastAsiaTheme="minorEastAsia"/>
          <w:color w:val="auto"/>
          <w:highlight w:val="none"/>
        </w:rPr>
      </w:pPr>
    </w:p>
    <w:p>
      <w:pPr>
        <w:pStyle w:val="38"/>
        <w:rPr>
          <w:color w:val="auto"/>
          <w:highlight w:val="none"/>
        </w:rPr>
      </w:pPr>
      <w:r>
        <w:rPr>
          <w:rFonts w:hint="eastAsia"/>
          <w:color w:val="auto"/>
          <w:highlight w:val="none"/>
        </w:rPr>
        <w:t>（2）</w:t>
      </w:r>
      <w:r>
        <w:rPr>
          <w:rFonts w:hint="eastAsia" w:eastAsiaTheme="minorEastAsia"/>
          <w:color w:val="auto"/>
          <w:highlight w:val="none"/>
        </w:rPr>
        <w:t>通过企业合并以外的</w:t>
      </w:r>
      <w:r>
        <w:rPr>
          <w:rFonts w:hint="eastAsia"/>
          <w:color w:val="auto"/>
          <w:highlight w:val="none"/>
        </w:rPr>
        <w:t>其他方式取得的长期股权投资</w:t>
      </w:r>
    </w:p>
    <w:p>
      <w:pPr>
        <w:pStyle w:val="35"/>
        <w:rPr>
          <w:rFonts w:eastAsiaTheme="minorEastAsia"/>
          <w:color w:val="auto"/>
          <w:highlight w:val="none"/>
        </w:rPr>
      </w:pPr>
      <w:r>
        <w:rPr>
          <w:rFonts w:hint="eastAsia" w:eastAsiaTheme="minorEastAsia"/>
          <w:color w:val="auto"/>
          <w:highlight w:val="none"/>
        </w:rPr>
        <w:t>以支付现金方式取得的长期股权投资，按照实际支付的购买价款作为初始投资成本。</w:t>
      </w:r>
    </w:p>
    <w:p>
      <w:pPr>
        <w:pStyle w:val="35"/>
        <w:rPr>
          <w:rFonts w:eastAsiaTheme="minorEastAsia"/>
          <w:color w:val="auto"/>
          <w:highlight w:val="none"/>
        </w:rPr>
      </w:pPr>
      <w:r>
        <w:rPr>
          <w:rFonts w:hint="eastAsia" w:eastAsiaTheme="minorEastAsia"/>
          <w:color w:val="auto"/>
          <w:highlight w:val="none"/>
        </w:rPr>
        <w:t>以发行权益性证券取得的长期股权投资，按照发行权益性证券的公允价值作为初始投资成本。</w:t>
      </w:r>
    </w:p>
    <w:p>
      <w:pPr>
        <w:pStyle w:val="35"/>
        <w:rPr>
          <w:rFonts w:eastAsiaTheme="minorEastAsia"/>
          <w:color w:val="auto"/>
          <w:highlight w:val="none"/>
        </w:rPr>
      </w:pPr>
    </w:p>
    <w:p>
      <w:pPr>
        <w:pStyle w:val="44"/>
        <w:rPr>
          <w:color w:val="auto"/>
          <w:highlight w:val="none"/>
        </w:rPr>
      </w:pPr>
      <w:r>
        <w:rPr>
          <w:rFonts w:hint="eastAsia"/>
          <w:color w:val="auto"/>
          <w:highlight w:val="none"/>
        </w:rPr>
        <w:t>后续计量及损益确认方法</w:t>
      </w:r>
    </w:p>
    <w:p>
      <w:pPr>
        <w:pStyle w:val="38"/>
        <w:rPr>
          <w:color w:val="auto"/>
          <w:highlight w:val="none"/>
        </w:rPr>
      </w:pPr>
      <w:r>
        <w:rPr>
          <w:rFonts w:hint="eastAsia"/>
          <w:color w:val="auto"/>
          <w:highlight w:val="none"/>
        </w:rPr>
        <w:t>（1）成本法核算的长期股权投资</w:t>
      </w:r>
    </w:p>
    <w:p>
      <w:pPr>
        <w:pStyle w:val="35"/>
        <w:rPr>
          <w:rFonts w:eastAsiaTheme="minorEastAsia"/>
          <w:color w:val="auto"/>
          <w:highlight w:val="none"/>
        </w:rPr>
      </w:pPr>
      <w:r>
        <w:rPr>
          <w:rFonts w:hint="eastAsia" w:eastAsiaTheme="minorEastAsia"/>
          <w:color w:val="auto"/>
          <w:highlight w:val="none"/>
        </w:rPr>
        <w:t>公司对子公司的长期股权投资，采用成本法核算，除非投资符合持有待售的条件。除取得投资时实际支付的价款或对价中包含的已宣告但尚未发放的现金股利或利润外，公司按照享有被投资单位宣告发放的现金股利或利润确认当期投资收益。</w:t>
      </w:r>
    </w:p>
    <w:p>
      <w:pPr>
        <w:pStyle w:val="35"/>
        <w:rPr>
          <w:rFonts w:eastAsiaTheme="minorEastAsia"/>
          <w:color w:val="auto"/>
          <w:highlight w:val="none"/>
        </w:rPr>
      </w:pPr>
    </w:p>
    <w:p>
      <w:pPr>
        <w:pStyle w:val="38"/>
        <w:rPr>
          <w:color w:val="auto"/>
          <w:highlight w:val="none"/>
        </w:rPr>
      </w:pPr>
      <w:r>
        <w:rPr>
          <w:rFonts w:hint="eastAsia"/>
          <w:color w:val="auto"/>
          <w:highlight w:val="none"/>
        </w:rPr>
        <w:t>（2）权益法核算的长期股权投资</w:t>
      </w:r>
    </w:p>
    <w:p>
      <w:pPr>
        <w:pStyle w:val="35"/>
        <w:rPr>
          <w:rFonts w:eastAsiaTheme="minorEastAsia"/>
          <w:color w:val="auto"/>
          <w:highlight w:val="none"/>
        </w:rPr>
      </w:pPr>
      <w:r>
        <w:rPr>
          <w:rFonts w:hint="eastAsia" w:eastAsiaTheme="minorEastAsia"/>
          <w:color w:val="auto"/>
          <w:highlight w:val="none"/>
        </w:rPr>
        <w:t>对联营企业和合营企业的长期股权投资，采用权益法核算。初始投资成本大于投资时应享有被投资单位可辨认净资产公允价值份额的差额，不调整长期股权投资的初始投资成本；初始投资成本小于投资时应享有被投资单位可辨认净资产公允价值份额的差额，计入当期损益，同时调整长期股权投资的成本。</w:t>
      </w:r>
    </w:p>
    <w:p>
      <w:pPr>
        <w:pStyle w:val="35"/>
        <w:rPr>
          <w:rFonts w:eastAsiaTheme="minorEastAsia"/>
          <w:color w:val="auto"/>
          <w:highlight w:val="none"/>
        </w:rPr>
      </w:pPr>
      <w:r>
        <w:rPr>
          <w:rFonts w:hint="eastAsia" w:eastAsiaTheme="minorEastAsia"/>
          <w:color w:val="auto"/>
          <w:highlight w:val="none"/>
        </w:rPr>
        <w:t>公司按照应享有或应分担的被投资单位实现的净损益和其他综合收益的份额，分别确认投资收益和其他综合收益，同时调整长期股权投资的账面价值；按照被投资单位宣告分派的利润或现金股利计算应享有的部分，相应减少长期股权投资的账面价值；对于被投资单位除净损益、其他综合收益和利润分配以外所有者权益的其他变动（简称</w:t>
      </w:r>
      <w:r>
        <w:rPr>
          <w:rFonts w:hint="eastAsia" w:ascii="宋体" w:hAnsi="宋体"/>
          <w:color w:val="auto"/>
          <w:highlight w:val="none"/>
        </w:rPr>
        <w:t>“</w:t>
      </w:r>
      <w:r>
        <w:rPr>
          <w:rFonts w:hint="eastAsia" w:eastAsiaTheme="minorEastAsia"/>
          <w:color w:val="auto"/>
          <w:highlight w:val="none"/>
        </w:rPr>
        <w:t>其他所有者权益变动</w:t>
      </w:r>
      <w:r>
        <w:rPr>
          <w:rFonts w:hint="eastAsia" w:ascii="宋体" w:hAnsi="宋体"/>
          <w:color w:val="auto"/>
          <w:highlight w:val="none"/>
        </w:rPr>
        <w:t>”</w:t>
      </w:r>
      <w:r>
        <w:rPr>
          <w:rFonts w:hint="eastAsia" w:eastAsiaTheme="minorEastAsia"/>
          <w:color w:val="auto"/>
          <w:highlight w:val="none"/>
        </w:rPr>
        <w:t>），调整长期股权投资的账面价值并计入所有者权益。</w:t>
      </w:r>
    </w:p>
    <w:p>
      <w:pPr>
        <w:pStyle w:val="35"/>
        <w:rPr>
          <w:rFonts w:eastAsiaTheme="minorEastAsia"/>
          <w:color w:val="auto"/>
          <w:highlight w:val="none"/>
        </w:rPr>
      </w:pPr>
      <w:r>
        <w:rPr>
          <w:rFonts w:hint="eastAsia" w:eastAsiaTheme="minorEastAsia"/>
          <w:color w:val="auto"/>
          <w:highlight w:val="none"/>
        </w:rPr>
        <w:t>在确认应享有被投资单位净损益、其他综合收益及其他所有者权益变动的份额时，以取得投资时被投资单位可辨认净资产的公允价值为基础，并按照公司的会计政策及会计期间，对被投资单位的净利润和其他综合收益等进行调整后确认。</w:t>
      </w:r>
    </w:p>
    <w:p>
      <w:pPr>
        <w:pStyle w:val="35"/>
        <w:rPr>
          <w:rFonts w:eastAsiaTheme="minorEastAsia"/>
          <w:color w:val="auto"/>
          <w:highlight w:val="none"/>
        </w:rPr>
      </w:pPr>
      <w:r>
        <w:rPr>
          <w:rFonts w:hint="eastAsia" w:eastAsiaTheme="minorEastAsia"/>
          <w:color w:val="auto"/>
          <w:highlight w:val="none"/>
        </w:rPr>
        <w:t>公司与联营企业、合营企业之间发生的未实现内部交易损益按照应享有的比例计算归属于公司的部分，予以抵销，在此基础上确认投资收益，但投出或出售的资产构成业务的除外。与被投资单位发生的未实现内部交易损失，属于资产减值损失的，全额确认。</w:t>
      </w:r>
    </w:p>
    <w:p>
      <w:pPr>
        <w:pStyle w:val="35"/>
        <w:rPr>
          <w:rFonts w:eastAsiaTheme="minorEastAsia"/>
          <w:color w:val="auto"/>
          <w:highlight w:val="none"/>
        </w:rPr>
      </w:pPr>
      <w:r>
        <w:rPr>
          <w:rFonts w:hint="eastAsia" w:eastAsiaTheme="minorEastAsia"/>
          <w:color w:val="auto"/>
          <w:highlight w:val="none"/>
        </w:rPr>
        <w:t>公司对合营企业或联营企业发生的净亏损，除负有承担额外损失义务外，以长期股权投资的账面价值以及其他实质上构成对合营企业或联营企业净投资的长期权益减记至零为限。合营企业或联营企业以后实现净利润的，公司在收益分享额弥补未确认的亏损分担额后，恢复确认收益分享额。</w:t>
      </w:r>
    </w:p>
    <w:p>
      <w:pPr>
        <w:pStyle w:val="35"/>
        <w:rPr>
          <w:rFonts w:eastAsiaTheme="minorEastAsia"/>
          <w:color w:val="auto"/>
          <w:highlight w:val="none"/>
        </w:rPr>
      </w:pPr>
    </w:p>
    <w:p>
      <w:pPr>
        <w:pStyle w:val="38"/>
        <w:rPr>
          <w:color w:val="auto"/>
          <w:highlight w:val="none"/>
        </w:rPr>
      </w:pPr>
      <w:r>
        <w:rPr>
          <w:rFonts w:hint="eastAsia"/>
          <w:color w:val="auto"/>
          <w:highlight w:val="none"/>
        </w:rPr>
        <w:t>（3）长期股权投资的处置</w:t>
      </w:r>
    </w:p>
    <w:p>
      <w:pPr>
        <w:pStyle w:val="35"/>
        <w:rPr>
          <w:rFonts w:eastAsiaTheme="minorEastAsia"/>
          <w:color w:val="auto"/>
          <w:highlight w:val="none"/>
        </w:rPr>
      </w:pPr>
      <w:r>
        <w:rPr>
          <w:rFonts w:hint="eastAsia" w:eastAsiaTheme="minorEastAsia"/>
          <w:color w:val="auto"/>
          <w:highlight w:val="none"/>
        </w:rPr>
        <w:t>处置长期股权投资，其账面价值与实际取得价款的差额，计入当期损益。</w:t>
      </w:r>
    </w:p>
    <w:p>
      <w:pPr>
        <w:pStyle w:val="35"/>
        <w:rPr>
          <w:rFonts w:eastAsiaTheme="minorEastAsia"/>
          <w:color w:val="auto"/>
          <w:highlight w:val="none"/>
        </w:rPr>
      </w:pPr>
      <w:r>
        <w:rPr>
          <w:rFonts w:hint="eastAsia" w:eastAsiaTheme="minorEastAsia"/>
          <w:color w:val="auto"/>
          <w:highlight w:val="none"/>
        </w:rPr>
        <w:t>部分处置权益法核算的长期股权投资，剩余股权仍采用权益法核算的，原权益法核算确认的其他综合收益采用与被投资单位直接处置相关资产或负债相同的基础按相应比例结转，其他所有者权益变动按比例结转入当期损益。</w:t>
      </w:r>
    </w:p>
    <w:p>
      <w:pPr>
        <w:pStyle w:val="35"/>
        <w:rPr>
          <w:rFonts w:eastAsiaTheme="minorEastAsia"/>
          <w:color w:val="auto"/>
          <w:highlight w:val="none"/>
        </w:rPr>
      </w:pPr>
      <w:r>
        <w:rPr>
          <w:rFonts w:hint="eastAsia" w:eastAsiaTheme="minorEastAsia"/>
          <w:color w:val="auto"/>
          <w:highlight w:val="none"/>
        </w:rPr>
        <w:t>因处置股权投资等原因丧失了对被投资单位的共同控制或重大影响的，原股权投资因采用权益法核算而确认的其他综合收益，在终止采用权益法核算时采用与被投资单位直接处置相关资产或负债相同的基础进行会计处理，其他所有者权益变动在终止采用权益法核算时全部转入当期损益。</w:t>
      </w:r>
    </w:p>
    <w:p>
      <w:pPr>
        <w:pStyle w:val="35"/>
        <w:rPr>
          <w:rFonts w:eastAsiaTheme="minorEastAsia"/>
          <w:color w:val="auto"/>
          <w:highlight w:val="none"/>
        </w:rPr>
      </w:pPr>
      <w:r>
        <w:rPr>
          <w:rFonts w:hint="eastAsia" w:eastAsiaTheme="minorEastAsia"/>
          <w:color w:val="auto"/>
          <w:highlight w:val="none"/>
        </w:rPr>
        <w:t>因处置部分股权投资等原因丧失了对被投资单位控制权的，在编制个别财务报表时，剩余股权能够对被投资单位实施共同控制或重大影响的，改按权益法核算，并对该剩余股权视同自取得时即采用权益法核算进行调整，对于取得被投资单位控制权之前确认的其他综合收益采用与被投资单位直接处置相关资产或负债相同的基础按比例结转，因采用权益法核算确认的其他所有者权益变动按比例结转入当期损益；剩余股权不能对被投资单位实施共同控制或施加重大影响的，确认为金融资产，其在丧失控制之日的公允价值与账面价值间的差额计入当期损益，对于取得被投资单位控制权之前确认的其他综合收益和其他所有者权益变动全部结转。</w:t>
      </w:r>
    </w:p>
    <w:p>
      <w:pPr>
        <w:pStyle w:val="35"/>
        <w:rPr>
          <w:rFonts w:eastAsiaTheme="minorEastAsia"/>
          <w:color w:val="auto"/>
          <w:highlight w:val="none"/>
        </w:rPr>
      </w:pPr>
      <w:r>
        <w:rPr>
          <w:rFonts w:hint="eastAsia" w:eastAsiaTheme="minorEastAsia"/>
          <w:color w:val="auto"/>
          <w:highlight w:val="none"/>
        </w:rPr>
        <w:t>通过多次交易分步处置对子公司股权投资直至丧失控制权，属于一揽子交易的，各项交易作为一项处置子公司股权投资并丧失控制权的交易进行会计处理；在丧失控制权之前每一次处置价款与所处置的股权对应得长期股权投资账面价值之间的差额，在个别财务报表中，先确认为其他综合收益，到丧失控制权时再一并转入丧失控制权的当期损益。不属于一揽子交易的，对每一项交易分别进行会计处理。</w:t>
      </w:r>
    </w:p>
    <w:p>
      <w:pPr>
        <w:pStyle w:val="35"/>
        <w:rPr>
          <w:rFonts w:eastAsiaTheme="minorEastAsia"/>
          <w:color w:val="auto"/>
          <w:highlight w:val="none"/>
        </w:rPr>
      </w:pPr>
    </w:p>
    <w:p>
      <w:pPr>
        <w:pStyle w:val="44"/>
        <w:rPr>
          <w:color w:val="auto"/>
          <w:highlight w:val="none"/>
        </w:rPr>
      </w:pPr>
      <w:r>
        <w:rPr>
          <w:rFonts w:hint="eastAsia"/>
          <w:color w:val="auto"/>
          <w:highlight w:val="none"/>
        </w:rPr>
        <w:t>长期股权投资减值准备的确认标准、计提方法</w:t>
      </w:r>
    </w:p>
    <w:p>
      <w:pPr>
        <w:pStyle w:val="35"/>
        <w:rPr>
          <w:color w:val="auto"/>
          <w:highlight w:val="none"/>
        </w:rPr>
      </w:pPr>
      <w:r>
        <w:rPr>
          <w:rFonts w:hint="eastAsia"/>
          <w:color w:val="auto"/>
          <w:highlight w:val="none"/>
        </w:rPr>
        <w:t>本公司于资产负债表日判断长期股权投资是否存在可能发生减值的迹象。</w:t>
      </w:r>
    </w:p>
    <w:p>
      <w:pPr>
        <w:pStyle w:val="35"/>
        <w:rPr>
          <w:color w:val="auto"/>
          <w:highlight w:val="none"/>
        </w:rPr>
      </w:pPr>
      <w:r>
        <w:rPr>
          <w:rFonts w:hint="eastAsia"/>
          <w:color w:val="auto"/>
          <w:highlight w:val="none"/>
        </w:rPr>
        <w:t>长期股权投资存在减值迹象的，如当出现长期股权投资的账面价值大于享有被投资单位所有者权益账面价值的份额等类似情况时，本公司对长期股权投资进行减值测试。</w:t>
      </w:r>
    </w:p>
    <w:p>
      <w:pPr>
        <w:pStyle w:val="35"/>
        <w:rPr>
          <w:rFonts w:eastAsiaTheme="minorEastAsia"/>
          <w:color w:val="auto"/>
          <w:highlight w:val="none"/>
        </w:rPr>
      </w:pPr>
      <w:r>
        <w:rPr>
          <w:rFonts w:hint="eastAsia"/>
          <w:color w:val="auto"/>
          <w:highlight w:val="none"/>
        </w:rPr>
        <w:t>减值测试结果表明长期股权投资的可收回金额低于其账面价值的，按其差额计提减值准备并计入减值损失。减值损失一经确认，在以后会计期间不予转回。</w:t>
      </w:r>
    </w:p>
    <w:p>
      <w:pPr>
        <w:pStyle w:val="35"/>
        <w:rPr>
          <w:rFonts w:eastAsiaTheme="minorEastAsia"/>
          <w:color w:val="auto"/>
          <w:highlight w:val="none"/>
        </w:rPr>
      </w:pPr>
    </w:p>
    <w:p>
      <w:pPr>
        <w:pStyle w:val="37"/>
        <w:jc w:val="left"/>
        <w:rPr>
          <w:color w:val="auto"/>
          <w:highlight w:val="none"/>
        </w:rPr>
      </w:pPr>
      <w:r>
        <w:rPr>
          <w:rFonts w:eastAsiaTheme="minorEastAsia"/>
          <w:color w:val="auto"/>
          <w:highlight w:val="none"/>
        </w:rPr>
        <w:t>投资性房地产</w:t>
      </w:r>
    </w:p>
    <w:p>
      <w:pPr>
        <w:pStyle w:val="38"/>
        <w:rPr>
          <w:rFonts w:eastAsiaTheme="minorEastAsia"/>
          <w:color w:val="auto"/>
          <w:highlight w:val="none"/>
        </w:rPr>
      </w:pPr>
      <w:r>
        <w:rPr>
          <w:rFonts w:hint="eastAsia" w:eastAsiaTheme="minorEastAsia"/>
          <w:color w:val="auto"/>
          <w:highlight w:val="none"/>
        </w:rPr>
        <w:t>投资性房地产是指为赚取租金或资本增值，或两者兼有而持有的房地产，包括已出租的土地使用权、持有并准备增值后转让的土地使用权、已出租的建筑物（含自行建造或开发活动完成后用于出租的建筑物以及正在建造或开发过程中将来用于出租的建筑物）。</w:t>
      </w:r>
    </w:p>
    <w:p>
      <w:pPr>
        <w:pStyle w:val="38"/>
        <w:rPr>
          <w:color w:val="auto"/>
          <w:highlight w:val="none"/>
        </w:rPr>
      </w:pPr>
      <w:r>
        <w:rPr>
          <w:rFonts w:hint="eastAsia" w:eastAsiaTheme="minorEastAsia"/>
          <w:color w:val="auto"/>
          <w:highlight w:val="none"/>
        </w:rPr>
        <w:t>与投资性房地产有关的后续支出，在相关的经济利益很可能流入且其成本能够可靠的计量时，计入投资性房地产成本；否则，于发生时计入当期损益。</w:t>
      </w:r>
    </w:p>
    <w:p>
      <w:pPr>
        <w:pStyle w:val="38"/>
        <w:rPr>
          <w:rFonts w:eastAsiaTheme="minorEastAsia"/>
          <w:color w:val="auto"/>
          <w:highlight w:val="none"/>
        </w:rPr>
      </w:pPr>
      <w:r>
        <w:rPr>
          <w:rFonts w:hint="eastAsia" w:eastAsiaTheme="minorEastAsia"/>
          <w:color w:val="auto"/>
          <w:highlight w:val="none"/>
        </w:rPr>
        <w:t>本公司投资性房地产按照取得时的成本进行初始计量，在资产负债表日采用公允价值模式进行后续计量，不对投资性房地产计提折旧或进行摊销，以资产负债表日投资性房地产的公允价值为基础调整其账面价值，公允价值与原账面价值之间的差额计入当期损益。</w:t>
      </w:r>
    </w:p>
    <w:p>
      <w:pPr>
        <w:pStyle w:val="38"/>
        <w:rPr>
          <w:rFonts w:eastAsiaTheme="minorEastAsia"/>
          <w:color w:val="auto"/>
          <w:highlight w:val="none"/>
        </w:rPr>
      </w:pPr>
      <w:r>
        <w:rPr>
          <w:rFonts w:hint="eastAsia" w:eastAsiaTheme="minorEastAsia"/>
          <w:color w:val="auto"/>
          <w:highlight w:val="none"/>
        </w:rPr>
        <w:t>本公司选择公允价值计量的依据：</w:t>
      </w:r>
    </w:p>
    <w:p>
      <w:pPr>
        <w:pStyle w:val="38"/>
        <w:rPr>
          <w:rFonts w:eastAsiaTheme="minorEastAsia"/>
          <w:color w:val="auto"/>
          <w:highlight w:val="none"/>
        </w:rPr>
      </w:pPr>
      <w:r>
        <w:rPr>
          <w:rFonts w:hint="eastAsia" w:eastAsiaTheme="minorEastAsia"/>
          <w:color w:val="auto"/>
          <w:highlight w:val="none"/>
        </w:rPr>
        <w:t>1.投资性房地产所在地有活跃的房地产交易市场。</w:t>
      </w:r>
    </w:p>
    <w:p>
      <w:pPr>
        <w:pStyle w:val="38"/>
        <w:rPr>
          <w:rFonts w:eastAsiaTheme="minorEastAsia"/>
          <w:color w:val="auto"/>
          <w:highlight w:val="none"/>
        </w:rPr>
      </w:pPr>
      <w:r>
        <w:rPr>
          <w:rFonts w:hint="eastAsia" w:eastAsiaTheme="minorEastAsia"/>
          <w:color w:val="auto"/>
          <w:highlight w:val="none"/>
        </w:rPr>
        <w:t>2.本公司能够从房地产交易市场上取得同类或类似房地产的市场价格及其他相关信息，从而对投资性房地产的公允价值作出合理的估计。</w:t>
      </w:r>
    </w:p>
    <w:p>
      <w:pPr>
        <w:pStyle w:val="38"/>
        <w:rPr>
          <w:rFonts w:hint="eastAsia" w:eastAsiaTheme="minorEastAsia"/>
          <w:color w:val="auto"/>
          <w:highlight w:val="none"/>
        </w:rPr>
      </w:pPr>
    </w:p>
    <w:p>
      <w:pPr>
        <w:pStyle w:val="38"/>
        <w:rPr>
          <w:rFonts w:eastAsiaTheme="minorEastAsia"/>
          <w:color w:val="auto"/>
          <w:highlight w:val="none"/>
        </w:rPr>
      </w:pPr>
    </w:p>
    <w:p>
      <w:pPr>
        <w:pStyle w:val="37"/>
        <w:rPr>
          <w:rFonts w:eastAsiaTheme="minorEastAsia"/>
          <w:color w:val="auto"/>
          <w:highlight w:val="none"/>
        </w:rPr>
      </w:pPr>
      <w:r>
        <w:rPr>
          <w:rFonts w:eastAsiaTheme="minorEastAsia"/>
          <w:color w:val="auto"/>
          <w:highlight w:val="none"/>
        </w:rPr>
        <w:t>固定资产</w:t>
      </w:r>
    </w:p>
    <w:p>
      <w:pPr>
        <w:pStyle w:val="44"/>
        <w:rPr>
          <w:rFonts w:eastAsiaTheme="minorEastAsia"/>
          <w:color w:val="auto"/>
          <w:highlight w:val="none"/>
        </w:rPr>
      </w:pPr>
      <w:r>
        <w:rPr>
          <w:rFonts w:eastAsiaTheme="minorEastAsia"/>
          <w:color w:val="auto"/>
          <w:highlight w:val="none"/>
        </w:rPr>
        <w:t>固定资产</w:t>
      </w:r>
      <w:r>
        <w:rPr>
          <w:rFonts w:hint="eastAsia" w:eastAsiaTheme="minorEastAsia"/>
          <w:color w:val="auto"/>
          <w:highlight w:val="none"/>
        </w:rPr>
        <w:t>的</w:t>
      </w:r>
      <w:r>
        <w:rPr>
          <w:rFonts w:eastAsiaTheme="minorEastAsia"/>
          <w:color w:val="auto"/>
          <w:highlight w:val="none"/>
        </w:rPr>
        <w:t>确认条件</w:t>
      </w:r>
    </w:p>
    <w:p>
      <w:pPr>
        <w:pStyle w:val="35"/>
        <w:rPr>
          <w:color w:val="auto"/>
          <w:highlight w:val="none"/>
        </w:rPr>
      </w:pPr>
      <w:r>
        <w:rPr>
          <w:color w:val="auto"/>
          <w:highlight w:val="none"/>
        </w:rPr>
        <w:t>固定资产指为生产商品、提供劳务、出租或经营管理而持有，并且使用寿命超过一个会计年度的有形资产。</w:t>
      </w:r>
    </w:p>
    <w:p>
      <w:pPr>
        <w:pStyle w:val="35"/>
        <w:rPr>
          <w:color w:val="auto"/>
          <w:highlight w:val="none"/>
        </w:rPr>
      </w:pPr>
      <w:r>
        <w:rPr>
          <w:color w:val="auto"/>
          <w:highlight w:val="none"/>
        </w:rPr>
        <w:t>固定资产在同时满足下列条件时予以确认：</w:t>
      </w:r>
    </w:p>
    <w:p>
      <w:pPr>
        <w:pStyle w:val="35"/>
        <w:rPr>
          <w:color w:val="auto"/>
          <w:highlight w:val="none"/>
        </w:rPr>
      </w:pPr>
      <w:r>
        <w:rPr>
          <w:rFonts w:hint="eastAsia"/>
          <w:color w:val="auto"/>
          <w:highlight w:val="none"/>
        </w:rPr>
        <w:t>（</w:t>
      </w:r>
      <w:r>
        <w:rPr>
          <w:color w:val="auto"/>
          <w:highlight w:val="none"/>
        </w:rPr>
        <w:t>1）与该固定资产有关的经济利益很可能流入企业</w:t>
      </w:r>
      <w:r>
        <w:rPr>
          <w:rFonts w:hint="eastAsia"/>
          <w:color w:val="auto"/>
          <w:highlight w:val="none"/>
        </w:rPr>
        <w:t>；</w:t>
      </w:r>
    </w:p>
    <w:p>
      <w:pPr>
        <w:pStyle w:val="35"/>
        <w:rPr>
          <w:color w:val="auto"/>
          <w:highlight w:val="none"/>
        </w:rPr>
      </w:pPr>
      <w:r>
        <w:rPr>
          <w:rFonts w:hint="eastAsia"/>
          <w:color w:val="auto"/>
          <w:highlight w:val="none"/>
        </w:rPr>
        <w:t>（2）</w:t>
      </w:r>
      <w:r>
        <w:rPr>
          <w:color w:val="auto"/>
          <w:highlight w:val="none"/>
        </w:rPr>
        <w:t>该固定资产的成本能够可靠地计量。</w:t>
      </w:r>
    </w:p>
    <w:p>
      <w:pPr>
        <w:pStyle w:val="35"/>
        <w:rPr>
          <w:color w:val="auto"/>
          <w:highlight w:val="none"/>
        </w:rPr>
      </w:pPr>
      <w:r>
        <w:rPr>
          <w:color w:val="auto"/>
          <w:highlight w:val="none"/>
        </w:rPr>
        <w:t>固定资产按成本</w:t>
      </w:r>
      <w:r>
        <w:rPr>
          <w:rFonts w:hint="eastAsia"/>
          <w:color w:val="auto"/>
          <w:highlight w:val="none"/>
        </w:rPr>
        <w:t>（并考虑预计弃置费用因素的影响）</w:t>
      </w:r>
      <w:r>
        <w:rPr>
          <w:color w:val="auto"/>
          <w:highlight w:val="none"/>
        </w:rPr>
        <w:t>进行初始计量。</w:t>
      </w:r>
    </w:p>
    <w:p>
      <w:pPr>
        <w:pStyle w:val="35"/>
        <w:rPr>
          <w:rFonts w:eastAsiaTheme="minorEastAsia"/>
          <w:color w:val="auto"/>
          <w:highlight w:val="none"/>
        </w:rPr>
      </w:pPr>
    </w:p>
    <w:p>
      <w:pPr>
        <w:pStyle w:val="44"/>
        <w:rPr>
          <w:rFonts w:eastAsiaTheme="minorEastAsia"/>
          <w:color w:val="auto"/>
          <w:highlight w:val="none"/>
        </w:rPr>
      </w:pPr>
      <w:r>
        <w:rPr>
          <w:color w:val="auto"/>
          <w:highlight w:val="none"/>
        </w:rPr>
        <w:t>固定资产分类及折旧政策</w:t>
      </w:r>
    </w:p>
    <w:p>
      <w:pPr>
        <w:pStyle w:val="35"/>
        <w:rPr>
          <w:rFonts w:eastAsiaTheme="minorEastAsia"/>
          <w:color w:val="auto"/>
          <w:highlight w:val="none"/>
        </w:rPr>
      </w:pPr>
      <w:r>
        <w:rPr>
          <w:rFonts w:hint="eastAsia" w:eastAsiaTheme="minorEastAsia"/>
          <w:color w:val="auto"/>
          <w:highlight w:val="none"/>
        </w:rPr>
        <w:t>固定资产折旧采用年限平均法分类计提，根据固定资产类别、预计使用寿命和预计净残值率确定折旧率。对计提了减值准备的固定资产，则在未来期间按扣除减值准备后的账面价值及依据尚可使用年限确定折旧额。如固定资产各组成部分的使用寿命不同或者以不同方式为企业提供经济利益，则选择不同折旧率或折旧方法，分别计提折旧。</w:t>
      </w:r>
    </w:p>
    <w:p>
      <w:pPr>
        <w:pStyle w:val="35"/>
        <w:rPr>
          <w:rFonts w:eastAsiaTheme="minorEastAsia"/>
          <w:color w:val="auto"/>
          <w:highlight w:val="none"/>
        </w:rPr>
      </w:pPr>
    </w:p>
    <w:p>
      <w:pPr>
        <w:pStyle w:val="35"/>
        <w:rPr>
          <w:rFonts w:eastAsiaTheme="minorEastAsia"/>
          <w:color w:val="auto"/>
          <w:highlight w:val="none"/>
        </w:rPr>
      </w:pPr>
      <w:r>
        <w:rPr>
          <w:rFonts w:hint="eastAsia" w:eastAsiaTheme="minorEastAsia"/>
          <w:color w:val="auto"/>
          <w:highlight w:val="none"/>
        </w:rPr>
        <w:t>固定资产自达到预定可使用状态时开始计提折旧，终止确认时或划分为持有待售非流动资产时停止计提折旧。</w:t>
      </w:r>
    </w:p>
    <w:p>
      <w:pPr>
        <w:pStyle w:val="35"/>
        <w:rPr>
          <w:rFonts w:eastAsiaTheme="minorEastAsia"/>
          <w:color w:val="auto"/>
          <w:highlight w:val="none"/>
        </w:rPr>
      </w:pPr>
      <w:r>
        <w:rPr>
          <w:rFonts w:hint="eastAsia" w:eastAsiaTheme="minorEastAsia"/>
          <w:color w:val="auto"/>
          <w:highlight w:val="none"/>
        </w:rPr>
        <w:t>各类固定资产折旧方法、折旧年限、残值率和年折旧率如下：</w:t>
      </w:r>
    </w:p>
    <w:p>
      <w:pPr>
        <w:pStyle w:val="35"/>
        <w:rPr>
          <w:rFonts w:eastAsiaTheme="minorEastAsia"/>
          <w:color w:val="auto"/>
          <w:highlight w:val="none"/>
        </w:rPr>
      </w:pP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1824"/>
        <w:gridCol w:w="1435"/>
        <w:gridCol w:w="1729"/>
        <w:gridCol w:w="1503"/>
        <w:gridCol w:w="1697"/>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114" w:type="pct"/>
            <w:shd w:val="clear" w:color="auto" w:fill="auto"/>
            <w:noWrap/>
            <w:vAlign w:val="center"/>
          </w:tcPr>
          <w:p>
            <w:pPr>
              <w:adjustRightInd w:val="0"/>
              <w:snapToGrid w:val="0"/>
              <w:spacing w:line="200" w:lineRule="atLeast"/>
              <w:ind w:left="132" w:leftChars="63"/>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类别</w:t>
            </w:r>
          </w:p>
        </w:tc>
        <w:tc>
          <w:tcPr>
            <w:tcW w:w="876" w:type="pct"/>
            <w:shd w:val="clear" w:color="auto" w:fill="auto"/>
            <w:vAlign w:val="center"/>
          </w:tcPr>
          <w:p>
            <w:pPr>
              <w:adjustRightInd w:val="0"/>
              <w:snapToGrid w:val="0"/>
              <w:spacing w:line="200" w:lineRule="atLeast"/>
              <w:ind w:left="132" w:leftChars="63"/>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折旧方法</w:t>
            </w:r>
          </w:p>
        </w:tc>
        <w:tc>
          <w:tcPr>
            <w:tcW w:w="1056" w:type="pct"/>
            <w:shd w:val="clear" w:color="auto" w:fill="auto"/>
            <w:noWrap/>
            <w:vAlign w:val="center"/>
          </w:tcPr>
          <w:p>
            <w:pPr>
              <w:adjustRightInd w:val="0"/>
              <w:snapToGrid w:val="0"/>
              <w:spacing w:line="200" w:lineRule="atLeast"/>
              <w:ind w:left="132" w:leftChars="63"/>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折旧年限（年）</w:t>
            </w:r>
          </w:p>
        </w:tc>
        <w:tc>
          <w:tcPr>
            <w:tcW w:w="918" w:type="pct"/>
            <w:shd w:val="clear" w:color="auto" w:fill="auto"/>
            <w:noWrap/>
            <w:vAlign w:val="center"/>
          </w:tcPr>
          <w:p>
            <w:pPr>
              <w:adjustRightInd w:val="0"/>
              <w:snapToGrid w:val="0"/>
              <w:spacing w:line="200" w:lineRule="atLeast"/>
              <w:ind w:left="132" w:leftChars="63"/>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残值率（%）</w:t>
            </w:r>
          </w:p>
        </w:tc>
        <w:tc>
          <w:tcPr>
            <w:tcW w:w="1036" w:type="pct"/>
            <w:shd w:val="clear" w:color="auto" w:fill="auto"/>
            <w:noWrap/>
            <w:vAlign w:val="center"/>
          </w:tcPr>
          <w:p>
            <w:pPr>
              <w:adjustRightInd w:val="0"/>
              <w:snapToGrid w:val="0"/>
              <w:spacing w:line="200" w:lineRule="atLeast"/>
              <w:ind w:left="132" w:leftChars="63"/>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年折旧率（%）</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114" w:type="pct"/>
            <w:shd w:val="clear" w:color="auto" w:fill="auto"/>
            <w:vAlign w:val="center"/>
          </w:tcPr>
          <w:p>
            <w:pPr>
              <w:adjustRightInd w:val="0"/>
              <w:snapToGrid w:val="0"/>
              <w:spacing w:line="200" w:lineRule="atLeast"/>
              <w:ind w:left="132" w:leftChars="63"/>
              <w:jc w:val="both"/>
              <w:rPr>
                <w:rFonts w:ascii="Times New Roman" w:hAnsi="Times New Roman" w:eastAsia="宋体" w:cs="Times New Roman"/>
                <w:bCs/>
                <w:color w:val="auto"/>
                <w:sz w:val="16"/>
                <w:szCs w:val="18"/>
                <w:highlight w:val="none"/>
              </w:rPr>
            </w:pPr>
            <w:r>
              <w:rPr>
                <w:rFonts w:hint="eastAsia" w:ascii="Times New Roman" w:hAnsi="Times New Roman" w:eastAsia="宋体" w:cs="Times New Roman"/>
                <w:color w:val="auto"/>
                <w:sz w:val="16"/>
                <w:highlight w:val="none"/>
              </w:rPr>
              <w:t>房屋及建筑物</w:t>
            </w:r>
          </w:p>
        </w:tc>
        <w:tc>
          <w:tcPr>
            <w:tcW w:w="876" w:type="pct"/>
            <w:shd w:val="clear" w:color="auto" w:fill="auto"/>
            <w:vAlign w:val="center"/>
          </w:tcPr>
          <w:p>
            <w:pPr>
              <w:adjustRightInd w:val="0"/>
              <w:snapToGrid w:val="0"/>
              <w:spacing w:line="200" w:lineRule="atLeast"/>
              <w:ind w:left="132" w:leftChars="63"/>
              <w:jc w:val="center"/>
              <w:rPr>
                <w:rFonts w:ascii="Times New Roman" w:hAnsi="Times New Roman" w:eastAsia="宋体" w:cs="Times New Roman"/>
                <w:bCs/>
                <w:color w:val="auto"/>
                <w:sz w:val="16"/>
                <w:szCs w:val="18"/>
                <w:highlight w:val="none"/>
              </w:rPr>
            </w:pPr>
            <w:r>
              <w:rPr>
                <w:rFonts w:hint="eastAsia" w:ascii="Times New Roman" w:hAnsi="Times New Roman" w:eastAsia="宋体" w:cs="Times New Roman"/>
                <w:color w:val="auto"/>
                <w:sz w:val="16"/>
                <w:highlight w:val="none"/>
              </w:rPr>
              <w:t>年限平均法</w:t>
            </w:r>
          </w:p>
        </w:tc>
        <w:tc>
          <w:tcPr>
            <w:tcW w:w="1056" w:type="pct"/>
            <w:shd w:val="clear" w:color="auto" w:fill="auto"/>
            <w:noWrap/>
            <w:vAlign w:val="center"/>
          </w:tcPr>
          <w:p>
            <w:pPr>
              <w:adjustRightInd w:val="0"/>
              <w:snapToGrid w:val="0"/>
              <w:spacing w:line="200" w:lineRule="atLeast"/>
              <w:ind w:left="132" w:leftChars="63"/>
              <w:jc w:val="center"/>
              <w:rPr>
                <w:rFonts w:ascii="Times New Roman" w:hAnsi="Times New Roman" w:eastAsia="宋体" w:cs="Times New Roman"/>
                <w:bCs/>
                <w:color w:val="auto"/>
                <w:sz w:val="16"/>
                <w:szCs w:val="18"/>
                <w:highlight w:val="none"/>
              </w:rPr>
            </w:pPr>
            <w:r>
              <w:rPr>
                <w:rFonts w:ascii="Times New Roman" w:hAnsi="Times New Roman" w:eastAsia="宋体" w:cs="Times New Roman"/>
                <w:color w:val="auto"/>
                <w:sz w:val="16"/>
                <w:highlight w:val="none"/>
              </w:rPr>
              <w:t>20—55</w:t>
            </w:r>
          </w:p>
        </w:tc>
        <w:tc>
          <w:tcPr>
            <w:tcW w:w="918" w:type="pct"/>
            <w:shd w:val="clear" w:color="auto" w:fill="auto"/>
            <w:noWrap/>
            <w:vAlign w:val="center"/>
          </w:tcPr>
          <w:p>
            <w:pPr>
              <w:adjustRightInd w:val="0"/>
              <w:snapToGrid w:val="0"/>
              <w:spacing w:line="200" w:lineRule="atLeast"/>
              <w:ind w:left="132" w:leftChars="63"/>
              <w:jc w:val="center"/>
              <w:rPr>
                <w:rFonts w:ascii="Times New Roman" w:hAnsi="Times New Roman" w:eastAsia="宋体" w:cs="Times New Roman"/>
                <w:bCs/>
                <w:color w:val="auto"/>
                <w:sz w:val="16"/>
                <w:szCs w:val="18"/>
                <w:highlight w:val="none"/>
              </w:rPr>
            </w:pPr>
            <w:r>
              <w:rPr>
                <w:rFonts w:ascii="Times New Roman" w:hAnsi="Times New Roman" w:eastAsia="宋体" w:cs="Times New Roman"/>
                <w:color w:val="auto"/>
                <w:sz w:val="16"/>
                <w:highlight w:val="none"/>
              </w:rPr>
              <w:t>0.00-3.00</w:t>
            </w:r>
          </w:p>
        </w:tc>
        <w:tc>
          <w:tcPr>
            <w:tcW w:w="1036" w:type="pct"/>
            <w:shd w:val="clear" w:color="auto" w:fill="auto"/>
            <w:noWrap/>
            <w:vAlign w:val="center"/>
          </w:tcPr>
          <w:p>
            <w:pPr>
              <w:adjustRightInd w:val="0"/>
              <w:snapToGrid w:val="0"/>
              <w:spacing w:line="200" w:lineRule="atLeast"/>
              <w:ind w:left="132" w:leftChars="63"/>
              <w:jc w:val="center"/>
              <w:rPr>
                <w:rFonts w:ascii="Times New Roman" w:hAnsi="Times New Roman" w:eastAsia="宋体" w:cs="Times New Roman"/>
                <w:bCs/>
                <w:color w:val="auto"/>
                <w:sz w:val="16"/>
                <w:szCs w:val="18"/>
                <w:highlight w:val="none"/>
              </w:rPr>
            </w:pPr>
            <w:r>
              <w:rPr>
                <w:rFonts w:ascii="Times New Roman" w:hAnsi="Times New Roman" w:eastAsia="宋体" w:cs="Times New Roman"/>
                <w:color w:val="auto"/>
                <w:sz w:val="16"/>
                <w:highlight w:val="none"/>
              </w:rPr>
              <w:t>5.00-</w:t>
            </w:r>
            <w:r>
              <w:rPr>
                <w:rFonts w:hint="eastAsia" w:ascii="Times New Roman" w:hAnsi="Times New Roman" w:eastAsia="宋体" w:cs="Times New Roman"/>
                <w:color w:val="auto"/>
                <w:sz w:val="16"/>
                <w:highlight w:val="none"/>
              </w:rPr>
              <w:t>1.8</w:t>
            </w:r>
            <w:r>
              <w:rPr>
                <w:rFonts w:ascii="Times New Roman" w:hAnsi="Times New Roman" w:eastAsia="宋体" w:cs="Times New Roman"/>
                <w:color w:val="auto"/>
                <w:sz w:val="16"/>
                <w:highlight w:val="none"/>
              </w:rPr>
              <w:t>2</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114" w:type="pct"/>
            <w:shd w:val="clear" w:color="auto" w:fill="auto"/>
            <w:vAlign w:val="center"/>
          </w:tcPr>
          <w:p>
            <w:pPr>
              <w:adjustRightInd w:val="0"/>
              <w:snapToGrid w:val="0"/>
              <w:spacing w:line="200" w:lineRule="atLeast"/>
              <w:ind w:left="132" w:leftChars="63"/>
              <w:jc w:val="both"/>
              <w:rPr>
                <w:rFonts w:ascii="Times New Roman" w:hAnsi="Times New Roman" w:eastAsia="宋体" w:cs="Times New Roman"/>
                <w:bCs/>
                <w:color w:val="auto"/>
                <w:sz w:val="16"/>
                <w:szCs w:val="18"/>
                <w:highlight w:val="none"/>
              </w:rPr>
            </w:pPr>
            <w:r>
              <w:rPr>
                <w:rFonts w:hint="eastAsia" w:ascii="Times New Roman" w:hAnsi="Times New Roman" w:eastAsia="宋体" w:cs="Times New Roman"/>
                <w:color w:val="auto"/>
                <w:sz w:val="16"/>
                <w:highlight w:val="none"/>
              </w:rPr>
              <w:t>机器设备</w:t>
            </w:r>
          </w:p>
        </w:tc>
        <w:tc>
          <w:tcPr>
            <w:tcW w:w="876" w:type="pct"/>
            <w:shd w:val="clear" w:color="auto" w:fill="auto"/>
            <w:vAlign w:val="center"/>
          </w:tcPr>
          <w:p>
            <w:pPr>
              <w:adjustRightInd w:val="0"/>
              <w:snapToGrid w:val="0"/>
              <w:spacing w:line="200" w:lineRule="atLeast"/>
              <w:ind w:left="132" w:leftChars="63"/>
              <w:jc w:val="center"/>
              <w:rPr>
                <w:rFonts w:ascii="Times New Roman" w:hAnsi="Times New Roman" w:eastAsia="宋体" w:cs="Times New Roman"/>
                <w:bCs/>
                <w:color w:val="auto"/>
                <w:sz w:val="16"/>
                <w:szCs w:val="18"/>
                <w:highlight w:val="none"/>
              </w:rPr>
            </w:pPr>
            <w:r>
              <w:rPr>
                <w:rFonts w:hint="eastAsia" w:ascii="Times New Roman" w:hAnsi="Times New Roman" w:eastAsia="宋体" w:cs="Times New Roman"/>
                <w:color w:val="auto"/>
                <w:sz w:val="16"/>
                <w:highlight w:val="none"/>
              </w:rPr>
              <w:t>年限平均法</w:t>
            </w:r>
          </w:p>
        </w:tc>
        <w:tc>
          <w:tcPr>
            <w:tcW w:w="1056" w:type="pct"/>
            <w:shd w:val="clear" w:color="auto" w:fill="auto"/>
            <w:noWrap/>
            <w:vAlign w:val="center"/>
          </w:tcPr>
          <w:p>
            <w:pPr>
              <w:adjustRightInd w:val="0"/>
              <w:snapToGrid w:val="0"/>
              <w:spacing w:line="200" w:lineRule="atLeast"/>
              <w:ind w:left="132" w:leftChars="63"/>
              <w:jc w:val="center"/>
              <w:rPr>
                <w:rFonts w:ascii="Times New Roman" w:hAnsi="Times New Roman" w:eastAsia="宋体" w:cs="Times New Roman"/>
                <w:bCs/>
                <w:color w:val="auto"/>
                <w:sz w:val="16"/>
                <w:szCs w:val="18"/>
                <w:highlight w:val="none"/>
              </w:rPr>
            </w:pPr>
            <w:r>
              <w:rPr>
                <w:rFonts w:ascii="Times New Roman" w:hAnsi="Times New Roman" w:eastAsia="宋体" w:cs="Times New Roman"/>
                <w:color w:val="auto"/>
                <w:sz w:val="16"/>
                <w:highlight w:val="none"/>
              </w:rPr>
              <w:t>8—20</w:t>
            </w:r>
          </w:p>
        </w:tc>
        <w:tc>
          <w:tcPr>
            <w:tcW w:w="918" w:type="pct"/>
            <w:shd w:val="clear" w:color="auto" w:fill="auto"/>
            <w:noWrap/>
            <w:vAlign w:val="center"/>
          </w:tcPr>
          <w:p>
            <w:pPr>
              <w:adjustRightInd w:val="0"/>
              <w:snapToGrid w:val="0"/>
              <w:spacing w:line="200" w:lineRule="atLeast"/>
              <w:ind w:left="132" w:leftChars="63"/>
              <w:jc w:val="center"/>
              <w:rPr>
                <w:rFonts w:ascii="Times New Roman" w:hAnsi="Times New Roman" w:eastAsia="宋体" w:cs="Times New Roman"/>
                <w:bCs/>
                <w:color w:val="auto"/>
                <w:sz w:val="16"/>
                <w:szCs w:val="18"/>
                <w:highlight w:val="none"/>
              </w:rPr>
            </w:pPr>
            <w:r>
              <w:rPr>
                <w:rFonts w:ascii="Times New Roman" w:hAnsi="Times New Roman" w:eastAsia="宋体" w:cs="Times New Roman"/>
                <w:color w:val="auto"/>
                <w:sz w:val="16"/>
                <w:highlight w:val="none"/>
              </w:rPr>
              <w:t>0.00-3.00</w:t>
            </w:r>
          </w:p>
        </w:tc>
        <w:tc>
          <w:tcPr>
            <w:tcW w:w="1036" w:type="pct"/>
            <w:shd w:val="clear" w:color="auto" w:fill="auto"/>
            <w:noWrap/>
            <w:vAlign w:val="center"/>
          </w:tcPr>
          <w:p>
            <w:pPr>
              <w:adjustRightInd w:val="0"/>
              <w:snapToGrid w:val="0"/>
              <w:spacing w:line="200" w:lineRule="atLeast"/>
              <w:ind w:left="132" w:leftChars="63"/>
              <w:jc w:val="center"/>
              <w:rPr>
                <w:rFonts w:ascii="Times New Roman" w:hAnsi="Times New Roman" w:eastAsia="宋体" w:cs="Times New Roman"/>
                <w:bCs/>
                <w:color w:val="auto"/>
                <w:sz w:val="16"/>
                <w:szCs w:val="18"/>
                <w:highlight w:val="none"/>
              </w:rPr>
            </w:pPr>
            <w:r>
              <w:rPr>
                <w:rFonts w:ascii="Times New Roman" w:hAnsi="Times New Roman" w:eastAsia="宋体" w:cs="Times New Roman"/>
                <w:color w:val="auto"/>
                <w:sz w:val="16"/>
                <w:highlight w:val="none"/>
              </w:rPr>
              <w:t>12.50-5.00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114" w:type="pct"/>
            <w:shd w:val="clear" w:color="auto" w:fill="auto"/>
            <w:vAlign w:val="center"/>
          </w:tcPr>
          <w:p>
            <w:pPr>
              <w:adjustRightInd w:val="0"/>
              <w:snapToGrid w:val="0"/>
              <w:spacing w:line="200" w:lineRule="atLeast"/>
              <w:ind w:left="132" w:leftChars="63"/>
              <w:jc w:val="both"/>
              <w:rPr>
                <w:rFonts w:ascii="Times New Roman" w:hAnsi="Times New Roman" w:eastAsia="宋体" w:cs="Times New Roman"/>
                <w:bCs/>
                <w:color w:val="auto"/>
                <w:sz w:val="16"/>
                <w:szCs w:val="18"/>
                <w:highlight w:val="none"/>
              </w:rPr>
            </w:pPr>
            <w:r>
              <w:rPr>
                <w:rFonts w:hint="eastAsia" w:ascii="Times New Roman" w:hAnsi="Times New Roman" w:eastAsia="宋体" w:cs="Times New Roman"/>
                <w:color w:val="auto"/>
                <w:sz w:val="16"/>
                <w:highlight w:val="none"/>
              </w:rPr>
              <w:t>运输工具</w:t>
            </w:r>
          </w:p>
        </w:tc>
        <w:tc>
          <w:tcPr>
            <w:tcW w:w="876" w:type="pct"/>
            <w:shd w:val="clear" w:color="auto" w:fill="auto"/>
            <w:vAlign w:val="center"/>
          </w:tcPr>
          <w:p>
            <w:pPr>
              <w:adjustRightInd w:val="0"/>
              <w:snapToGrid w:val="0"/>
              <w:spacing w:line="200" w:lineRule="atLeast"/>
              <w:ind w:left="132" w:leftChars="63"/>
              <w:jc w:val="center"/>
              <w:rPr>
                <w:rFonts w:ascii="Times New Roman" w:hAnsi="Times New Roman" w:eastAsia="宋体" w:cs="Times New Roman"/>
                <w:bCs/>
                <w:color w:val="auto"/>
                <w:sz w:val="16"/>
                <w:szCs w:val="18"/>
                <w:highlight w:val="none"/>
              </w:rPr>
            </w:pPr>
            <w:r>
              <w:rPr>
                <w:rFonts w:hint="eastAsia" w:ascii="Times New Roman" w:hAnsi="Times New Roman" w:eastAsia="宋体" w:cs="Times New Roman"/>
                <w:color w:val="auto"/>
                <w:sz w:val="16"/>
                <w:highlight w:val="none"/>
              </w:rPr>
              <w:t>年限平均法</w:t>
            </w:r>
          </w:p>
        </w:tc>
        <w:tc>
          <w:tcPr>
            <w:tcW w:w="1056" w:type="pct"/>
            <w:shd w:val="clear" w:color="auto" w:fill="auto"/>
            <w:vAlign w:val="center"/>
          </w:tcPr>
          <w:p>
            <w:pPr>
              <w:adjustRightInd w:val="0"/>
              <w:snapToGrid w:val="0"/>
              <w:spacing w:line="200" w:lineRule="atLeast"/>
              <w:ind w:left="132" w:leftChars="63"/>
              <w:jc w:val="center"/>
              <w:rPr>
                <w:rFonts w:ascii="Times New Roman" w:hAnsi="Times New Roman" w:eastAsia="宋体" w:cs="Times New Roman"/>
                <w:bCs/>
                <w:color w:val="auto"/>
                <w:sz w:val="16"/>
                <w:szCs w:val="18"/>
                <w:highlight w:val="none"/>
              </w:rPr>
            </w:pPr>
            <w:r>
              <w:rPr>
                <w:rFonts w:ascii="Times New Roman" w:hAnsi="Times New Roman" w:eastAsia="宋体" w:cs="Times New Roman"/>
                <w:color w:val="auto"/>
                <w:sz w:val="16"/>
                <w:highlight w:val="none"/>
              </w:rPr>
              <w:t>6—10</w:t>
            </w:r>
          </w:p>
        </w:tc>
        <w:tc>
          <w:tcPr>
            <w:tcW w:w="918" w:type="pct"/>
            <w:shd w:val="clear" w:color="auto" w:fill="auto"/>
            <w:noWrap/>
            <w:vAlign w:val="center"/>
          </w:tcPr>
          <w:p>
            <w:pPr>
              <w:adjustRightInd w:val="0"/>
              <w:snapToGrid w:val="0"/>
              <w:spacing w:line="200" w:lineRule="atLeast"/>
              <w:ind w:left="132" w:leftChars="63"/>
              <w:jc w:val="center"/>
              <w:rPr>
                <w:rFonts w:ascii="Times New Roman" w:hAnsi="Times New Roman" w:eastAsia="宋体" w:cs="Times New Roman"/>
                <w:bCs/>
                <w:color w:val="auto"/>
                <w:sz w:val="16"/>
                <w:szCs w:val="18"/>
                <w:highlight w:val="none"/>
              </w:rPr>
            </w:pPr>
            <w:r>
              <w:rPr>
                <w:rFonts w:ascii="Times New Roman" w:hAnsi="Times New Roman" w:eastAsia="宋体" w:cs="Times New Roman"/>
                <w:color w:val="auto"/>
                <w:sz w:val="16"/>
                <w:highlight w:val="none"/>
              </w:rPr>
              <w:t>3.00</w:t>
            </w:r>
          </w:p>
        </w:tc>
        <w:tc>
          <w:tcPr>
            <w:tcW w:w="1036" w:type="pct"/>
            <w:shd w:val="clear" w:color="auto" w:fill="auto"/>
            <w:vAlign w:val="center"/>
          </w:tcPr>
          <w:p>
            <w:pPr>
              <w:adjustRightInd w:val="0"/>
              <w:snapToGrid w:val="0"/>
              <w:spacing w:line="200" w:lineRule="atLeast"/>
              <w:ind w:left="132" w:leftChars="63"/>
              <w:jc w:val="center"/>
              <w:rPr>
                <w:rFonts w:ascii="Times New Roman" w:hAnsi="Times New Roman" w:eastAsia="宋体" w:cs="Times New Roman"/>
                <w:bCs/>
                <w:color w:val="auto"/>
                <w:sz w:val="16"/>
                <w:szCs w:val="18"/>
                <w:highlight w:val="none"/>
              </w:rPr>
            </w:pPr>
            <w:r>
              <w:rPr>
                <w:rFonts w:ascii="Times New Roman" w:hAnsi="Times New Roman" w:eastAsia="宋体" w:cs="Times New Roman"/>
                <w:color w:val="auto"/>
                <w:sz w:val="16"/>
                <w:highlight w:val="none"/>
              </w:rPr>
              <w:t>16.17-9.70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114" w:type="pct"/>
            <w:shd w:val="clear" w:color="auto" w:fill="auto"/>
            <w:vAlign w:val="center"/>
          </w:tcPr>
          <w:p>
            <w:pPr>
              <w:adjustRightInd w:val="0"/>
              <w:snapToGrid w:val="0"/>
              <w:spacing w:line="200" w:lineRule="atLeast"/>
              <w:ind w:left="132" w:leftChars="63"/>
              <w:jc w:val="both"/>
              <w:rPr>
                <w:rFonts w:ascii="Times New Roman" w:hAnsi="Times New Roman" w:eastAsia="宋体" w:cs="Times New Roman"/>
                <w:bCs/>
                <w:color w:val="auto"/>
                <w:sz w:val="16"/>
                <w:szCs w:val="18"/>
                <w:highlight w:val="none"/>
              </w:rPr>
            </w:pPr>
            <w:r>
              <w:rPr>
                <w:rFonts w:hint="eastAsia" w:ascii="Times New Roman" w:hAnsi="Times New Roman" w:eastAsia="宋体" w:cs="Times New Roman"/>
                <w:color w:val="auto"/>
                <w:sz w:val="16"/>
                <w:highlight w:val="none"/>
              </w:rPr>
              <w:t>电子设备及其他</w:t>
            </w:r>
          </w:p>
        </w:tc>
        <w:tc>
          <w:tcPr>
            <w:tcW w:w="876" w:type="pct"/>
            <w:shd w:val="clear" w:color="auto" w:fill="auto"/>
            <w:vAlign w:val="center"/>
          </w:tcPr>
          <w:p>
            <w:pPr>
              <w:adjustRightInd w:val="0"/>
              <w:snapToGrid w:val="0"/>
              <w:spacing w:line="200" w:lineRule="atLeast"/>
              <w:ind w:left="132" w:leftChars="63"/>
              <w:jc w:val="center"/>
              <w:rPr>
                <w:rFonts w:ascii="Times New Roman" w:hAnsi="Times New Roman" w:eastAsia="宋体" w:cs="Times New Roman"/>
                <w:bCs/>
                <w:color w:val="auto"/>
                <w:sz w:val="16"/>
                <w:szCs w:val="18"/>
                <w:highlight w:val="none"/>
              </w:rPr>
            </w:pPr>
            <w:r>
              <w:rPr>
                <w:rFonts w:hint="eastAsia" w:ascii="Times New Roman" w:hAnsi="Times New Roman" w:eastAsia="宋体" w:cs="Times New Roman"/>
                <w:color w:val="auto"/>
                <w:sz w:val="16"/>
                <w:highlight w:val="none"/>
              </w:rPr>
              <w:t>年限平均法</w:t>
            </w:r>
          </w:p>
        </w:tc>
        <w:tc>
          <w:tcPr>
            <w:tcW w:w="1056" w:type="pct"/>
            <w:shd w:val="clear" w:color="auto" w:fill="auto"/>
            <w:vAlign w:val="center"/>
          </w:tcPr>
          <w:p>
            <w:pPr>
              <w:adjustRightInd w:val="0"/>
              <w:snapToGrid w:val="0"/>
              <w:spacing w:line="200" w:lineRule="atLeast"/>
              <w:ind w:left="132" w:leftChars="63"/>
              <w:jc w:val="center"/>
              <w:rPr>
                <w:rFonts w:ascii="Times New Roman" w:hAnsi="Times New Roman" w:eastAsia="宋体" w:cs="Times New Roman"/>
                <w:bCs/>
                <w:color w:val="auto"/>
                <w:sz w:val="16"/>
                <w:szCs w:val="18"/>
                <w:highlight w:val="none"/>
              </w:rPr>
            </w:pPr>
            <w:r>
              <w:rPr>
                <w:rFonts w:ascii="Times New Roman" w:hAnsi="Times New Roman" w:eastAsia="宋体" w:cs="Times New Roman"/>
                <w:color w:val="auto"/>
                <w:sz w:val="16"/>
                <w:highlight w:val="none"/>
              </w:rPr>
              <w:t>5.00</w:t>
            </w:r>
          </w:p>
        </w:tc>
        <w:tc>
          <w:tcPr>
            <w:tcW w:w="918" w:type="pct"/>
            <w:shd w:val="clear" w:color="auto" w:fill="auto"/>
            <w:noWrap/>
            <w:vAlign w:val="center"/>
          </w:tcPr>
          <w:p>
            <w:pPr>
              <w:adjustRightInd w:val="0"/>
              <w:snapToGrid w:val="0"/>
              <w:spacing w:line="200" w:lineRule="atLeast"/>
              <w:ind w:left="132" w:leftChars="63"/>
              <w:jc w:val="center"/>
              <w:rPr>
                <w:rFonts w:ascii="Times New Roman" w:hAnsi="Times New Roman" w:eastAsia="宋体" w:cs="Times New Roman"/>
                <w:bCs/>
                <w:color w:val="auto"/>
                <w:sz w:val="16"/>
                <w:szCs w:val="18"/>
                <w:highlight w:val="none"/>
              </w:rPr>
            </w:pPr>
            <w:r>
              <w:rPr>
                <w:rFonts w:ascii="Times New Roman" w:hAnsi="Times New Roman" w:eastAsia="宋体" w:cs="Times New Roman"/>
                <w:color w:val="auto"/>
                <w:sz w:val="16"/>
                <w:highlight w:val="none"/>
              </w:rPr>
              <w:t>0.00</w:t>
            </w:r>
          </w:p>
        </w:tc>
        <w:tc>
          <w:tcPr>
            <w:tcW w:w="1036" w:type="pct"/>
            <w:shd w:val="clear" w:color="auto" w:fill="auto"/>
            <w:vAlign w:val="center"/>
          </w:tcPr>
          <w:p>
            <w:pPr>
              <w:adjustRightInd w:val="0"/>
              <w:snapToGrid w:val="0"/>
              <w:spacing w:line="200" w:lineRule="atLeast"/>
              <w:ind w:left="132" w:leftChars="63"/>
              <w:jc w:val="center"/>
              <w:rPr>
                <w:rFonts w:ascii="Times New Roman" w:hAnsi="Times New Roman" w:eastAsia="宋体" w:cs="Times New Roman"/>
                <w:bCs/>
                <w:color w:val="auto"/>
                <w:sz w:val="16"/>
                <w:szCs w:val="18"/>
                <w:highlight w:val="none"/>
              </w:rPr>
            </w:pPr>
            <w:r>
              <w:rPr>
                <w:rFonts w:ascii="Times New Roman" w:hAnsi="Times New Roman" w:eastAsia="宋体" w:cs="Times New Roman"/>
                <w:color w:val="auto"/>
                <w:sz w:val="16"/>
                <w:highlight w:val="none"/>
              </w:rPr>
              <w:t>20.00</w:t>
            </w:r>
          </w:p>
        </w:tc>
      </w:tr>
    </w:tbl>
    <w:p>
      <w:pPr>
        <w:pStyle w:val="35"/>
        <w:rPr>
          <w:rFonts w:eastAsiaTheme="minorEastAsia"/>
          <w:color w:val="auto"/>
          <w:highlight w:val="none"/>
        </w:rPr>
      </w:pPr>
    </w:p>
    <w:p>
      <w:pPr>
        <w:pStyle w:val="44"/>
        <w:rPr>
          <w:color w:val="auto"/>
          <w:highlight w:val="none"/>
        </w:rPr>
      </w:pPr>
      <w:r>
        <w:rPr>
          <w:rFonts w:hint="eastAsia"/>
          <w:color w:val="auto"/>
          <w:highlight w:val="none"/>
        </w:rPr>
        <w:t>固定资产后续支出的会计处理</w:t>
      </w:r>
    </w:p>
    <w:p>
      <w:pPr>
        <w:pStyle w:val="35"/>
        <w:rPr>
          <w:rFonts w:eastAsiaTheme="minorEastAsia"/>
          <w:color w:val="auto"/>
          <w:highlight w:val="none"/>
        </w:rPr>
      </w:pPr>
      <w:r>
        <w:rPr>
          <w:rFonts w:hint="eastAsia" w:eastAsiaTheme="minorEastAsia"/>
          <w:color w:val="auto"/>
          <w:highlight w:val="none"/>
        </w:rPr>
        <w:t>固定资产的后续支出是指固定资产在使用过程中发生的更新改造支出、修理费用等。</w:t>
      </w:r>
    </w:p>
    <w:p>
      <w:pPr>
        <w:pStyle w:val="35"/>
        <w:rPr>
          <w:rFonts w:eastAsiaTheme="minorEastAsia"/>
          <w:color w:val="auto"/>
          <w:highlight w:val="none"/>
        </w:rPr>
      </w:pPr>
      <w:r>
        <w:rPr>
          <w:rFonts w:hint="eastAsia" w:eastAsiaTheme="minorEastAsia"/>
          <w:color w:val="auto"/>
          <w:highlight w:val="none"/>
        </w:rPr>
        <w:t>与固定资产有关的后续支出，在与其有关的经济利益很可能流入且其成本能够可靠计量时，计入固定资产成本；对于被替换的部分，终止确认其账面价值；所有其他后续支出于发生时计入当期损益。</w:t>
      </w:r>
    </w:p>
    <w:p>
      <w:pPr>
        <w:pStyle w:val="35"/>
        <w:rPr>
          <w:rFonts w:hint="eastAsia" w:eastAsiaTheme="minorEastAsia"/>
          <w:color w:val="auto"/>
          <w:highlight w:val="none"/>
        </w:rPr>
      </w:pPr>
    </w:p>
    <w:p>
      <w:pPr>
        <w:pStyle w:val="35"/>
        <w:rPr>
          <w:rFonts w:eastAsiaTheme="minorEastAsia"/>
          <w:color w:val="auto"/>
          <w:highlight w:val="none"/>
        </w:rPr>
      </w:pPr>
    </w:p>
    <w:p>
      <w:pPr>
        <w:pStyle w:val="44"/>
        <w:rPr>
          <w:color w:val="auto"/>
          <w:highlight w:val="none"/>
        </w:rPr>
      </w:pPr>
      <w:r>
        <w:rPr>
          <w:rFonts w:hint="eastAsia"/>
          <w:color w:val="auto"/>
          <w:highlight w:val="none"/>
        </w:rPr>
        <w:t>固定资产减值准备的确认标准、计提方法</w:t>
      </w:r>
    </w:p>
    <w:p>
      <w:pPr>
        <w:pStyle w:val="35"/>
        <w:rPr>
          <w:rFonts w:eastAsiaTheme="minorEastAsia"/>
          <w:color w:val="auto"/>
          <w:highlight w:val="none"/>
        </w:rPr>
      </w:pPr>
      <w:r>
        <w:rPr>
          <w:rFonts w:hint="eastAsia" w:eastAsiaTheme="minorEastAsia"/>
          <w:color w:val="auto"/>
          <w:highlight w:val="none"/>
        </w:rPr>
        <w:t>本公司在每期末判断固定资产是否存在可能发生减值的迹象。</w:t>
      </w:r>
    </w:p>
    <w:p>
      <w:pPr>
        <w:pStyle w:val="35"/>
        <w:rPr>
          <w:rFonts w:eastAsiaTheme="minorEastAsia"/>
          <w:color w:val="auto"/>
          <w:highlight w:val="none"/>
        </w:rPr>
      </w:pPr>
      <w:r>
        <w:rPr>
          <w:rFonts w:hint="eastAsia" w:eastAsiaTheme="minorEastAsia"/>
          <w:color w:val="auto"/>
          <w:highlight w:val="none"/>
        </w:rPr>
        <w:t>固定资产存在减值迹象的，估计其可收回金额。可收回金额根据固定资产的公允价值减去处置费用后的净额与固定资产预计未来现金流量的现值两者之间较高者确定。</w:t>
      </w:r>
    </w:p>
    <w:p>
      <w:pPr>
        <w:pStyle w:val="35"/>
        <w:rPr>
          <w:rFonts w:eastAsiaTheme="minorEastAsia"/>
          <w:color w:val="auto"/>
          <w:highlight w:val="none"/>
        </w:rPr>
      </w:pPr>
      <w:r>
        <w:rPr>
          <w:rFonts w:hint="eastAsia" w:eastAsiaTheme="minorEastAsia"/>
          <w:color w:val="auto"/>
          <w:highlight w:val="none"/>
        </w:rPr>
        <w:t>当固定资产的可收回金额低于其账面价值的，将固定资产的账面价值减记至可收回金额，减记的金额确认为固定资产减值损失，计入当期损益，同时计提相应的固定资产减值准备。</w:t>
      </w:r>
    </w:p>
    <w:p>
      <w:pPr>
        <w:pStyle w:val="35"/>
        <w:rPr>
          <w:rFonts w:eastAsiaTheme="minorEastAsia"/>
          <w:color w:val="auto"/>
          <w:highlight w:val="none"/>
        </w:rPr>
      </w:pPr>
      <w:r>
        <w:rPr>
          <w:rFonts w:hint="eastAsia" w:eastAsiaTheme="minorEastAsia"/>
          <w:color w:val="auto"/>
          <w:highlight w:val="none"/>
        </w:rPr>
        <w:t>固定资产减值损失确认后，减值固定资产的折旧在未来期间作相应调整，以使该固定资产在剩余使用寿命内，系统地分摊调整后的固定资产账面价值（扣除预计净残值）。</w:t>
      </w:r>
    </w:p>
    <w:p>
      <w:pPr>
        <w:pStyle w:val="35"/>
        <w:rPr>
          <w:rFonts w:eastAsiaTheme="minorEastAsia"/>
          <w:color w:val="auto"/>
          <w:highlight w:val="none"/>
        </w:rPr>
      </w:pPr>
      <w:r>
        <w:rPr>
          <w:rFonts w:hint="eastAsia" w:eastAsiaTheme="minorEastAsia"/>
          <w:color w:val="auto"/>
          <w:highlight w:val="none"/>
        </w:rPr>
        <w:t>固定资产的减值损失一经确认，在以后会计期间不再转回。</w:t>
      </w:r>
    </w:p>
    <w:p>
      <w:pPr>
        <w:pStyle w:val="35"/>
        <w:rPr>
          <w:rFonts w:eastAsiaTheme="minorEastAsia"/>
          <w:color w:val="auto"/>
          <w:highlight w:val="none"/>
        </w:rPr>
      </w:pPr>
      <w:r>
        <w:rPr>
          <w:rFonts w:hint="eastAsia" w:eastAsiaTheme="minorEastAsia"/>
          <w:color w:val="auto"/>
          <w:highlight w:val="none"/>
        </w:rPr>
        <w:t>有迹象表明一项固定资产可能发生减值的，本公司以单项固定资产为基础估计其可收回金额。本公司难以对单项固定资产的可收回金额进行估计的，以该固定资产所属的资产组为基础确定资产组的可收回金额。</w:t>
      </w:r>
    </w:p>
    <w:p>
      <w:pPr>
        <w:pStyle w:val="35"/>
        <w:rPr>
          <w:rFonts w:eastAsiaTheme="minorEastAsia"/>
          <w:color w:val="auto"/>
          <w:highlight w:val="none"/>
        </w:rPr>
      </w:pPr>
    </w:p>
    <w:p>
      <w:pPr>
        <w:pStyle w:val="44"/>
        <w:rPr>
          <w:color w:val="auto"/>
          <w:highlight w:val="none"/>
        </w:rPr>
      </w:pPr>
      <w:r>
        <w:rPr>
          <w:rFonts w:hint="eastAsia"/>
          <w:color w:val="auto"/>
          <w:highlight w:val="none"/>
        </w:rPr>
        <w:t>固定资产处置</w:t>
      </w:r>
    </w:p>
    <w:p>
      <w:pPr>
        <w:pStyle w:val="35"/>
        <w:rPr>
          <w:color w:val="auto"/>
          <w:highlight w:val="none"/>
        </w:rPr>
      </w:pPr>
      <w:r>
        <w:rPr>
          <w:rFonts w:hint="eastAsia"/>
          <w:color w:val="auto"/>
          <w:highlight w:val="none"/>
        </w:rPr>
        <w:t>当固定资产被处置、或者预期通过使用或处置不能产生经济利益时，终止确认该固定资产。固定资产出售、转让、报废或毁损的处置收入扣除其账面价值和相关税费后的金额计入当期损益。</w:t>
      </w:r>
    </w:p>
    <w:p>
      <w:pPr>
        <w:pStyle w:val="35"/>
        <w:rPr>
          <w:rFonts w:eastAsiaTheme="minorEastAsia"/>
          <w:color w:val="auto"/>
          <w:highlight w:val="none"/>
        </w:rPr>
      </w:pPr>
    </w:p>
    <w:p>
      <w:pPr>
        <w:pStyle w:val="37"/>
        <w:rPr>
          <w:rFonts w:eastAsiaTheme="minorEastAsia"/>
          <w:color w:val="auto"/>
          <w:highlight w:val="none"/>
        </w:rPr>
      </w:pPr>
      <w:r>
        <w:rPr>
          <w:rFonts w:eastAsiaTheme="minorEastAsia"/>
          <w:color w:val="auto"/>
          <w:highlight w:val="none"/>
        </w:rPr>
        <w:t>在建工程</w:t>
      </w:r>
    </w:p>
    <w:p>
      <w:pPr>
        <w:pStyle w:val="44"/>
        <w:rPr>
          <w:color w:val="auto"/>
          <w:highlight w:val="none"/>
        </w:rPr>
      </w:pPr>
      <w:r>
        <w:rPr>
          <w:rFonts w:hint="eastAsia"/>
          <w:color w:val="auto"/>
          <w:highlight w:val="none"/>
        </w:rPr>
        <w:t>在建工程的初始计量和在建工程结转为固定资产的标准</w:t>
      </w:r>
    </w:p>
    <w:p>
      <w:pPr>
        <w:pStyle w:val="35"/>
        <w:rPr>
          <w:color w:val="auto"/>
          <w:highlight w:val="none"/>
        </w:rPr>
      </w:pPr>
      <w:r>
        <w:rPr>
          <w:rFonts w:hint="eastAsia"/>
          <w:color w:val="auto"/>
          <w:highlight w:val="none"/>
        </w:rPr>
        <w:t>在建工程成本按实际发生的成本计量。实际成本包括</w:t>
      </w:r>
      <w:r>
        <w:rPr>
          <w:rFonts w:hint="eastAsia" w:eastAsiaTheme="minorEastAsia"/>
          <w:color w:val="auto"/>
          <w:highlight w:val="none"/>
        </w:rPr>
        <w:t>建筑成本、安装成本、符合资本化条件的借款费用以及其他为使在建工程</w:t>
      </w:r>
      <w:r>
        <w:rPr>
          <w:rFonts w:hint="eastAsia"/>
          <w:color w:val="auto"/>
          <w:highlight w:val="none"/>
        </w:rPr>
        <w:t>达到预定可使用状态前所发生的必要支出。在建工程在达到预定可使用状态时，转入固定资产并自次月起开始计提折旧。</w:t>
      </w:r>
    </w:p>
    <w:p>
      <w:pPr>
        <w:pStyle w:val="35"/>
        <w:rPr>
          <w:color w:val="auto"/>
          <w:highlight w:val="none"/>
        </w:rPr>
      </w:pPr>
    </w:p>
    <w:p>
      <w:pPr>
        <w:pStyle w:val="44"/>
        <w:rPr>
          <w:color w:val="auto"/>
          <w:highlight w:val="none"/>
        </w:rPr>
      </w:pPr>
      <w:r>
        <w:rPr>
          <w:rFonts w:hint="eastAsia"/>
          <w:color w:val="auto"/>
          <w:highlight w:val="none"/>
        </w:rPr>
        <w:t>在建工程减值准备的确认标准、计提方法</w:t>
      </w:r>
    </w:p>
    <w:p>
      <w:pPr>
        <w:pStyle w:val="35"/>
        <w:rPr>
          <w:color w:val="auto"/>
          <w:highlight w:val="none"/>
        </w:rPr>
      </w:pPr>
      <w:r>
        <w:rPr>
          <w:rFonts w:hint="eastAsia"/>
          <w:color w:val="auto"/>
          <w:highlight w:val="none"/>
        </w:rPr>
        <w:t>本公司在每期末判断在建工程是否存在可能发生减值的迹象。</w:t>
      </w:r>
    </w:p>
    <w:p>
      <w:pPr>
        <w:pStyle w:val="35"/>
        <w:rPr>
          <w:color w:val="auto"/>
          <w:highlight w:val="none"/>
        </w:rPr>
      </w:pPr>
      <w:r>
        <w:rPr>
          <w:rFonts w:hint="eastAsia"/>
          <w:color w:val="auto"/>
          <w:highlight w:val="none"/>
        </w:rPr>
        <w:t>在建工程存在减值迹象的，估计其可收回金额。有迹象表明一项在建工程可能发生减值的，以单项在建工程为基础估计其可收回金额。难以对单项在建工程的可收回金额进行估计的，以该在建工程所属的资产组为基础确定资产组的可收回金额。</w:t>
      </w:r>
    </w:p>
    <w:p>
      <w:pPr>
        <w:pStyle w:val="35"/>
        <w:rPr>
          <w:color w:val="auto"/>
          <w:highlight w:val="none"/>
        </w:rPr>
      </w:pPr>
      <w:r>
        <w:rPr>
          <w:rFonts w:hint="eastAsia"/>
          <w:color w:val="auto"/>
          <w:highlight w:val="none"/>
        </w:rPr>
        <w:t>可收回金额根据在建工程的公允价值减去处置费用后的净额与在建工程预计未来现金流量的现值两者之间较高者确定。</w:t>
      </w:r>
    </w:p>
    <w:p>
      <w:pPr>
        <w:pStyle w:val="35"/>
        <w:rPr>
          <w:color w:val="auto"/>
          <w:highlight w:val="none"/>
        </w:rPr>
      </w:pPr>
      <w:r>
        <w:rPr>
          <w:rFonts w:hint="eastAsia"/>
          <w:color w:val="auto"/>
          <w:highlight w:val="none"/>
        </w:rPr>
        <w:t>当在建工程的可收回金额低于其账面价值的，将在建工程的账面价值减记至可收回金额，减记的金额确认为在建工程减值损失，计入当期损益，同时计提相应的在建工程减值准备。</w:t>
      </w:r>
    </w:p>
    <w:p>
      <w:pPr>
        <w:pStyle w:val="35"/>
        <w:rPr>
          <w:rFonts w:hint="eastAsia"/>
          <w:color w:val="auto"/>
          <w:highlight w:val="none"/>
        </w:rPr>
      </w:pPr>
      <w:r>
        <w:rPr>
          <w:rFonts w:hint="eastAsia"/>
          <w:color w:val="auto"/>
          <w:highlight w:val="none"/>
        </w:rPr>
        <w:t>在建工程的减值损失一经确认，在以后会计期间不再转回。</w:t>
      </w:r>
    </w:p>
    <w:p>
      <w:pPr>
        <w:pStyle w:val="35"/>
        <w:rPr>
          <w:color w:val="auto"/>
          <w:highlight w:val="none"/>
        </w:rPr>
      </w:pPr>
    </w:p>
    <w:p>
      <w:pPr>
        <w:pStyle w:val="37"/>
        <w:rPr>
          <w:rFonts w:eastAsiaTheme="minorEastAsia"/>
          <w:color w:val="auto"/>
          <w:highlight w:val="none"/>
        </w:rPr>
      </w:pPr>
      <w:r>
        <w:rPr>
          <w:rFonts w:eastAsiaTheme="minorEastAsia"/>
          <w:color w:val="auto"/>
          <w:highlight w:val="none"/>
        </w:rPr>
        <w:t>借款费用</w:t>
      </w:r>
    </w:p>
    <w:p>
      <w:pPr>
        <w:pStyle w:val="44"/>
        <w:rPr>
          <w:color w:val="auto"/>
          <w:highlight w:val="none"/>
        </w:rPr>
      </w:pPr>
      <w:r>
        <w:rPr>
          <w:rFonts w:hint="eastAsia"/>
          <w:color w:val="auto"/>
          <w:highlight w:val="none"/>
        </w:rPr>
        <w:t>借款费用资本化的确认原则</w:t>
      </w:r>
    </w:p>
    <w:p>
      <w:pPr>
        <w:pStyle w:val="35"/>
        <w:rPr>
          <w:color w:val="auto"/>
          <w:highlight w:val="none"/>
        </w:rPr>
      </w:pPr>
      <w:r>
        <w:rPr>
          <w:rFonts w:hint="eastAsia"/>
          <w:color w:val="auto"/>
          <w:highlight w:val="none"/>
        </w:rPr>
        <w:t>公司发生的借款费用，可直接归属于符合资本化条件的资产的购建或者生产的，予以资本化，计入相关资产成本；其他借款费用，在发生时根据其发生额确认为费用，计入当期损益。</w:t>
      </w:r>
    </w:p>
    <w:p>
      <w:pPr>
        <w:pStyle w:val="35"/>
        <w:rPr>
          <w:color w:val="auto"/>
          <w:highlight w:val="none"/>
        </w:rPr>
      </w:pPr>
      <w:r>
        <w:rPr>
          <w:rFonts w:hint="eastAsia"/>
          <w:color w:val="auto"/>
          <w:highlight w:val="none"/>
        </w:rPr>
        <w:t>符合资本化条件的资产，是指需要经过相当长时间的购建或者生产活动才能达到预定可使用或者可销售状态的固定资产、投资性房地产和存货等资产。</w:t>
      </w:r>
    </w:p>
    <w:p>
      <w:pPr>
        <w:pStyle w:val="35"/>
        <w:rPr>
          <w:rFonts w:eastAsiaTheme="minorEastAsia"/>
          <w:color w:val="auto"/>
          <w:highlight w:val="none"/>
        </w:rPr>
      </w:pPr>
    </w:p>
    <w:p>
      <w:pPr>
        <w:pStyle w:val="44"/>
        <w:rPr>
          <w:color w:val="auto"/>
          <w:highlight w:val="none"/>
        </w:rPr>
      </w:pPr>
      <w:r>
        <w:rPr>
          <w:rFonts w:hint="eastAsia"/>
          <w:color w:val="auto"/>
          <w:highlight w:val="none"/>
        </w:rPr>
        <w:t>借款费用资本化期间</w:t>
      </w:r>
    </w:p>
    <w:p>
      <w:pPr>
        <w:pStyle w:val="35"/>
        <w:rPr>
          <w:rFonts w:eastAsiaTheme="minorEastAsia"/>
          <w:color w:val="auto"/>
          <w:highlight w:val="none"/>
        </w:rPr>
      </w:pPr>
      <w:r>
        <w:rPr>
          <w:rFonts w:hint="eastAsia" w:eastAsiaTheme="minorEastAsia"/>
          <w:color w:val="auto"/>
          <w:highlight w:val="none"/>
        </w:rPr>
        <w:t>资本化期间，指从借款费用开始资本化时点到停止资本化时点的期间，借款费用暂停资本化的期间不包括在内。</w:t>
      </w:r>
    </w:p>
    <w:p>
      <w:pPr>
        <w:pStyle w:val="35"/>
        <w:rPr>
          <w:rFonts w:eastAsiaTheme="minorEastAsia"/>
          <w:color w:val="auto"/>
          <w:highlight w:val="none"/>
        </w:rPr>
      </w:pPr>
      <w:r>
        <w:rPr>
          <w:rFonts w:hint="eastAsia" w:eastAsiaTheme="minorEastAsia"/>
          <w:color w:val="auto"/>
          <w:highlight w:val="none"/>
        </w:rPr>
        <w:t>借款费用同时满足下列条件时开始资本化：</w:t>
      </w:r>
    </w:p>
    <w:p>
      <w:pPr>
        <w:pStyle w:val="35"/>
        <w:rPr>
          <w:rFonts w:eastAsiaTheme="minorEastAsia"/>
          <w:color w:val="auto"/>
          <w:highlight w:val="none"/>
        </w:rPr>
      </w:pPr>
      <w:r>
        <w:rPr>
          <w:rFonts w:hint="eastAsia" w:eastAsiaTheme="minorEastAsia"/>
          <w:color w:val="auto"/>
          <w:highlight w:val="none"/>
        </w:rPr>
        <w:t>（1）资产支出已经发生，资产支出包括为购建或者生产符合资本化条件的资产而以支付现金、转移非现金资产或者承担带息债务形式发生的支出；</w:t>
      </w:r>
    </w:p>
    <w:p>
      <w:pPr>
        <w:pStyle w:val="35"/>
        <w:rPr>
          <w:rFonts w:eastAsiaTheme="minorEastAsia"/>
          <w:color w:val="auto"/>
          <w:highlight w:val="none"/>
        </w:rPr>
      </w:pPr>
      <w:r>
        <w:rPr>
          <w:rFonts w:hint="eastAsia" w:eastAsiaTheme="minorEastAsia"/>
          <w:color w:val="auto"/>
          <w:highlight w:val="none"/>
        </w:rPr>
        <w:t>（2）借款费用已经发生；</w:t>
      </w:r>
    </w:p>
    <w:p>
      <w:pPr>
        <w:pStyle w:val="35"/>
        <w:rPr>
          <w:rFonts w:eastAsiaTheme="minorEastAsia"/>
          <w:color w:val="auto"/>
          <w:highlight w:val="none"/>
        </w:rPr>
      </w:pPr>
      <w:r>
        <w:rPr>
          <w:rFonts w:hint="eastAsia" w:eastAsiaTheme="minorEastAsia"/>
          <w:color w:val="auto"/>
          <w:highlight w:val="none"/>
        </w:rPr>
        <w:t>（3）为使资产达到预定可使用或者可销售状态所必要的购建或者生产活动已经开始。</w:t>
      </w:r>
    </w:p>
    <w:p>
      <w:pPr>
        <w:pStyle w:val="35"/>
        <w:rPr>
          <w:rFonts w:eastAsiaTheme="minorEastAsia"/>
          <w:color w:val="auto"/>
          <w:highlight w:val="none"/>
        </w:rPr>
      </w:pPr>
      <w:r>
        <w:rPr>
          <w:rFonts w:hint="eastAsia" w:eastAsiaTheme="minorEastAsia"/>
          <w:color w:val="auto"/>
          <w:highlight w:val="none"/>
        </w:rPr>
        <w:t>当购建或者生产符合资本化条件的资产达到预定可使用或者可销售状态时，借款费用停止资本化。</w:t>
      </w:r>
    </w:p>
    <w:p>
      <w:pPr>
        <w:pStyle w:val="35"/>
        <w:rPr>
          <w:rFonts w:eastAsiaTheme="minorEastAsia"/>
          <w:color w:val="auto"/>
          <w:highlight w:val="none"/>
        </w:rPr>
      </w:pPr>
    </w:p>
    <w:p>
      <w:pPr>
        <w:pStyle w:val="44"/>
        <w:rPr>
          <w:color w:val="auto"/>
          <w:highlight w:val="none"/>
        </w:rPr>
      </w:pPr>
      <w:r>
        <w:rPr>
          <w:rFonts w:hint="eastAsia"/>
          <w:color w:val="auto"/>
          <w:highlight w:val="none"/>
        </w:rPr>
        <w:t>暂停资本化期间</w:t>
      </w:r>
    </w:p>
    <w:p>
      <w:pPr>
        <w:pStyle w:val="35"/>
        <w:rPr>
          <w:rFonts w:eastAsiaTheme="minorEastAsia"/>
          <w:color w:val="auto"/>
          <w:highlight w:val="none"/>
        </w:rPr>
      </w:pPr>
      <w:r>
        <w:rPr>
          <w:rFonts w:hint="eastAsia" w:eastAsiaTheme="minorEastAsia"/>
          <w:color w:val="auto"/>
          <w:highlight w:val="none"/>
        </w:rPr>
        <w:t>符合资本化条件的资产在购建或生产过程中发生的非正常中断、且中断时间连续超过3个月的，则借款费用暂停资本化；该项中断如是所购建或生产的符合资本化条件的资产达到预定可使用状态或者可销售状态必要的程序，则借款费用继续资本化。在中断期间发生的借款费用确认为当期损益，直至资产的购建或者生产活动重新开始后借款费用继续资本化。</w:t>
      </w:r>
    </w:p>
    <w:p>
      <w:pPr>
        <w:pStyle w:val="35"/>
        <w:rPr>
          <w:rFonts w:eastAsiaTheme="minorEastAsia"/>
          <w:color w:val="auto"/>
          <w:highlight w:val="none"/>
        </w:rPr>
      </w:pPr>
    </w:p>
    <w:p>
      <w:pPr>
        <w:pStyle w:val="44"/>
        <w:rPr>
          <w:color w:val="auto"/>
          <w:highlight w:val="none"/>
        </w:rPr>
      </w:pPr>
      <w:r>
        <w:rPr>
          <w:rFonts w:hint="eastAsia"/>
          <w:color w:val="auto"/>
          <w:highlight w:val="none"/>
        </w:rPr>
        <w:t>借款费用资本化金额的计算方法</w:t>
      </w:r>
    </w:p>
    <w:p>
      <w:pPr>
        <w:pStyle w:val="35"/>
        <w:rPr>
          <w:rFonts w:eastAsiaTheme="minorEastAsia"/>
          <w:color w:val="auto"/>
          <w:highlight w:val="none"/>
        </w:rPr>
      </w:pPr>
      <w:r>
        <w:rPr>
          <w:rFonts w:hint="eastAsia" w:eastAsiaTheme="minorEastAsia"/>
          <w:color w:val="auto"/>
          <w:highlight w:val="none"/>
        </w:rPr>
        <w:t>对于为购建或者生产符合资本化条件的资产而借入的专门借款，以专门借款当期实际发生的借款费用，减去尚未动用的借款资金存入银行取得的利息收入或进行暂时性投资取得的投资收益后的金额，来确定借款费用的资本化金额。</w:t>
      </w:r>
    </w:p>
    <w:p>
      <w:pPr>
        <w:pStyle w:val="35"/>
        <w:rPr>
          <w:rFonts w:eastAsiaTheme="minorEastAsia"/>
          <w:color w:val="auto"/>
          <w:highlight w:val="none"/>
        </w:rPr>
      </w:pPr>
      <w:r>
        <w:rPr>
          <w:rFonts w:hint="eastAsia" w:eastAsiaTheme="minorEastAsia"/>
          <w:color w:val="auto"/>
          <w:highlight w:val="none"/>
        </w:rPr>
        <w:t>对于为购建或者生产符合资本化条件的资产而占用的一般借款，根据累计资产支出超过专门借款部分的资产支出加权平均数乘以所占用一般借款的资本化率，计算确定一般借款应予资本化的借款费用金额。资本化率根据一般借款加权平均实际利率计算确定。</w:t>
      </w:r>
    </w:p>
    <w:p>
      <w:pPr>
        <w:pStyle w:val="35"/>
        <w:rPr>
          <w:rFonts w:eastAsiaTheme="minorEastAsia"/>
          <w:b/>
          <w:color w:val="auto"/>
          <w:highlight w:val="none"/>
        </w:rPr>
      </w:pPr>
      <w:r>
        <w:rPr>
          <w:rFonts w:hint="eastAsia"/>
          <w:color w:val="auto"/>
          <w:highlight w:val="none"/>
        </w:rPr>
        <w:t>在资本化期间内，外币专门借款本金及利息的汇兑差额，予以资本化，计入符合资本化条件的资产的成本。除外币专门借款之外的其他外币借款本金及其利息所产生的汇兑差额计入当期损益。</w:t>
      </w:r>
    </w:p>
    <w:p>
      <w:pPr>
        <w:pStyle w:val="35"/>
        <w:rPr>
          <w:color w:val="auto"/>
          <w:highlight w:val="none"/>
        </w:rPr>
      </w:pPr>
    </w:p>
    <w:p>
      <w:pPr>
        <w:pStyle w:val="37"/>
        <w:rPr>
          <w:rFonts w:eastAsiaTheme="minorEastAsia"/>
          <w:color w:val="auto"/>
          <w:highlight w:val="none"/>
        </w:rPr>
      </w:pPr>
      <w:r>
        <w:rPr>
          <w:rFonts w:eastAsiaTheme="minorEastAsia"/>
          <w:color w:val="auto"/>
          <w:highlight w:val="none"/>
        </w:rPr>
        <w:t>无形资产</w:t>
      </w:r>
    </w:p>
    <w:p>
      <w:pPr>
        <w:pStyle w:val="44"/>
        <w:rPr>
          <w:color w:val="auto"/>
          <w:highlight w:val="none"/>
        </w:rPr>
      </w:pPr>
      <w:r>
        <w:rPr>
          <w:rFonts w:hint="eastAsia"/>
          <w:color w:val="auto"/>
          <w:highlight w:val="none"/>
        </w:rPr>
        <w:t>无形资产的确认</w:t>
      </w:r>
    </w:p>
    <w:p>
      <w:pPr>
        <w:pStyle w:val="35"/>
        <w:rPr>
          <w:rFonts w:eastAsiaTheme="minorEastAsia"/>
          <w:color w:val="auto"/>
          <w:highlight w:val="none"/>
        </w:rPr>
      </w:pPr>
      <w:r>
        <w:rPr>
          <w:rFonts w:hint="eastAsia" w:eastAsiaTheme="minorEastAsia"/>
          <w:color w:val="auto"/>
          <w:highlight w:val="none"/>
        </w:rPr>
        <w:t>无形资产，是指本公司拥有或者控制的没有实物形态的可辨认非货币性资产。同时满足下列条件时，无形资产才予以确认：</w:t>
      </w:r>
    </w:p>
    <w:p>
      <w:pPr>
        <w:pStyle w:val="35"/>
        <w:rPr>
          <w:rFonts w:eastAsiaTheme="minorEastAsia"/>
          <w:color w:val="auto"/>
          <w:highlight w:val="none"/>
        </w:rPr>
      </w:pPr>
      <w:r>
        <w:rPr>
          <w:rFonts w:hint="eastAsia" w:eastAsiaTheme="minorEastAsia"/>
          <w:color w:val="auto"/>
          <w:highlight w:val="none"/>
        </w:rPr>
        <w:t>（1）与该无形资产有关的经济利益很可能流入本公司；</w:t>
      </w:r>
    </w:p>
    <w:p>
      <w:pPr>
        <w:pStyle w:val="35"/>
        <w:rPr>
          <w:rFonts w:eastAsiaTheme="minorEastAsia"/>
          <w:color w:val="auto"/>
          <w:highlight w:val="none"/>
        </w:rPr>
      </w:pPr>
      <w:r>
        <w:rPr>
          <w:rFonts w:hint="eastAsia" w:eastAsiaTheme="minorEastAsia"/>
          <w:color w:val="auto"/>
          <w:highlight w:val="none"/>
        </w:rPr>
        <w:t>（2）该无形资产的成本能够可靠地计量。</w:t>
      </w:r>
    </w:p>
    <w:p>
      <w:pPr>
        <w:pStyle w:val="35"/>
        <w:rPr>
          <w:rFonts w:eastAsiaTheme="minorEastAsia"/>
          <w:color w:val="auto"/>
          <w:highlight w:val="none"/>
        </w:rPr>
      </w:pPr>
    </w:p>
    <w:p>
      <w:pPr>
        <w:pStyle w:val="44"/>
        <w:rPr>
          <w:color w:val="auto"/>
          <w:highlight w:val="none"/>
        </w:rPr>
      </w:pPr>
      <w:r>
        <w:rPr>
          <w:rFonts w:hint="eastAsia"/>
          <w:color w:val="auto"/>
          <w:highlight w:val="none"/>
        </w:rPr>
        <w:t>无形资产的计价方法</w:t>
      </w:r>
    </w:p>
    <w:p>
      <w:pPr>
        <w:pStyle w:val="38"/>
        <w:rPr>
          <w:color w:val="auto"/>
          <w:highlight w:val="none"/>
        </w:rPr>
      </w:pPr>
      <w:r>
        <w:rPr>
          <w:rFonts w:hint="eastAsia"/>
          <w:color w:val="auto"/>
          <w:highlight w:val="none"/>
        </w:rPr>
        <w:t>（1）公司取得无形资产时按成本进行初始计量。</w:t>
      </w:r>
    </w:p>
    <w:p>
      <w:pPr>
        <w:pStyle w:val="35"/>
        <w:rPr>
          <w:rFonts w:eastAsiaTheme="minorEastAsia"/>
          <w:color w:val="auto"/>
          <w:highlight w:val="none"/>
        </w:rPr>
      </w:pPr>
      <w:r>
        <w:rPr>
          <w:rFonts w:hint="eastAsia" w:eastAsiaTheme="minorEastAsia"/>
          <w:color w:val="auto"/>
          <w:highlight w:val="none"/>
        </w:rPr>
        <w:t>外购无形资产的成本，包括购买价款、相关税费以及直接归属于使该项资产达到预定用途所发生的其他支出。</w:t>
      </w:r>
    </w:p>
    <w:p>
      <w:pPr>
        <w:pStyle w:val="35"/>
        <w:rPr>
          <w:color w:val="auto"/>
          <w:highlight w:val="none"/>
        </w:rPr>
      </w:pPr>
    </w:p>
    <w:p>
      <w:pPr>
        <w:pStyle w:val="38"/>
        <w:rPr>
          <w:color w:val="auto"/>
          <w:highlight w:val="none"/>
        </w:rPr>
      </w:pPr>
      <w:r>
        <w:rPr>
          <w:rFonts w:hint="eastAsia"/>
          <w:color w:val="auto"/>
          <w:highlight w:val="none"/>
        </w:rPr>
        <w:t>（2）后续计量</w:t>
      </w:r>
    </w:p>
    <w:p>
      <w:pPr>
        <w:pStyle w:val="35"/>
        <w:rPr>
          <w:rFonts w:eastAsiaTheme="minorEastAsia"/>
          <w:color w:val="auto"/>
          <w:highlight w:val="none"/>
        </w:rPr>
      </w:pPr>
      <w:r>
        <w:rPr>
          <w:rFonts w:hint="eastAsia" w:eastAsiaTheme="minorEastAsia"/>
          <w:color w:val="auto"/>
          <w:highlight w:val="none"/>
        </w:rPr>
        <w:t>在取得无形资产时分析判断其使用寿命。</w:t>
      </w:r>
    </w:p>
    <w:p>
      <w:pPr>
        <w:pStyle w:val="35"/>
        <w:rPr>
          <w:rFonts w:eastAsiaTheme="minorEastAsia"/>
          <w:color w:val="auto"/>
          <w:highlight w:val="none"/>
        </w:rPr>
      </w:pPr>
      <w:r>
        <w:rPr>
          <w:rFonts w:hint="eastAsia" w:eastAsiaTheme="minorEastAsia"/>
          <w:color w:val="auto"/>
          <w:highlight w:val="none"/>
        </w:rPr>
        <w:t>对于使用寿命有限的无形资产，在为企业带来经济利益的期限内摊销；无法预见无形资产为企业带来经济利益期限的，视为使用寿命不确定的无形资产，不予摊销。</w:t>
      </w:r>
    </w:p>
    <w:p>
      <w:pPr>
        <w:pStyle w:val="35"/>
        <w:rPr>
          <w:rFonts w:eastAsiaTheme="minorEastAsia"/>
          <w:color w:val="auto"/>
          <w:highlight w:val="none"/>
        </w:rPr>
      </w:pPr>
      <w:r>
        <w:rPr>
          <w:rFonts w:hint="eastAsia" w:eastAsiaTheme="minorEastAsia"/>
          <w:color w:val="auto"/>
          <w:highlight w:val="none"/>
        </w:rPr>
        <w:t>每期末，对使用寿命有限的无形资产的使用寿命及摊销方法进行复核。</w:t>
      </w:r>
    </w:p>
    <w:p>
      <w:pPr>
        <w:pStyle w:val="35"/>
        <w:rPr>
          <w:rFonts w:eastAsiaTheme="minorEastAsia"/>
          <w:color w:val="auto"/>
          <w:highlight w:val="none"/>
        </w:rPr>
      </w:pPr>
    </w:p>
    <w:p>
      <w:pPr>
        <w:pStyle w:val="44"/>
        <w:rPr>
          <w:color w:val="auto"/>
          <w:highlight w:val="none"/>
        </w:rPr>
      </w:pPr>
      <w:r>
        <w:rPr>
          <w:rFonts w:hint="eastAsia"/>
          <w:color w:val="auto"/>
          <w:highlight w:val="none"/>
        </w:rPr>
        <w:t>无形资产减值准备的计提</w:t>
      </w:r>
    </w:p>
    <w:p>
      <w:pPr>
        <w:pStyle w:val="35"/>
        <w:rPr>
          <w:rFonts w:eastAsiaTheme="minorEastAsia"/>
          <w:color w:val="auto"/>
          <w:highlight w:val="none"/>
        </w:rPr>
      </w:pPr>
      <w:r>
        <w:rPr>
          <w:rFonts w:hint="eastAsia" w:eastAsiaTheme="minorEastAsia"/>
          <w:color w:val="auto"/>
          <w:highlight w:val="none"/>
        </w:rPr>
        <w:t>对于使用寿命确定的无形资产，如有明显减值迹象的，期末进行减值测试。</w:t>
      </w:r>
    </w:p>
    <w:p>
      <w:pPr>
        <w:pStyle w:val="35"/>
        <w:rPr>
          <w:rFonts w:eastAsiaTheme="minorEastAsia"/>
          <w:color w:val="auto"/>
          <w:highlight w:val="none"/>
        </w:rPr>
      </w:pPr>
      <w:r>
        <w:rPr>
          <w:rFonts w:hint="eastAsia" w:eastAsiaTheme="minorEastAsia"/>
          <w:color w:val="auto"/>
          <w:highlight w:val="none"/>
        </w:rPr>
        <w:t>对于使用寿命不确定的无形资产，每期末进行减值测试。</w:t>
      </w:r>
    </w:p>
    <w:p>
      <w:pPr>
        <w:pStyle w:val="35"/>
        <w:rPr>
          <w:rFonts w:eastAsiaTheme="minorEastAsia"/>
          <w:color w:val="auto"/>
          <w:highlight w:val="none"/>
        </w:rPr>
      </w:pPr>
      <w:r>
        <w:rPr>
          <w:rFonts w:hint="eastAsia" w:eastAsiaTheme="minorEastAsia"/>
          <w:color w:val="auto"/>
          <w:highlight w:val="none"/>
        </w:rPr>
        <w:t>对无形资产进行减值测试，估计其可收回金额。有迹象表明一项无形资产可能发生减值的，公司以单项无形资产为基础估计其可收回金额。公司难以对单项资产的可收回金额进行估计的，以该无形资产所属的资产组为基础确定无形资产组的可收回金额。</w:t>
      </w:r>
    </w:p>
    <w:p>
      <w:pPr>
        <w:pStyle w:val="35"/>
        <w:rPr>
          <w:rFonts w:eastAsiaTheme="minorEastAsia"/>
          <w:color w:val="auto"/>
          <w:highlight w:val="none"/>
        </w:rPr>
      </w:pPr>
      <w:r>
        <w:rPr>
          <w:rFonts w:hint="eastAsia" w:eastAsiaTheme="minorEastAsia"/>
          <w:color w:val="auto"/>
          <w:highlight w:val="none"/>
        </w:rPr>
        <w:t>可收回金额根据无形资产的公允价值减去处置费用后的净额与无形资产预计未来现金流量的现值两者之间较高者确定。</w:t>
      </w:r>
    </w:p>
    <w:p>
      <w:pPr>
        <w:pStyle w:val="35"/>
        <w:rPr>
          <w:rFonts w:eastAsiaTheme="minorEastAsia"/>
          <w:color w:val="auto"/>
          <w:highlight w:val="none"/>
        </w:rPr>
      </w:pPr>
      <w:r>
        <w:rPr>
          <w:rFonts w:hint="eastAsia" w:eastAsiaTheme="minorEastAsia"/>
          <w:color w:val="auto"/>
          <w:highlight w:val="none"/>
        </w:rPr>
        <w:t>当无形资产的可收回金额低于其账面价值的，将无形资产的账面价值减记至可收回金额，减记的金额确认为无形资产减值损失，计入当期损益，同时计提相应的无形资产减值准备。</w:t>
      </w:r>
    </w:p>
    <w:p>
      <w:pPr>
        <w:pStyle w:val="35"/>
        <w:rPr>
          <w:rFonts w:eastAsiaTheme="minorEastAsia"/>
          <w:color w:val="auto"/>
          <w:highlight w:val="none"/>
        </w:rPr>
      </w:pPr>
      <w:r>
        <w:rPr>
          <w:rFonts w:hint="eastAsia" w:eastAsiaTheme="minorEastAsia"/>
          <w:color w:val="auto"/>
          <w:highlight w:val="none"/>
        </w:rPr>
        <w:t>无形资产减值损失确认后，减值无形资产的折耗或者摊销费用在未来期间作相应调整，以使该无形资产在剩余使用寿命内，系统地分摊调整后的无形资产账面价值（扣除预计净残值）。</w:t>
      </w:r>
    </w:p>
    <w:p>
      <w:pPr>
        <w:pStyle w:val="35"/>
        <w:rPr>
          <w:rFonts w:eastAsiaTheme="minorEastAsia"/>
          <w:color w:val="auto"/>
          <w:highlight w:val="none"/>
        </w:rPr>
      </w:pPr>
      <w:r>
        <w:rPr>
          <w:rFonts w:hint="eastAsia" w:eastAsiaTheme="minorEastAsia"/>
          <w:color w:val="auto"/>
          <w:highlight w:val="none"/>
        </w:rPr>
        <w:t>无形资产的减值损失一经确认，在以后会计期间不再转回。</w:t>
      </w:r>
    </w:p>
    <w:p>
      <w:pPr>
        <w:pStyle w:val="35"/>
        <w:rPr>
          <w:rFonts w:eastAsiaTheme="minorEastAsia"/>
          <w:color w:val="auto"/>
          <w:highlight w:val="none"/>
        </w:rPr>
      </w:pPr>
    </w:p>
    <w:p>
      <w:pPr>
        <w:pStyle w:val="44"/>
        <w:rPr>
          <w:color w:val="auto"/>
          <w:highlight w:val="none"/>
        </w:rPr>
      </w:pPr>
      <w:r>
        <w:rPr>
          <w:rFonts w:hint="eastAsia"/>
          <w:color w:val="auto"/>
          <w:highlight w:val="none"/>
        </w:rPr>
        <w:t>划分公司内部研究开发项目的研究阶段和开发阶段具体标准</w:t>
      </w:r>
    </w:p>
    <w:p>
      <w:pPr>
        <w:pStyle w:val="35"/>
        <w:rPr>
          <w:rFonts w:eastAsiaTheme="minorEastAsia"/>
          <w:color w:val="auto"/>
          <w:highlight w:val="none"/>
        </w:rPr>
      </w:pPr>
      <w:r>
        <w:rPr>
          <w:rFonts w:hint="eastAsia" w:eastAsiaTheme="minorEastAsia"/>
          <w:color w:val="auto"/>
          <w:highlight w:val="none"/>
        </w:rPr>
        <w:t>公司内部研究开发项目的支出分为研究阶段支出和开发阶段支出。</w:t>
      </w:r>
    </w:p>
    <w:p>
      <w:pPr>
        <w:pStyle w:val="35"/>
        <w:rPr>
          <w:rFonts w:eastAsiaTheme="minorEastAsia"/>
          <w:color w:val="auto"/>
          <w:highlight w:val="none"/>
        </w:rPr>
      </w:pPr>
      <w:r>
        <w:rPr>
          <w:rFonts w:hint="eastAsia" w:eastAsiaTheme="minorEastAsia"/>
          <w:color w:val="auto"/>
          <w:highlight w:val="none"/>
        </w:rPr>
        <w:t>研究阶段：为获取并理解新的科学或技术知识等而进行的独创性的有计划调查、研究活动的阶段。</w:t>
      </w:r>
    </w:p>
    <w:p>
      <w:pPr>
        <w:pStyle w:val="35"/>
        <w:rPr>
          <w:rFonts w:eastAsiaTheme="minorEastAsia"/>
          <w:color w:val="auto"/>
          <w:highlight w:val="none"/>
        </w:rPr>
      </w:pPr>
      <w:r>
        <w:rPr>
          <w:rFonts w:hint="eastAsia" w:eastAsiaTheme="minorEastAsia"/>
          <w:color w:val="auto"/>
          <w:highlight w:val="none"/>
        </w:rPr>
        <w:t>开发阶段：在进行商业性生产或使用前，将研究成果或其他知识应用于某项计划或设计，以生产出新的或具有实质性改进的材料、装置、产品等活动的阶段。</w:t>
      </w:r>
    </w:p>
    <w:p>
      <w:pPr>
        <w:pStyle w:val="35"/>
        <w:rPr>
          <w:rFonts w:eastAsiaTheme="minorEastAsia"/>
          <w:color w:val="auto"/>
          <w:highlight w:val="none"/>
        </w:rPr>
      </w:pPr>
    </w:p>
    <w:p>
      <w:pPr>
        <w:pStyle w:val="44"/>
        <w:rPr>
          <w:color w:val="auto"/>
          <w:highlight w:val="none"/>
        </w:rPr>
      </w:pPr>
      <w:r>
        <w:rPr>
          <w:rFonts w:hint="eastAsia"/>
          <w:color w:val="auto"/>
          <w:highlight w:val="none"/>
        </w:rPr>
        <w:t>开发阶段支出符合资本化的具体条件</w:t>
      </w:r>
    </w:p>
    <w:p>
      <w:pPr>
        <w:pStyle w:val="35"/>
        <w:rPr>
          <w:rFonts w:eastAsiaTheme="minorEastAsia"/>
          <w:color w:val="auto"/>
          <w:highlight w:val="none"/>
        </w:rPr>
      </w:pPr>
      <w:r>
        <w:rPr>
          <w:rFonts w:hint="eastAsia"/>
          <w:color w:val="auto"/>
          <w:highlight w:val="none"/>
        </w:rPr>
        <w:t>研究阶段的支出，于发生时计入当期损益。</w:t>
      </w:r>
      <w:r>
        <w:rPr>
          <w:rFonts w:hint="eastAsia" w:eastAsiaTheme="minorEastAsia"/>
          <w:color w:val="auto"/>
          <w:highlight w:val="none"/>
        </w:rPr>
        <w:t>开发阶段的支出同时满足下列条件的，确认为无形资产，</w:t>
      </w:r>
      <w:r>
        <w:rPr>
          <w:rFonts w:hint="eastAsia"/>
          <w:color w:val="auto"/>
          <w:highlight w:val="none"/>
        </w:rPr>
        <w:t>不能满足下述条件的开发阶段的支出计入当期损益</w:t>
      </w:r>
      <w:r>
        <w:rPr>
          <w:rFonts w:hint="eastAsia" w:eastAsiaTheme="minorEastAsia"/>
          <w:color w:val="auto"/>
          <w:highlight w:val="none"/>
        </w:rPr>
        <w:t>：</w:t>
      </w:r>
    </w:p>
    <w:p>
      <w:pPr>
        <w:pStyle w:val="35"/>
        <w:rPr>
          <w:rFonts w:eastAsiaTheme="minorEastAsia"/>
          <w:color w:val="auto"/>
          <w:highlight w:val="none"/>
        </w:rPr>
      </w:pPr>
      <w:r>
        <w:rPr>
          <w:rFonts w:hint="eastAsia" w:eastAsiaTheme="minorEastAsia"/>
          <w:color w:val="auto"/>
          <w:highlight w:val="none"/>
        </w:rPr>
        <w:t>（1）完成该无形资产以使其能够使用或出售在技术上具有可行性；</w:t>
      </w:r>
    </w:p>
    <w:p>
      <w:pPr>
        <w:pStyle w:val="35"/>
        <w:rPr>
          <w:rFonts w:eastAsiaTheme="minorEastAsia"/>
          <w:color w:val="auto"/>
          <w:highlight w:val="none"/>
        </w:rPr>
      </w:pPr>
      <w:r>
        <w:rPr>
          <w:rFonts w:hint="eastAsia" w:eastAsiaTheme="minorEastAsia"/>
          <w:color w:val="auto"/>
          <w:highlight w:val="none"/>
        </w:rPr>
        <w:t>（2）具有完成该无形资产并使用或出售的意图；</w:t>
      </w:r>
    </w:p>
    <w:p>
      <w:pPr>
        <w:pStyle w:val="35"/>
        <w:rPr>
          <w:rFonts w:eastAsiaTheme="minorEastAsia"/>
          <w:color w:val="auto"/>
          <w:highlight w:val="none"/>
        </w:rPr>
      </w:pPr>
      <w:r>
        <w:rPr>
          <w:rFonts w:hint="eastAsia" w:eastAsiaTheme="minorEastAsia"/>
          <w:color w:val="auto"/>
          <w:highlight w:val="none"/>
        </w:rPr>
        <w:t>（3）无形资产产生经济利益的方式，包括能够证明运用该无形资产生产的</w:t>
      </w:r>
    </w:p>
    <w:p>
      <w:pPr>
        <w:pStyle w:val="35"/>
        <w:rPr>
          <w:rFonts w:eastAsiaTheme="minorEastAsia"/>
          <w:color w:val="auto"/>
          <w:highlight w:val="none"/>
        </w:rPr>
      </w:pPr>
      <w:r>
        <w:rPr>
          <w:rFonts w:hint="eastAsia" w:eastAsiaTheme="minorEastAsia"/>
          <w:color w:val="auto"/>
          <w:highlight w:val="none"/>
        </w:rPr>
        <w:t>产品存在市场或无形资产自身存在市场，无形资产将在内部使用的，能够证明其有用性；</w:t>
      </w:r>
    </w:p>
    <w:p>
      <w:pPr>
        <w:pStyle w:val="35"/>
        <w:rPr>
          <w:rFonts w:eastAsiaTheme="minorEastAsia"/>
          <w:color w:val="auto"/>
          <w:highlight w:val="none"/>
        </w:rPr>
      </w:pPr>
      <w:r>
        <w:rPr>
          <w:rFonts w:hint="eastAsia" w:eastAsiaTheme="minorEastAsia"/>
          <w:color w:val="auto"/>
          <w:highlight w:val="none"/>
        </w:rPr>
        <w:t>（4）有足够的技术、财务资源和其他资源支持，以完成该无形资产的开发，</w:t>
      </w:r>
    </w:p>
    <w:p>
      <w:pPr>
        <w:pStyle w:val="35"/>
        <w:rPr>
          <w:rFonts w:eastAsiaTheme="minorEastAsia"/>
          <w:color w:val="auto"/>
          <w:highlight w:val="none"/>
        </w:rPr>
      </w:pPr>
      <w:r>
        <w:rPr>
          <w:rFonts w:hint="eastAsia" w:eastAsiaTheme="minorEastAsia"/>
          <w:color w:val="auto"/>
          <w:highlight w:val="none"/>
        </w:rPr>
        <w:t>并有能力使用或出售该无形资产；</w:t>
      </w:r>
    </w:p>
    <w:p>
      <w:pPr>
        <w:pStyle w:val="35"/>
        <w:rPr>
          <w:rFonts w:eastAsiaTheme="minorEastAsia"/>
          <w:color w:val="auto"/>
          <w:highlight w:val="none"/>
        </w:rPr>
      </w:pPr>
      <w:r>
        <w:rPr>
          <w:rFonts w:hint="eastAsia" w:eastAsiaTheme="minorEastAsia"/>
          <w:color w:val="auto"/>
          <w:highlight w:val="none"/>
        </w:rPr>
        <w:t>（5）归属于该无形资产开发阶段的支出能够可靠地计量。</w:t>
      </w:r>
    </w:p>
    <w:p>
      <w:pPr>
        <w:pStyle w:val="35"/>
        <w:rPr>
          <w:rFonts w:eastAsiaTheme="minorEastAsia"/>
          <w:color w:val="auto"/>
          <w:highlight w:val="none"/>
        </w:rPr>
      </w:pPr>
      <w:r>
        <w:rPr>
          <w:rFonts w:hint="eastAsia" w:eastAsiaTheme="minorEastAsia"/>
          <w:color w:val="auto"/>
          <w:highlight w:val="none"/>
        </w:rPr>
        <w:t>开发阶段的支出，若不满足上列条件的，于发生时计入当期损益。研究阶段的支出，在发生时计入当期损益。</w:t>
      </w:r>
    </w:p>
    <w:p>
      <w:pPr>
        <w:pStyle w:val="37"/>
        <w:rPr>
          <w:rFonts w:eastAsiaTheme="minorEastAsia"/>
          <w:color w:val="auto"/>
          <w:highlight w:val="none"/>
        </w:rPr>
      </w:pPr>
      <w:r>
        <w:rPr>
          <w:color w:val="auto"/>
          <w:highlight w:val="none"/>
        </w:rPr>
        <w:t>商誉</w:t>
      </w:r>
    </w:p>
    <w:p>
      <w:pPr>
        <w:pStyle w:val="38"/>
        <w:rPr>
          <w:rFonts w:eastAsiaTheme="minorEastAsia"/>
          <w:color w:val="auto"/>
          <w:highlight w:val="none"/>
        </w:rPr>
      </w:pPr>
      <w:r>
        <w:rPr>
          <w:rFonts w:hint="eastAsia" w:eastAsiaTheme="minorEastAsia"/>
          <w:color w:val="auto"/>
          <w:highlight w:val="none"/>
        </w:rPr>
        <w:t>因非同一控制下企业合并形成的商誉，其初始成本是合并成本大于合并中取得的被购买方可辨认净资产公允价值份额的差额。</w:t>
      </w:r>
    </w:p>
    <w:p>
      <w:pPr>
        <w:pStyle w:val="38"/>
        <w:rPr>
          <w:rFonts w:eastAsiaTheme="minorEastAsia"/>
          <w:color w:val="auto"/>
          <w:highlight w:val="none"/>
        </w:rPr>
      </w:pPr>
      <w:r>
        <w:rPr>
          <w:rFonts w:hint="eastAsia" w:eastAsiaTheme="minorEastAsia"/>
          <w:color w:val="auto"/>
          <w:highlight w:val="none"/>
        </w:rPr>
        <w:t>商誉在其相关资产组或资产组组合处置时予以转出，计入当期损益。</w:t>
      </w:r>
    </w:p>
    <w:p>
      <w:pPr>
        <w:pStyle w:val="38"/>
        <w:rPr>
          <w:rFonts w:eastAsiaTheme="minorEastAsia"/>
          <w:color w:val="auto"/>
          <w:highlight w:val="none"/>
        </w:rPr>
      </w:pPr>
      <w:r>
        <w:rPr>
          <w:rFonts w:hint="eastAsia" w:eastAsiaTheme="minorEastAsia"/>
          <w:color w:val="auto"/>
          <w:highlight w:val="none"/>
        </w:rPr>
        <w:t>本公司对商誉不摊销，无论是否存在减值迹象，商誉至少在每年年度终了进行减值测试。</w:t>
      </w:r>
    </w:p>
    <w:p>
      <w:pPr>
        <w:pStyle w:val="38"/>
        <w:rPr>
          <w:rFonts w:eastAsiaTheme="minorEastAsia"/>
          <w:color w:val="auto"/>
          <w:highlight w:val="none"/>
        </w:rPr>
      </w:pPr>
      <w:r>
        <w:rPr>
          <w:color w:val="auto"/>
          <w:highlight w:val="none"/>
        </w:rPr>
        <w:t>本公司进行商誉减值测试，对于因企业合并形成的商誉的账面价值，自购买日起按照合理的方法分摊至相关的资产组；难以分摊至相关的资产组的，将其分摊至相关的资产组组合。</w:t>
      </w:r>
      <w:r>
        <w:rPr>
          <w:rFonts w:hint="eastAsia"/>
          <w:color w:val="auto"/>
          <w:highlight w:val="none"/>
        </w:rPr>
        <w:t>相关的资产组或者资产组组合，是能够从企业合并的协同效应中受益的资产组或者资产组组合。</w:t>
      </w:r>
    </w:p>
    <w:p>
      <w:pPr>
        <w:pStyle w:val="38"/>
        <w:rPr>
          <w:rFonts w:eastAsiaTheme="minorEastAsia"/>
          <w:color w:val="auto"/>
          <w:highlight w:val="none"/>
        </w:rPr>
      </w:pPr>
      <w:r>
        <w:rPr>
          <w:rFonts w:eastAsiaTheme="minorEastAsia"/>
          <w:color w:val="auto"/>
          <w:highlight w:val="none"/>
        </w:rPr>
        <w:t>在对包含商誉的相关资产组或者资产组组合进行减值测试时，如与商誉相关的资产组或者资产组组合存在减值迹象的，先对不包含商誉的资产组或者资产组组合进行减值测试，计算可收回金额，并与相关账面价值相比较，确认相应的减值损失。</w:t>
      </w:r>
      <w:r>
        <w:rPr>
          <w:rFonts w:hint="eastAsia" w:eastAsiaTheme="minorEastAsia"/>
          <w:color w:val="auto"/>
          <w:highlight w:val="none"/>
        </w:rPr>
        <w:t>然后</w:t>
      </w:r>
      <w:r>
        <w:rPr>
          <w:rFonts w:eastAsiaTheme="minorEastAsia"/>
          <w:color w:val="auto"/>
          <w:highlight w:val="none"/>
        </w:rPr>
        <w:t>对包含商誉的资产组或者资产组组合进行减值测试，比较</w:t>
      </w:r>
      <w:r>
        <w:rPr>
          <w:rFonts w:hint="eastAsia" w:eastAsiaTheme="minorEastAsia"/>
          <w:color w:val="auto"/>
          <w:highlight w:val="none"/>
        </w:rPr>
        <w:t>其账面价值与可收回金额，如可收回金额低于账面价值的，减值损失金额首先抵减分摊至资产组或者资产组组合中商誉的账面价值，再根据资产组或者资产组组合中除商誉之外的其他各项资产的账面价值所占比重，按比例抵减其他各项资产的账面价值。商誉</w:t>
      </w:r>
      <w:r>
        <w:rPr>
          <w:rFonts w:eastAsiaTheme="minorEastAsia"/>
          <w:color w:val="auto"/>
          <w:highlight w:val="none"/>
        </w:rPr>
        <w:t>减值损失一经确认，在以后会计期间不予转回。</w:t>
      </w:r>
    </w:p>
    <w:p>
      <w:pPr>
        <w:pStyle w:val="38"/>
        <w:rPr>
          <w:color w:val="auto"/>
          <w:highlight w:val="none"/>
        </w:rPr>
      </w:pPr>
    </w:p>
    <w:p>
      <w:pPr>
        <w:pStyle w:val="37"/>
        <w:rPr>
          <w:rFonts w:eastAsiaTheme="minorEastAsia"/>
          <w:color w:val="auto"/>
          <w:highlight w:val="none"/>
        </w:rPr>
      </w:pPr>
      <w:r>
        <w:rPr>
          <w:rFonts w:eastAsiaTheme="minorEastAsia"/>
          <w:color w:val="auto"/>
          <w:highlight w:val="none"/>
        </w:rPr>
        <w:t>长期待摊费用</w:t>
      </w:r>
    </w:p>
    <w:p>
      <w:pPr>
        <w:pStyle w:val="38"/>
        <w:rPr>
          <w:color w:val="auto"/>
          <w:highlight w:val="none"/>
        </w:rPr>
      </w:pPr>
      <w:r>
        <w:rPr>
          <w:rFonts w:hint="eastAsia"/>
          <w:color w:val="auto"/>
          <w:highlight w:val="none"/>
        </w:rPr>
        <w:t>本公司长期待摊费用包括：租入固定资产的改良支出、固定资产修理支出以及摊销期限在1年以上的其他待摊费用。</w:t>
      </w:r>
    </w:p>
    <w:p>
      <w:pPr>
        <w:pStyle w:val="38"/>
        <w:rPr>
          <w:color w:val="auto"/>
          <w:highlight w:val="none"/>
        </w:rPr>
      </w:pPr>
      <w:r>
        <w:rPr>
          <w:rFonts w:hint="eastAsia"/>
          <w:color w:val="auto"/>
          <w:highlight w:val="none"/>
        </w:rPr>
        <w:t>本公司发生的长期待摊费用按实际成本计价，并按预计受益期限平均摊销，对不能使以后会计期间受益的长期待摊费用项目，在确定时将该项目的摊余价值全部计入当期损益。</w:t>
      </w:r>
    </w:p>
    <w:p>
      <w:pPr>
        <w:pStyle w:val="38"/>
        <w:rPr>
          <w:color w:val="auto"/>
          <w:highlight w:val="none"/>
        </w:rPr>
      </w:pPr>
    </w:p>
    <w:p>
      <w:pPr>
        <w:pStyle w:val="37"/>
        <w:rPr>
          <w:color w:val="auto"/>
          <w:highlight w:val="none"/>
        </w:rPr>
      </w:pPr>
      <w:r>
        <w:rPr>
          <w:color w:val="auto"/>
          <w:highlight w:val="none"/>
        </w:rPr>
        <w:t>合同负债</w:t>
      </w:r>
    </w:p>
    <w:p>
      <w:pPr>
        <w:pStyle w:val="38"/>
        <w:rPr>
          <w:color w:val="auto"/>
          <w:highlight w:val="none"/>
        </w:rPr>
      </w:pPr>
      <w:r>
        <w:rPr>
          <w:rFonts w:hint="eastAsia"/>
          <w:color w:val="auto"/>
          <w:highlight w:val="none"/>
        </w:rPr>
        <w:t>本公司根据履行履约义务与客户付款之间的关系在资产负债表中列示合同资产或合同负债。本公司已收或应收客户对价而应向客户转让商品或提供服务的义务列示为合同负债。同一合同下的合同资产和合同负债以净额列示。</w:t>
      </w:r>
    </w:p>
    <w:p>
      <w:pPr>
        <w:pStyle w:val="38"/>
        <w:rPr>
          <w:rFonts w:hint="eastAsia"/>
          <w:color w:val="auto"/>
          <w:highlight w:val="none"/>
        </w:rPr>
      </w:pPr>
    </w:p>
    <w:p>
      <w:pPr>
        <w:pStyle w:val="38"/>
        <w:rPr>
          <w:rFonts w:hint="eastAsia"/>
          <w:color w:val="auto"/>
          <w:highlight w:val="none"/>
        </w:rPr>
      </w:pPr>
    </w:p>
    <w:p>
      <w:pPr>
        <w:pStyle w:val="38"/>
        <w:rPr>
          <w:rFonts w:hint="eastAsia"/>
          <w:color w:val="auto"/>
          <w:highlight w:val="none"/>
        </w:rPr>
      </w:pPr>
    </w:p>
    <w:p>
      <w:pPr>
        <w:pStyle w:val="38"/>
        <w:rPr>
          <w:color w:val="auto"/>
          <w:highlight w:val="none"/>
        </w:rPr>
      </w:pPr>
    </w:p>
    <w:p>
      <w:pPr>
        <w:pStyle w:val="37"/>
        <w:rPr>
          <w:rFonts w:eastAsiaTheme="minorEastAsia"/>
          <w:color w:val="auto"/>
          <w:highlight w:val="none"/>
        </w:rPr>
      </w:pPr>
      <w:r>
        <w:rPr>
          <w:rFonts w:eastAsiaTheme="minorEastAsia"/>
          <w:color w:val="auto"/>
          <w:highlight w:val="none"/>
        </w:rPr>
        <w:t>职工薪酬</w:t>
      </w:r>
    </w:p>
    <w:p>
      <w:pPr>
        <w:pStyle w:val="44"/>
        <w:rPr>
          <w:color w:val="auto"/>
          <w:highlight w:val="none"/>
        </w:rPr>
      </w:pPr>
      <w:r>
        <w:rPr>
          <w:rFonts w:hint="eastAsia"/>
          <w:color w:val="auto"/>
          <w:highlight w:val="none"/>
        </w:rPr>
        <w:t>短期薪酬</w:t>
      </w:r>
    </w:p>
    <w:p>
      <w:pPr>
        <w:pStyle w:val="35"/>
        <w:rPr>
          <w:color w:val="auto"/>
          <w:highlight w:val="none"/>
        </w:rPr>
      </w:pPr>
      <w:r>
        <w:rPr>
          <w:rFonts w:hint="eastAsia"/>
          <w:color w:val="auto"/>
          <w:highlight w:val="none"/>
        </w:rPr>
        <w:t>本公司在职工为本公司提供服务的会计期间，将实际发生的短期薪酬确认为负债，并计入当期损益或相关资产成本。</w:t>
      </w:r>
    </w:p>
    <w:p>
      <w:pPr>
        <w:pStyle w:val="35"/>
        <w:rPr>
          <w:color w:val="auto"/>
          <w:highlight w:val="none"/>
        </w:rPr>
      </w:pPr>
      <w:r>
        <w:rPr>
          <w:rFonts w:hint="eastAsia"/>
          <w:color w:val="auto"/>
          <w:highlight w:val="none"/>
        </w:rPr>
        <w:t>本公司为职工缴纳的医疗保险费、工伤保险费、生育保险费等社会保险费和住房公积金，以及按规定提取的工会经费和职工教育经费，在职工为本公司提供服务的会计期间，根据规定的计提基础和计提比例计算确定相应的职工薪酬金额。</w:t>
      </w:r>
    </w:p>
    <w:p>
      <w:pPr>
        <w:pStyle w:val="35"/>
        <w:rPr>
          <w:color w:val="auto"/>
          <w:highlight w:val="none"/>
        </w:rPr>
      </w:pPr>
      <w:r>
        <w:rPr>
          <w:rFonts w:hint="eastAsia"/>
          <w:color w:val="auto"/>
          <w:highlight w:val="none"/>
        </w:rPr>
        <w:t>本公司发生的职工福利费，在实际发生时根据实际发生额计入当期损益或相关资产成本，其中，非货币性福利按照公允价值计量。</w:t>
      </w:r>
    </w:p>
    <w:p>
      <w:pPr>
        <w:pStyle w:val="35"/>
        <w:rPr>
          <w:rFonts w:eastAsiaTheme="minorEastAsia"/>
          <w:color w:val="auto"/>
          <w:highlight w:val="none"/>
        </w:rPr>
      </w:pPr>
    </w:p>
    <w:p>
      <w:pPr>
        <w:pStyle w:val="44"/>
        <w:rPr>
          <w:color w:val="auto"/>
          <w:highlight w:val="none"/>
        </w:rPr>
      </w:pPr>
      <w:r>
        <w:rPr>
          <w:rFonts w:hint="eastAsia"/>
          <w:color w:val="auto"/>
          <w:highlight w:val="none"/>
        </w:rPr>
        <w:t>辞退福利</w:t>
      </w:r>
    </w:p>
    <w:p>
      <w:pPr>
        <w:pStyle w:val="35"/>
        <w:rPr>
          <w:rFonts w:eastAsiaTheme="minorEastAsia"/>
          <w:color w:val="auto"/>
          <w:highlight w:val="none"/>
        </w:rPr>
      </w:pPr>
      <w:r>
        <w:rPr>
          <w:rFonts w:hint="eastAsia"/>
          <w:color w:val="auto"/>
          <w:kern w:val="0"/>
          <w:highlight w:val="none"/>
        </w:rPr>
        <w:t>本公司向职工提供辞退福利的，在下列两者孰早日确认辞退福利产生的职工薪酬负债，并计入当期损益：</w:t>
      </w:r>
      <w:r>
        <w:rPr>
          <w:rFonts w:hint="eastAsia" w:eastAsiaTheme="minorEastAsia"/>
          <w:color w:val="auto"/>
          <w:highlight w:val="none"/>
        </w:rPr>
        <w:t>公司不能单方面撤回因解除劳动关系计划或裁减建议所提供的辞退福利时；公司确认与涉及支付辞退福利的重组相关的成本或费用时。</w:t>
      </w:r>
    </w:p>
    <w:p>
      <w:pPr>
        <w:pStyle w:val="35"/>
        <w:rPr>
          <w:rFonts w:eastAsiaTheme="minorEastAsia"/>
          <w:color w:val="auto"/>
          <w:highlight w:val="none"/>
        </w:rPr>
      </w:pPr>
    </w:p>
    <w:p>
      <w:pPr>
        <w:pStyle w:val="44"/>
        <w:rPr>
          <w:color w:val="auto"/>
          <w:highlight w:val="none"/>
        </w:rPr>
      </w:pPr>
      <w:r>
        <w:rPr>
          <w:rFonts w:hint="eastAsia"/>
          <w:color w:val="auto"/>
          <w:highlight w:val="none"/>
        </w:rPr>
        <w:t>离职后福利</w:t>
      </w:r>
    </w:p>
    <w:p>
      <w:pPr>
        <w:pStyle w:val="38"/>
        <w:rPr>
          <w:color w:val="auto"/>
          <w:highlight w:val="none"/>
        </w:rPr>
      </w:pPr>
      <w:r>
        <w:rPr>
          <w:rFonts w:hint="eastAsia"/>
          <w:color w:val="auto"/>
          <w:highlight w:val="none"/>
        </w:rPr>
        <w:t>（1）设定提存计划</w:t>
      </w:r>
    </w:p>
    <w:p>
      <w:pPr>
        <w:pStyle w:val="35"/>
        <w:rPr>
          <w:rFonts w:eastAsiaTheme="minorEastAsia"/>
          <w:color w:val="auto"/>
          <w:highlight w:val="none"/>
        </w:rPr>
      </w:pPr>
      <w:r>
        <w:rPr>
          <w:rFonts w:hint="eastAsia" w:eastAsiaTheme="minorEastAsia"/>
          <w:color w:val="auto"/>
          <w:highlight w:val="none"/>
        </w:rPr>
        <w:t>本公司按当地政府的相关规定为职工缴纳基本养老保险和失业保险，在职工为本公司提供服务的会计期间，按以当地规定的缴纳基数和比例计算应缴纳金额，确认为负债，并计入当期损益或相关资产成本。</w:t>
      </w:r>
    </w:p>
    <w:p>
      <w:pPr>
        <w:pStyle w:val="35"/>
        <w:rPr>
          <w:rFonts w:eastAsiaTheme="minorEastAsia"/>
          <w:color w:val="auto"/>
          <w:highlight w:val="none"/>
        </w:rPr>
      </w:pPr>
      <w:r>
        <w:rPr>
          <w:rFonts w:hint="eastAsia"/>
          <w:color w:val="auto"/>
          <w:kern w:val="0"/>
          <w:highlight w:val="none"/>
        </w:rPr>
        <w:t>此外，本公司还参与了由国家相关部门批准的企业年金计划</w:t>
      </w:r>
      <w:r>
        <w:rPr>
          <w:color w:val="auto"/>
          <w:kern w:val="0"/>
          <w:highlight w:val="none"/>
        </w:rPr>
        <w:t>/</w:t>
      </w:r>
      <w:r>
        <w:rPr>
          <w:rFonts w:hint="eastAsia"/>
          <w:color w:val="auto"/>
          <w:kern w:val="0"/>
          <w:highlight w:val="none"/>
        </w:rPr>
        <w:t>补充养老保险基金。本公司按职工工资总额的一定比例向年金计划</w:t>
      </w:r>
      <w:r>
        <w:rPr>
          <w:color w:val="auto"/>
          <w:kern w:val="0"/>
          <w:highlight w:val="none"/>
        </w:rPr>
        <w:t>/</w:t>
      </w:r>
      <w:r>
        <w:rPr>
          <w:rFonts w:hint="eastAsia"/>
          <w:color w:val="auto"/>
          <w:kern w:val="0"/>
          <w:highlight w:val="none"/>
        </w:rPr>
        <w:t>当地社会保险机构缴费，相应支出计入当期损益或相关资产成本。</w:t>
      </w:r>
    </w:p>
    <w:p>
      <w:pPr>
        <w:pStyle w:val="35"/>
        <w:rPr>
          <w:rFonts w:eastAsiaTheme="minorEastAsia"/>
          <w:b/>
          <w:color w:val="auto"/>
          <w:highlight w:val="none"/>
        </w:rPr>
      </w:pPr>
    </w:p>
    <w:p>
      <w:pPr>
        <w:pStyle w:val="38"/>
        <w:rPr>
          <w:color w:val="auto"/>
          <w:highlight w:val="none"/>
        </w:rPr>
      </w:pPr>
      <w:r>
        <w:rPr>
          <w:rFonts w:hint="eastAsia"/>
          <w:color w:val="auto"/>
          <w:highlight w:val="none"/>
        </w:rPr>
        <w:t>（2）设定受益计划</w:t>
      </w:r>
    </w:p>
    <w:p>
      <w:pPr>
        <w:pStyle w:val="35"/>
        <w:rPr>
          <w:rFonts w:eastAsiaTheme="minorEastAsia"/>
          <w:color w:val="auto"/>
          <w:highlight w:val="none"/>
        </w:rPr>
      </w:pPr>
      <w:r>
        <w:rPr>
          <w:rFonts w:hint="eastAsia" w:eastAsiaTheme="minorEastAsia"/>
          <w:color w:val="auto"/>
          <w:highlight w:val="none"/>
        </w:rPr>
        <w:t>本公司根据预期累计福利单位法确定的公式将设定受益计划产生的福利义务归属于职工提供服务的期间，并计入当期损益或相关资产成本。</w:t>
      </w:r>
    </w:p>
    <w:p>
      <w:pPr>
        <w:pStyle w:val="35"/>
        <w:rPr>
          <w:rFonts w:eastAsiaTheme="minorEastAsia"/>
          <w:color w:val="auto"/>
          <w:highlight w:val="none"/>
        </w:rPr>
      </w:pPr>
      <w:r>
        <w:rPr>
          <w:rFonts w:hint="eastAsia" w:eastAsiaTheme="minorEastAsia"/>
          <w:color w:val="auto"/>
          <w:highlight w:val="none"/>
        </w:rPr>
        <w:t>设定受益计划义务现值减去设定受益计划资产公允价值所形成的赤字或盈余确认为一项设定受益计划净负债或净资产。设定受益计划存在盈余的，本公司以设定受益计划的盈余和资产上限两项的孰低者计量设定受益计划净资产。</w:t>
      </w:r>
    </w:p>
    <w:p>
      <w:pPr>
        <w:pStyle w:val="35"/>
        <w:rPr>
          <w:rFonts w:eastAsiaTheme="minorEastAsia"/>
          <w:color w:val="auto"/>
          <w:highlight w:val="none"/>
        </w:rPr>
      </w:pPr>
      <w:r>
        <w:rPr>
          <w:rFonts w:hint="eastAsia" w:eastAsiaTheme="minorEastAsia"/>
          <w:color w:val="auto"/>
          <w:highlight w:val="none"/>
        </w:rPr>
        <w:t>所有设定受益计划义务，包括预期在职工提供服务的年度报告期间结束后的十二个月内支付的义务，根据资产负债表日与设定受益计划义务期限和币种相匹配的国债或活跃市场上的高质量公司债券的市场收益率予以折现。</w:t>
      </w:r>
    </w:p>
    <w:p>
      <w:pPr>
        <w:pStyle w:val="35"/>
        <w:rPr>
          <w:rFonts w:eastAsiaTheme="minorEastAsia"/>
          <w:color w:val="auto"/>
          <w:highlight w:val="none"/>
        </w:rPr>
      </w:pPr>
      <w:r>
        <w:rPr>
          <w:rFonts w:hint="eastAsia" w:eastAsiaTheme="minorEastAsia"/>
          <w:color w:val="auto"/>
          <w:highlight w:val="none"/>
        </w:rPr>
        <w:t>设定受益计划产生的服务成本和设定受益计划净负债或净资产的利息净额计入当期损益或相关资产成本；重新计量设定受益计划净负债或净资产所产生的变动计入其他综合收益，并且在后续会计期间不转回至损益，在原设定受益计划终止时在权益范围内将原计入其他综合收益的部分全部结转至未分配利润。</w:t>
      </w:r>
    </w:p>
    <w:p>
      <w:pPr>
        <w:pStyle w:val="35"/>
        <w:rPr>
          <w:rFonts w:eastAsiaTheme="minorEastAsia"/>
          <w:color w:val="auto"/>
          <w:highlight w:val="none"/>
        </w:rPr>
      </w:pPr>
      <w:r>
        <w:rPr>
          <w:rFonts w:hint="eastAsia" w:eastAsiaTheme="minorEastAsia"/>
          <w:color w:val="auto"/>
          <w:highlight w:val="none"/>
        </w:rPr>
        <w:t>在设定受益计划结算时，按在结算日确定的设定受益计划义务现值和结算价格两者的差额，确认结算利得或损失。</w:t>
      </w:r>
    </w:p>
    <w:p>
      <w:pPr>
        <w:pStyle w:val="35"/>
        <w:rPr>
          <w:rFonts w:eastAsiaTheme="minorEastAsia"/>
          <w:color w:val="auto"/>
          <w:highlight w:val="none"/>
        </w:rPr>
      </w:pPr>
    </w:p>
    <w:p>
      <w:pPr>
        <w:pStyle w:val="37"/>
        <w:rPr>
          <w:color w:val="auto"/>
          <w:highlight w:val="none"/>
        </w:rPr>
      </w:pPr>
      <w:r>
        <w:rPr>
          <w:rFonts w:hint="eastAsia"/>
          <w:color w:val="auto"/>
          <w:highlight w:val="none"/>
        </w:rPr>
        <w:t>预计负债</w:t>
      </w:r>
    </w:p>
    <w:p>
      <w:pPr>
        <w:pStyle w:val="38"/>
        <w:rPr>
          <w:color w:val="auto"/>
          <w:highlight w:val="none"/>
        </w:rPr>
      </w:pPr>
      <w:r>
        <w:rPr>
          <w:rFonts w:hint="eastAsia"/>
          <w:color w:val="auto"/>
          <w:highlight w:val="none"/>
        </w:rPr>
        <w:t>与或有事项相关的义务同时</w:t>
      </w:r>
      <w:r>
        <w:rPr>
          <w:color w:val="auto"/>
          <w:highlight w:val="none"/>
        </w:rPr>
        <w:t>满足下列</w:t>
      </w:r>
      <w:r>
        <w:rPr>
          <w:rFonts w:hint="eastAsia"/>
          <w:color w:val="auto"/>
          <w:highlight w:val="none"/>
        </w:rPr>
        <w:t>条件时，本公司将其确认为预计负债：</w:t>
      </w:r>
    </w:p>
    <w:p>
      <w:pPr>
        <w:pStyle w:val="38"/>
        <w:rPr>
          <w:color w:val="auto"/>
          <w:highlight w:val="none"/>
        </w:rPr>
      </w:pPr>
      <w:r>
        <w:rPr>
          <w:rFonts w:hint="eastAsia"/>
          <w:color w:val="auto"/>
          <w:highlight w:val="none"/>
        </w:rPr>
        <w:t>（1）该义务是本公司承担的现时义务；</w:t>
      </w:r>
    </w:p>
    <w:p>
      <w:pPr>
        <w:pStyle w:val="38"/>
        <w:rPr>
          <w:color w:val="auto"/>
          <w:highlight w:val="none"/>
        </w:rPr>
      </w:pPr>
      <w:r>
        <w:rPr>
          <w:rFonts w:hint="eastAsia"/>
          <w:color w:val="auto"/>
          <w:highlight w:val="none"/>
        </w:rPr>
        <w:t>（2）履行该义务很可能导致经济利益流出本公司；</w:t>
      </w:r>
    </w:p>
    <w:p>
      <w:pPr>
        <w:pStyle w:val="38"/>
        <w:rPr>
          <w:color w:val="auto"/>
          <w:highlight w:val="none"/>
        </w:rPr>
      </w:pPr>
      <w:r>
        <w:rPr>
          <w:rFonts w:hint="eastAsia"/>
          <w:color w:val="auto"/>
          <w:highlight w:val="none"/>
        </w:rPr>
        <w:t>（3）该义务的金额能够可靠地计量。</w:t>
      </w:r>
    </w:p>
    <w:p>
      <w:pPr>
        <w:pStyle w:val="38"/>
        <w:rPr>
          <w:color w:val="auto"/>
          <w:highlight w:val="none"/>
        </w:rPr>
      </w:pPr>
    </w:p>
    <w:p>
      <w:pPr>
        <w:pStyle w:val="38"/>
        <w:rPr>
          <w:color w:val="auto"/>
          <w:highlight w:val="none"/>
        </w:rPr>
      </w:pPr>
      <w:r>
        <w:rPr>
          <w:rFonts w:hint="eastAsia"/>
          <w:color w:val="auto"/>
          <w:highlight w:val="none"/>
        </w:rPr>
        <w:t>预计负债按履行相关现时义务所需的支出的最佳估计数进行初始计量。</w:t>
      </w:r>
    </w:p>
    <w:p>
      <w:pPr>
        <w:pStyle w:val="38"/>
        <w:rPr>
          <w:color w:val="auto"/>
          <w:highlight w:val="none"/>
        </w:rPr>
      </w:pPr>
      <w:r>
        <w:rPr>
          <w:rFonts w:hint="eastAsia"/>
          <w:color w:val="auto"/>
          <w:highlight w:val="none"/>
        </w:rPr>
        <w:t>在确定最佳估计数时，综合考虑与或有事项有关的风险、不确定性和货币时间价值等因素。对于货币时间价值影响重大的，通过对相关未来现金流出进行折现后确定最佳估计数。</w:t>
      </w:r>
    </w:p>
    <w:p>
      <w:pPr>
        <w:pStyle w:val="38"/>
        <w:rPr>
          <w:color w:val="auto"/>
          <w:highlight w:val="none"/>
        </w:rPr>
      </w:pPr>
      <w:r>
        <w:rPr>
          <w:rFonts w:hint="eastAsia"/>
          <w:color w:val="auto"/>
          <w:highlight w:val="none"/>
        </w:rPr>
        <w:t>所需支出存在一个连续范围，且该范围内各种结果发生的可能性相同的，最佳估计数按照该范围内的中间值确定；在其他情况下，最佳估计数分别下列情况处理：</w:t>
      </w:r>
    </w:p>
    <w:p>
      <w:pPr>
        <w:pStyle w:val="38"/>
        <w:numPr>
          <w:ilvl w:val="0"/>
          <w:numId w:val="16"/>
        </w:numPr>
        <w:rPr>
          <w:color w:val="auto"/>
          <w:highlight w:val="none"/>
        </w:rPr>
      </w:pPr>
      <w:r>
        <w:rPr>
          <w:rFonts w:hint="eastAsia"/>
          <w:color w:val="auto"/>
          <w:highlight w:val="none"/>
        </w:rPr>
        <w:t>或有事项涉及单个项目的，按照最可能发生金额确定；</w:t>
      </w:r>
    </w:p>
    <w:p>
      <w:pPr>
        <w:pStyle w:val="38"/>
        <w:numPr>
          <w:ilvl w:val="0"/>
          <w:numId w:val="16"/>
        </w:numPr>
        <w:rPr>
          <w:color w:val="auto"/>
          <w:highlight w:val="none"/>
        </w:rPr>
      </w:pPr>
      <w:r>
        <w:rPr>
          <w:rFonts w:hint="eastAsia"/>
          <w:color w:val="auto"/>
          <w:highlight w:val="none"/>
        </w:rPr>
        <w:t>或有事项涉及多个项目的，按照各种可能结果及相关概率计算确定。</w:t>
      </w:r>
    </w:p>
    <w:p>
      <w:pPr>
        <w:pStyle w:val="38"/>
        <w:rPr>
          <w:color w:val="auto"/>
          <w:highlight w:val="none"/>
        </w:rPr>
      </w:pPr>
      <w:r>
        <w:rPr>
          <w:rFonts w:hint="eastAsia"/>
          <w:color w:val="auto"/>
          <w:highlight w:val="none"/>
        </w:rPr>
        <w:t>清偿预计负债所需支出全部或部分预期由第三方补偿的，补偿金额在基本确定能够收到时，作为资产单独确认，确认的补偿金额不超过预计负债的账面价值。</w:t>
      </w:r>
    </w:p>
    <w:p>
      <w:pPr>
        <w:pStyle w:val="38"/>
        <w:rPr>
          <w:color w:val="auto"/>
          <w:highlight w:val="none"/>
        </w:rPr>
      </w:pPr>
      <w:r>
        <w:rPr>
          <w:rFonts w:hint="eastAsia"/>
          <w:color w:val="auto"/>
          <w:highlight w:val="none"/>
        </w:rPr>
        <w:t>本公司在资产负债表日对预计负债的账面价值进行复核，有确凿证据表明该账面价值不能反映当前最佳估计数的，按照当前最佳估计数对该账面价值进行调整。</w:t>
      </w:r>
    </w:p>
    <w:p>
      <w:pPr>
        <w:pStyle w:val="35"/>
        <w:rPr>
          <w:color w:val="auto"/>
          <w:highlight w:val="none"/>
        </w:rPr>
      </w:pPr>
    </w:p>
    <w:p>
      <w:pPr>
        <w:pStyle w:val="37"/>
        <w:rPr>
          <w:color w:val="auto"/>
          <w:highlight w:val="none"/>
        </w:rPr>
      </w:pPr>
      <w:r>
        <w:rPr>
          <w:rFonts w:hint="eastAsia"/>
          <w:color w:val="auto"/>
          <w:highlight w:val="none"/>
        </w:rPr>
        <w:t>优先股、永续债等其他金融工具</w:t>
      </w:r>
    </w:p>
    <w:p>
      <w:pPr>
        <w:pStyle w:val="38"/>
        <w:rPr>
          <w:color w:val="auto"/>
          <w:highlight w:val="none"/>
        </w:rPr>
      </w:pPr>
      <w:r>
        <w:rPr>
          <w:rFonts w:hint="eastAsia"/>
          <w:color w:val="auto"/>
          <w:highlight w:val="none"/>
        </w:rPr>
        <w:t>本公司根据所发行优先股/永续债的合同条款及其所反映的经济实质</w:t>
      </w:r>
      <w:r>
        <w:rPr>
          <w:rFonts w:hint="eastAsia"/>
          <w:color w:val="auto"/>
          <w:kern w:val="0"/>
          <w:highlight w:val="none"/>
        </w:rPr>
        <w:t>而非仅以法律形式</w:t>
      </w:r>
      <w:r>
        <w:rPr>
          <w:rFonts w:hint="eastAsia"/>
          <w:color w:val="auto"/>
          <w:highlight w:val="none"/>
        </w:rPr>
        <w:t>，在初始确认时将该金融工具或其组成部分分类为金融资产、金融负债或权益工具。</w:t>
      </w:r>
    </w:p>
    <w:p>
      <w:pPr>
        <w:pStyle w:val="38"/>
        <w:rPr>
          <w:color w:val="auto"/>
          <w:highlight w:val="none"/>
        </w:rPr>
      </w:pPr>
      <w:r>
        <w:rPr>
          <w:rFonts w:hint="eastAsia"/>
          <w:color w:val="auto"/>
          <w:highlight w:val="none"/>
        </w:rPr>
        <w:t>本公司发行的永续债/优先股等金融工具满足以下条件之一，在初始确认时将该金融工具整体或其组成部分分类为金融负债：</w:t>
      </w:r>
    </w:p>
    <w:p>
      <w:pPr>
        <w:pStyle w:val="38"/>
        <w:rPr>
          <w:color w:val="auto"/>
          <w:highlight w:val="none"/>
        </w:rPr>
      </w:pPr>
      <w:r>
        <w:rPr>
          <w:rFonts w:hint="eastAsia"/>
          <w:color w:val="auto"/>
          <w:highlight w:val="none"/>
        </w:rPr>
        <w:t>（1）存在本公司不能无条件地避免以交付现金或其他金融资产履行的合同义务；</w:t>
      </w:r>
    </w:p>
    <w:p>
      <w:pPr>
        <w:pStyle w:val="38"/>
        <w:rPr>
          <w:color w:val="auto"/>
          <w:highlight w:val="none"/>
        </w:rPr>
      </w:pPr>
      <w:r>
        <w:rPr>
          <w:rFonts w:hint="eastAsia"/>
          <w:color w:val="auto"/>
          <w:highlight w:val="none"/>
        </w:rPr>
        <w:t>（2）包含交付可变数量的自身权益工具进行结算的合同义务；</w:t>
      </w:r>
    </w:p>
    <w:p>
      <w:pPr>
        <w:pStyle w:val="38"/>
        <w:rPr>
          <w:color w:val="auto"/>
          <w:highlight w:val="none"/>
        </w:rPr>
      </w:pPr>
      <w:r>
        <w:rPr>
          <w:rFonts w:hint="eastAsia"/>
          <w:color w:val="auto"/>
          <w:highlight w:val="none"/>
        </w:rPr>
        <w:t>（3）包含以自身权益进行结算的衍生工具（例如转股权等），且该衍生工具不以固定数量的自身权益工具交换固定金额的现金或其他金融资产进行结算；</w:t>
      </w:r>
    </w:p>
    <w:p>
      <w:pPr>
        <w:pStyle w:val="38"/>
        <w:rPr>
          <w:color w:val="auto"/>
          <w:highlight w:val="none"/>
        </w:rPr>
      </w:pPr>
      <w:r>
        <w:rPr>
          <w:rFonts w:hint="eastAsia"/>
          <w:color w:val="auto"/>
          <w:highlight w:val="none"/>
        </w:rPr>
        <w:t>（4）存在间接地形成合同义务的合同条款；</w:t>
      </w:r>
    </w:p>
    <w:p>
      <w:pPr>
        <w:pStyle w:val="38"/>
        <w:rPr>
          <w:color w:val="auto"/>
          <w:highlight w:val="none"/>
        </w:rPr>
      </w:pPr>
      <w:r>
        <w:rPr>
          <w:rFonts w:hint="eastAsia"/>
          <w:color w:val="auto"/>
          <w:highlight w:val="none"/>
        </w:rPr>
        <w:t>（5）发行方清算时永续债与发行方发行的普通债券和其他债务处于相同清偿顺序的。</w:t>
      </w:r>
    </w:p>
    <w:p>
      <w:pPr>
        <w:pStyle w:val="38"/>
        <w:rPr>
          <w:color w:val="auto"/>
          <w:highlight w:val="none"/>
        </w:rPr>
      </w:pPr>
      <w:r>
        <w:rPr>
          <w:rFonts w:hint="eastAsia"/>
          <w:color w:val="auto"/>
          <w:highlight w:val="none"/>
        </w:rPr>
        <w:t>不满足上述任何一项条件的永续债/优先股等金融工具，在初始确认时将该金融工具整体或其组成部分分类为权益工具。</w:t>
      </w:r>
    </w:p>
    <w:p>
      <w:pPr>
        <w:pStyle w:val="38"/>
        <w:rPr>
          <w:color w:val="auto"/>
          <w:highlight w:val="none"/>
        </w:rPr>
      </w:pPr>
      <w:r>
        <w:rPr>
          <w:rFonts w:hint="eastAsia"/>
          <w:color w:val="auto"/>
          <w:highlight w:val="none"/>
        </w:rPr>
        <w:t>本公司对于其发行的同时包含权益成份和负债成份的优先股或永续债，按照与含权益成份的可转换工具相同的会计政策进行处理。本公司对于其发行的不包含权益成份的优先股或永续债，按照与不含权益成份的可转换工具相同的会计政策进行处理。</w:t>
      </w:r>
    </w:p>
    <w:p>
      <w:pPr>
        <w:pStyle w:val="38"/>
        <w:rPr>
          <w:color w:val="auto"/>
          <w:highlight w:val="none"/>
        </w:rPr>
      </w:pPr>
      <w:r>
        <w:rPr>
          <w:rFonts w:hint="eastAsia"/>
          <w:color w:val="auto"/>
          <w:highlight w:val="none"/>
        </w:rPr>
        <w:t>本公司对于其发行的应归类为权益工具的优先股，按照实际收到金额，计入权益工具。存续期间分配股利和利息的，应作利润分配处理。依照合同条款约定赎回优先股的，按赎回价格冲减权益。</w:t>
      </w:r>
    </w:p>
    <w:p>
      <w:pPr>
        <w:pStyle w:val="38"/>
        <w:rPr>
          <w:color w:val="auto"/>
          <w:highlight w:val="none"/>
        </w:rPr>
      </w:pPr>
    </w:p>
    <w:p>
      <w:pPr>
        <w:pStyle w:val="37"/>
        <w:rPr>
          <w:rFonts w:eastAsiaTheme="minorEastAsia"/>
          <w:color w:val="auto"/>
          <w:highlight w:val="none"/>
        </w:rPr>
      </w:pPr>
      <w:r>
        <w:rPr>
          <w:rFonts w:eastAsiaTheme="minorEastAsia"/>
          <w:color w:val="auto"/>
          <w:highlight w:val="none"/>
        </w:rPr>
        <w:t>收入</w:t>
      </w:r>
    </w:p>
    <w:p>
      <w:pPr>
        <w:pStyle w:val="44"/>
        <w:rPr>
          <w:color w:val="auto"/>
          <w:highlight w:val="none"/>
        </w:rPr>
      </w:pPr>
      <w:r>
        <w:rPr>
          <w:color w:val="auto"/>
          <w:highlight w:val="none"/>
        </w:rPr>
        <w:t>收入确认和计量所采用的会计政策</w:t>
      </w:r>
    </w:p>
    <w:p>
      <w:pPr>
        <w:pStyle w:val="35"/>
        <w:rPr>
          <w:color w:val="auto"/>
          <w:highlight w:val="none"/>
        </w:rPr>
      </w:pPr>
      <w:r>
        <w:rPr>
          <w:color w:val="auto"/>
          <w:highlight w:val="none"/>
        </w:rPr>
        <w:t>本公司在履行了合同中的履约义务，即在客户取得相关商品或服务控制权时确认收入。取得相关商品或服务控制权，是指能够主导该商品或服务的使用并从中获得几乎全部的经济利益。</w:t>
      </w:r>
    </w:p>
    <w:p>
      <w:pPr>
        <w:pStyle w:val="35"/>
        <w:rPr>
          <w:color w:val="auto"/>
          <w:highlight w:val="none"/>
        </w:rPr>
      </w:pPr>
      <w:r>
        <w:rPr>
          <w:rFonts w:hint="eastAsia"/>
          <w:color w:val="auto"/>
          <w:highlight w:val="none"/>
        </w:rPr>
        <w:t>合同中包含两项或多项履约义务的，本公司在合同开始日，按照各单项履约义务所承诺商品或服务的单独售价的相对比例，将交易价格分摊至各单项履约义务。本公司按照分摊至各单项履约义务的交易价格计量收入。</w:t>
      </w:r>
    </w:p>
    <w:p>
      <w:pPr>
        <w:pStyle w:val="35"/>
        <w:rPr>
          <w:color w:val="auto"/>
          <w:highlight w:val="none"/>
        </w:rPr>
      </w:pPr>
      <w:r>
        <w:rPr>
          <w:rFonts w:hint="eastAsia"/>
          <w:color w:val="auto"/>
          <w:highlight w:val="none"/>
        </w:rPr>
        <w:t>交易价格是指本公司因向客户转让商品或服务而预期有权收取的对价金额，不包括代第三方收取的款项以及预期将退还给客户的款项。本公司根据合同条款，结合其以往的习惯做法确定交易价格，并在确定交易价格时，考虑可变对价、合同中存在的重大融资成分、非现金对价、应付客户对价等因素的影响。本公司以不超过在相关不确定性消除时累计已确认收入极可能不会发生重大转回的金额确定包含可变对价的交易价格。合同中存在重大融资成分的，本公司按照假定客户在取得商品或服务控制权时即以现金支付的应付金额确定交易价格，并在合同期间内采用实际利率法摊销该交易价格与合同对价之间的差额。</w:t>
      </w:r>
    </w:p>
    <w:p>
      <w:pPr>
        <w:pStyle w:val="35"/>
        <w:rPr>
          <w:color w:val="auto"/>
          <w:highlight w:val="none"/>
        </w:rPr>
      </w:pPr>
      <w:r>
        <w:rPr>
          <w:rFonts w:hint="eastAsia"/>
          <w:color w:val="auto"/>
          <w:highlight w:val="none"/>
        </w:rPr>
        <w:t>满足下列条件之一的，属于在某一时段内履行履约义务，否则，属于在某一时点履行履约义务：</w:t>
      </w:r>
    </w:p>
    <w:p>
      <w:pPr>
        <w:pStyle w:val="35"/>
        <w:rPr>
          <w:color w:val="auto"/>
          <w:highlight w:val="none"/>
        </w:rPr>
      </w:pPr>
      <w:r>
        <w:rPr>
          <w:rFonts w:hint="eastAsia"/>
          <w:color w:val="auto"/>
          <w:highlight w:val="none"/>
        </w:rPr>
        <w:t>•客户在本公司履约的同时即取得并消耗本公司履约所带来的经济利益。</w:t>
      </w:r>
    </w:p>
    <w:p>
      <w:pPr>
        <w:pStyle w:val="35"/>
        <w:rPr>
          <w:color w:val="auto"/>
          <w:highlight w:val="none"/>
        </w:rPr>
      </w:pPr>
      <w:r>
        <w:rPr>
          <w:rFonts w:hint="eastAsia"/>
          <w:color w:val="auto"/>
          <w:highlight w:val="none"/>
        </w:rPr>
        <w:t>•客户能够控制本公司履约过程中在建的商品。</w:t>
      </w:r>
    </w:p>
    <w:p>
      <w:pPr>
        <w:pStyle w:val="35"/>
        <w:rPr>
          <w:color w:val="auto"/>
          <w:highlight w:val="none"/>
        </w:rPr>
      </w:pPr>
      <w:r>
        <w:rPr>
          <w:rFonts w:hint="eastAsia"/>
          <w:color w:val="auto"/>
          <w:highlight w:val="none"/>
        </w:rPr>
        <w:t>•本公司履约过程中所产出的商品具有不可替代用途，且本公司在整个合同期内有权就累计至今已完成的履约部分收取款项。</w:t>
      </w:r>
    </w:p>
    <w:p>
      <w:pPr>
        <w:pStyle w:val="35"/>
        <w:rPr>
          <w:color w:val="auto"/>
          <w:highlight w:val="none"/>
        </w:rPr>
      </w:pPr>
      <w:r>
        <w:rPr>
          <w:rFonts w:hint="eastAsia"/>
          <w:color w:val="auto"/>
          <w:highlight w:val="none"/>
        </w:rPr>
        <w:t>对于在某一时段内履行的履约义务，本公司在该段时间内按照履约进度确认收入，但是，履约进度不能合理确定的除外。本公司考虑商品或服务的性质，采用产出法或投入法确定履约进度。当履约进度不能合理确定时，已经发生的成本预计能够得到补偿的，本公司按照已经发生的成本金额确认收入，直到履约进度能够合理确定为止。</w:t>
      </w:r>
    </w:p>
    <w:p>
      <w:pPr>
        <w:pStyle w:val="35"/>
        <w:rPr>
          <w:color w:val="auto"/>
          <w:highlight w:val="none"/>
        </w:rPr>
      </w:pPr>
      <w:r>
        <w:rPr>
          <w:rFonts w:hint="eastAsia"/>
          <w:color w:val="auto"/>
          <w:highlight w:val="none"/>
        </w:rPr>
        <w:t>对于在某一时点履行的履约义务，本公司在客户取得相关商品或服务控制权时点确认收入。在判断客户是否已取得商品或服务控制权时，本公司考虑下列迹象：</w:t>
      </w:r>
    </w:p>
    <w:p>
      <w:pPr>
        <w:pStyle w:val="35"/>
        <w:rPr>
          <w:color w:val="auto"/>
          <w:highlight w:val="none"/>
        </w:rPr>
      </w:pPr>
      <w:r>
        <w:rPr>
          <w:rFonts w:hint="eastAsia"/>
          <w:color w:val="auto"/>
          <w:highlight w:val="none"/>
        </w:rPr>
        <w:t>•</w:t>
      </w:r>
      <w:r>
        <w:rPr>
          <w:color w:val="auto"/>
          <w:highlight w:val="none"/>
        </w:rPr>
        <w:tab/>
      </w:r>
      <w:r>
        <w:rPr>
          <w:rFonts w:hint="eastAsia"/>
          <w:color w:val="auto"/>
          <w:highlight w:val="none"/>
        </w:rPr>
        <w:t>本公司就该商品或服务享有现时收款权利，即客户就该商品或服务负有现时付款义务。</w:t>
      </w:r>
    </w:p>
    <w:p>
      <w:pPr>
        <w:pStyle w:val="35"/>
        <w:rPr>
          <w:color w:val="auto"/>
          <w:highlight w:val="none"/>
        </w:rPr>
      </w:pPr>
      <w:r>
        <w:rPr>
          <w:rFonts w:hint="eastAsia"/>
          <w:color w:val="auto"/>
          <w:highlight w:val="none"/>
        </w:rPr>
        <w:t>•</w:t>
      </w:r>
      <w:r>
        <w:rPr>
          <w:color w:val="auto"/>
          <w:highlight w:val="none"/>
        </w:rPr>
        <w:tab/>
      </w:r>
      <w:r>
        <w:rPr>
          <w:rFonts w:hint="eastAsia"/>
          <w:color w:val="auto"/>
          <w:highlight w:val="none"/>
        </w:rPr>
        <w:t>本公司已将该商品的法定所有权转移给客户，即客户已拥有该商品的法定所有权。</w:t>
      </w:r>
    </w:p>
    <w:p>
      <w:pPr>
        <w:pStyle w:val="35"/>
        <w:rPr>
          <w:color w:val="auto"/>
          <w:highlight w:val="none"/>
        </w:rPr>
      </w:pPr>
      <w:r>
        <w:rPr>
          <w:rFonts w:hint="eastAsia"/>
          <w:color w:val="auto"/>
          <w:highlight w:val="none"/>
        </w:rPr>
        <w:t>•</w:t>
      </w:r>
      <w:r>
        <w:rPr>
          <w:color w:val="auto"/>
          <w:highlight w:val="none"/>
        </w:rPr>
        <w:tab/>
      </w:r>
      <w:r>
        <w:rPr>
          <w:rFonts w:hint="eastAsia"/>
          <w:color w:val="auto"/>
          <w:highlight w:val="none"/>
        </w:rPr>
        <w:t>本公司已将该商品实物转移给客户，即客户已实物占有该商品。</w:t>
      </w:r>
    </w:p>
    <w:p>
      <w:pPr>
        <w:pStyle w:val="35"/>
        <w:rPr>
          <w:color w:val="auto"/>
          <w:highlight w:val="none"/>
        </w:rPr>
      </w:pPr>
      <w:r>
        <w:rPr>
          <w:rFonts w:hint="eastAsia"/>
          <w:color w:val="auto"/>
          <w:highlight w:val="none"/>
        </w:rPr>
        <w:t>•</w:t>
      </w:r>
      <w:r>
        <w:rPr>
          <w:color w:val="auto"/>
          <w:highlight w:val="none"/>
        </w:rPr>
        <w:tab/>
      </w:r>
      <w:r>
        <w:rPr>
          <w:rFonts w:hint="eastAsia"/>
          <w:color w:val="auto"/>
          <w:highlight w:val="none"/>
        </w:rPr>
        <w:t>本公司已将该商品所有权上的主要风险和报酬转移给客户，即客户已取得该商品所有权上的主要风险和报酬。</w:t>
      </w:r>
    </w:p>
    <w:p>
      <w:pPr>
        <w:pStyle w:val="35"/>
        <w:rPr>
          <w:color w:val="auto"/>
          <w:highlight w:val="none"/>
        </w:rPr>
      </w:pPr>
      <w:r>
        <w:rPr>
          <w:rFonts w:hint="eastAsia"/>
          <w:color w:val="auto"/>
          <w:highlight w:val="none"/>
        </w:rPr>
        <w:t>•</w:t>
      </w:r>
      <w:r>
        <w:rPr>
          <w:color w:val="auto"/>
          <w:highlight w:val="none"/>
        </w:rPr>
        <w:tab/>
      </w:r>
      <w:r>
        <w:rPr>
          <w:rFonts w:hint="eastAsia"/>
          <w:color w:val="auto"/>
          <w:highlight w:val="none"/>
        </w:rPr>
        <w:t>客户已接受该商品或服务等。</w:t>
      </w:r>
    </w:p>
    <w:p>
      <w:pPr>
        <w:pStyle w:val="35"/>
        <w:rPr>
          <w:rFonts w:eastAsiaTheme="minorEastAsia"/>
          <w:color w:val="auto"/>
          <w:highlight w:val="none"/>
        </w:rPr>
      </w:pPr>
    </w:p>
    <w:p>
      <w:pPr>
        <w:pStyle w:val="37"/>
        <w:rPr>
          <w:color w:val="auto"/>
          <w:highlight w:val="none"/>
        </w:rPr>
      </w:pPr>
      <w:r>
        <w:rPr>
          <w:color w:val="auto"/>
          <w:highlight w:val="none"/>
        </w:rPr>
        <w:t>合同成本</w:t>
      </w:r>
    </w:p>
    <w:p>
      <w:pPr>
        <w:pStyle w:val="38"/>
        <w:rPr>
          <w:color w:val="auto"/>
          <w:highlight w:val="none"/>
        </w:rPr>
      </w:pPr>
      <w:r>
        <w:rPr>
          <w:rFonts w:hint="eastAsia"/>
          <w:color w:val="auto"/>
          <w:highlight w:val="none"/>
        </w:rPr>
        <w:t>合同成本分为合同履约成本与合同取得成本。</w:t>
      </w:r>
    </w:p>
    <w:p>
      <w:pPr>
        <w:pStyle w:val="38"/>
        <w:rPr>
          <w:color w:val="auto"/>
          <w:highlight w:val="none"/>
        </w:rPr>
      </w:pPr>
      <w:r>
        <w:rPr>
          <w:color w:val="auto"/>
          <w:highlight w:val="none"/>
        </w:rPr>
        <w:t>本公司为履行合同而发生的成本，</w:t>
      </w:r>
      <w:r>
        <w:rPr>
          <w:rFonts w:hint="eastAsia"/>
          <w:color w:val="auto"/>
          <w:kern w:val="0"/>
          <w:highlight w:val="none"/>
        </w:rPr>
        <w:t>不属于其他企业会计准则规范范围的，</w:t>
      </w:r>
      <w:r>
        <w:rPr>
          <w:color w:val="auto"/>
          <w:highlight w:val="none"/>
        </w:rPr>
        <w:t>在同时满足下列条件时作为合同履约成本确认为一项资产：</w:t>
      </w:r>
    </w:p>
    <w:p>
      <w:pPr>
        <w:pStyle w:val="38"/>
        <w:rPr>
          <w:color w:val="auto"/>
          <w:highlight w:val="none"/>
        </w:rPr>
      </w:pPr>
      <w:r>
        <w:rPr>
          <w:color w:val="auto"/>
          <w:highlight w:val="none"/>
        </w:rPr>
        <w:t>1、该成本与一份当前或预期取得的合同直接相关</w:t>
      </w:r>
      <w:r>
        <w:rPr>
          <w:rFonts w:hint="eastAsia"/>
          <w:color w:val="auto"/>
          <w:highlight w:val="none"/>
        </w:rPr>
        <w:t>；</w:t>
      </w:r>
    </w:p>
    <w:p>
      <w:pPr>
        <w:pStyle w:val="38"/>
        <w:rPr>
          <w:color w:val="auto"/>
          <w:highlight w:val="none"/>
        </w:rPr>
      </w:pPr>
      <w:r>
        <w:rPr>
          <w:color w:val="auto"/>
          <w:highlight w:val="none"/>
        </w:rPr>
        <w:t>2、该成本增加了本公司未来用于履行履约义务的资源</w:t>
      </w:r>
      <w:r>
        <w:rPr>
          <w:rFonts w:hint="eastAsia"/>
          <w:color w:val="auto"/>
          <w:highlight w:val="none"/>
        </w:rPr>
        <w:t>；</w:t>
      </w:r>
    </w:p>
    <w:p>
      <w:pPr>
        <w:pStyle w:val="38"/>
        <w:rPr>
          <w:color w:val="auto"/>
          <w:highlight w:val="none"/>
        </w:rPr>
      </w:pPr>
      <w:r>
        <w:rPr>
          <w:color w:val="auto"/>
          <w:highlight w:val="none"/>
        </w:rPr>
        <w:t>3、该成本预期能够收回。</w:t>
      </w:r>
    </w:p>
    <w:p>
      <w:pPr>
        <w:pStyle w:val="38"/>
        <w:rPr>
          <w:color w:val="auto"/>
          <w:highlight w:val="none"/>
        </w:rPr>
      </w:pPr>
      <w:r>
        <w:rPr>
          <w:color w:val="auto"/>
          <w:highlight w:val="none"/>
        </w:rPr>
        <w:t>本公司为取得合同发生的增量成本预期能够收回的，作为合同取得成本确认为一项资产。</w:t>
      </w:r>
    </w:p>
    <w:p>
      <w:pPr>
        <w:pStyle w:val="38"/>
        <w:rPr>
          <w:color w:val="auto"/>
          <w:highlight w:val="none"/>
        </w:rPr>
      </w:pPr>
      <w:r>
        <w:rPr>
          <w:color w:val="auto"/>
          <w:highlight w:val="none"/>
        </w:rPr>
        <w:t>与合同成本有关的资产采用与该资产相关的商品或服务收入确认相同的基础进行摊销；但是对于合同取得成本摊销期限未超过一年的，本公司将其在发生时计入当期损益。</w:t>
      </w:r>
    </w:p>
    <w:p>
      <w:pPr>
        <w:pStyle w:val="38"/>
        <w:rPr>
          <w:color w:val="auto"/>
          <w:highlight w:val="none"/>
        </w:rPr>
      </w:pPr>
    </w:p>
    <w:p>
      <w:pPr>
        <w:pStyle w:val="38"/>
        <w:rPr>
          <w:color w:val="auto"/>
          <w:highlight w:val="none"/>
        </w:rPr>
      </w:pPr>
      <w:r>
        <w:rPr>
          <w:color w:val="auto"/>
          <w:highlight w:val="none"/>
        </w:rPr>
        <w:t>与合同成本有关的资产，其账面价值高于下列两项的差额的，本公司将对于超出部分计提减值准备，并确认为资产减值损失：</w:t>
      </w:r>
    </w:p>
    <w:p>
      <w:pPr>
        <w:pStyle w:val="38"/>
        <w:rPr>
          <w:color w:val="auto"/>
          <w:highlight w:val="none"/>
        </w:rPr>
      </w:pPr>
      <w:r>
        <w:rPr>
          <w:color w:val="auto"/>
          <w:highlight w:val="none"/>
        </w:rPr>
        <w:t>1、因转让与该资产相关的商品或服务预期能够取得的剩余对价；</w:t>
      </w:r>
    </w:p>
    <w:p>
      <w:pPr>
        <w:pStyle w:val="38"/>
        <w:rPr>
          <w:color w:val="auto"/>
          <w:highlight w:val="none"/>
        </w:rPr>
      </w:pPr>
      <w:r>
        <w:rPr>
          <w:color w:val="auto"/>
          <w:highlight w:val="none"/>
        </w:rPr>
        <w:t>2、为转让该相关商品或服务估计将要发生的成本。</w:t>
      </w:r>
    </w:p>
    <w:p>
      <w:pPr>
        <w:pStyle w:val="38"/>
        <w:rPr>
          <w:color w:val="auto"/>
          <w:highlight w:val="none"/>
        </w:rPr>
      </w:pPr>
      <w:r>
        <w:rPr>
          <w:rFonts w:hint="eastAsia"/>
          <w:color w:val="auto"/>
          <w:kern w:val="0"/>
          <w:highlight w:val="none"/>
        </w:rPr>
        <w:t>以前期间减值的因素之后发生变化，使得前述差额高于该资产账面价值的，本公司转回原已计提的减值准备，并计入当期损益，但</w:t>
      </w:r>
      <w:r>
        <w:rPr>
          <w:color w:val="auto"/>
          <w:highlight w:val="none"/>
        </w:rPr>
        <w:t>转回后的资产账面价值不超过假定不计提减值准备情况下该资产在转回日的账面价值。</w:t>
      </w:r>
    </w:p>
    <w:p>
      <w:pPr>
        <w:pStyle w:val="38"/>
        <w:rPr>
          <w:color w:val="auto"/>
          <w:highlight w:val="none"/>
        </w:rPr>
      </w:pPr>
    </w:p>
    <w:p>
      <w:pPr>
        <w:pStyle w:val="37"/>
        <w:rPr>
          <w:rFonts w:eastAsiaTheme="minorEastAsia"/>
          <w:color w:val="auto"/>
          <w:highlight w:val="none"/>
        </w:rPr>
      </w:pPr>
      <w:r>
        <w:rPr>
          <w:rFonts w:eastAsiaTheme="minorEastAsia"/>
          <w:color w:val="auto"/>
          <w:highlight w:val="none"/>
        </w:rPr>
        <w:t>政府补助</w:t>
      </w:r>
    </w:p>
    <w:p>
      <w:pPr>
        <w:pStyle w:val="44"/>
        <w:rPr>
          <w:color w:val="auto"/>
          <w:highlight w:val="none"/>
        </w:rPr>
      </w:pPr>
      <w:r>
        <w:rPr>
          <w:color w:val="auto"/>
          <w:highlight w:val="none"/>
        </w:rPr>
        <w:t>政府补助的分类</w:t>
      </w:r>
    </w:p>
    <w:p>
      <w:pPr>
        <w:pStyle w:val="35"/>
        <w:rPr>
          <w:color w:val="auto"/>
          <w:highlight w:val="none"/>
        </w:rPr>
      </w:pPr>
      <w:r>
        <w:rPr>
          <w:color w:val="auto"/>
          <w:highlight w:val="none"/>
        </w:rPr>
        <w:t>政府补助，是本公司从政府无偿取得的货币性资产</w:t>
      </w:r>
      <w:r>
        <w:rPr>
          <w:rFonts w:hint="eastAsia"/>
          <w:color w:val="auto"/>
          <w:highlight w:val="none"/>
        </w:rPr>
        <w:t>或</w:t>
      </w:r>
      <w:r>
        <w:rPr>
          <w:color w:val="auto"/>
          <w:highlight w:val="none"/>
        </w:rPr>
        <w:t>非货币性资产。分为与资产相关的政府补助和与收益相关的政府补助。</w:t>
      </w:r>
    </w:p>
    <w:p>
      <w:pPr>
        <w:pStyle w:val="35"/>
        <w:rPr>
          <w:color w:val="auto"/>
          <w:highlight w:val="none"/>
        </w:rPr>
      </w:pPr>
      <w:r>
        <w:rPr>
          <w:color w:val="auto"/>
          <w:highlight w:val="none"/>
        </w:rPr>
        <w:t>与资产相关的政府补助，是指本公司取得的、用于购建或以其他方式形成长期资产的政府补助。与收益相关的政府补助，是指除与资产相关的政府补助之外的政府补助。</w:t>
      </w:r>
    </w:p>
    <w:p>
      <w:pPr>
        <w:pStyle w:val="35"/>
        <w:rPr>
          <w:color w:val="auto"/>
          <w:highlight w:val="none"/>
        </w:rPr>
      </w:pPr>
    </w:p>
    <w:p>
      <w:pPr>
        <w:pStyle w:val="44"/>
        <w:rPr>
          <w:color w:val="auto"/>
          <w:highlight w:val="none"/>
        </w:rPr>
      </w:pPr>
      <w:r>
        <w:rPr>
          <w:color w:val="auto"/>
          <w:highlight w:val="none"/>
        </w:rPr>
        <w:t>政府补助的计量及终止确认</w:t>
      </w:r>
    </w:p>
    <w:p>
      <w:pPr>
        <w:pStyle w:val="35"/>
        <w:rPr>
          <w:color w:val="auto"/>
          <w:highlight w:val="none"/>
        </w:rPr>
      </w:pPr>
      <w:r>
        <w:rPr>
          <w:color w:val="auto"/>
          <w:highlight w:val="none"/>
        </w:rPr>
        <w:t>政府补助在</w:t>
      </w:r>
      <w:r>
        <w:rPr>
          <w:rFonts w:hint="eastAsia"/>
          <w:color w:val="auto"/>
          <w:highlight w:val="none"/>
        </w:rPr>
        <w:t>本公司能够</w:t>
      </w:r>
      <w:r>
        <w:rPr>
          <w:color w:val="auto"/>
          <w:highlight w:val="none"/>
        </w:rPr>
        <w:t>满足</w:t>
      </w:r>
      <w:r>
        <w:rPr>
          <w:rFonts w:hint="eastAsia"/>
          <w:color w:val="auto"/>
          <w:highlight w:val="none"/>
        </w:rPr>
        <w:t>其</w:t>
      </w:r>
      <w:r>
        <w:rPr>
          <w:color w:val="auto"/>
          <w:highlight w:val="none"/>
        </w:rPr>
        <w:t>所附条件并且能够收到时</w:t>
      </w:r>
      <w:r>
        <w:rPr>
          <w:rFonts w:hint="eastAsia"/>
          <w:color w:val="auto"/>
          <w:highlight w:val="none"/>
        </w:rPr>
        <w:t>，</w:t>
      </w:r>
      <w:r>
        <w:rPr>
          <w:color w:val="auto"/>
          <w:highlight w:val="none"/>
        </w:rPr>
        <w:t>予以确认。</w:t>
      </w:r>
    </w:p>
    <w:p>
      <w:pPr>
        <w:pStyle w:val="35"/>
        <w:rPr>
          <w:color w:val="auto"/>
          <w:highlight w:val="none"/>
        </w:rPr>
      </w:pPr>
      <w:r>
        <w:rPr>
          <w:color w:val="auto"/>
          <w:highlight w:val="none"/>
        </w:rPr>
        <w:t>对于货币性资产的政府补助，按照收到或应收的金额计量。对于非货币性资产的政府补助，按照公允价值计量；公允价值不能够可靠取得的，按照名义金额计量。</w:t>
      </w:r>
    </w:p>
    <w:p>
      <w:pPr>
        <w:pStyle w:val="35"/>
        <w:rPr>
          <w:color w:val="auto"/>
          <w:highlight w:val="none"/>
        </w:rPr>
      </w:pPr>
      <w:r>
        <w:rPr>
          <w:color w:val="auto"/>
          <w:highlight w:val="none"/>
        </w:rPr>
        <w:t>与资产相关的政府补助，冲减相关资产账面价值或确认为递延收益。确认为递延收益的，在相关 资产使用寿命内按照合理、系统的方法分期计入当期损益（与本公司日常活动相关的，计入其他收益；与本公司日常活动无关的，计入营业外收入）。相关资产在使用寿命结束前被出售、转让、报废或发生毁损的，将尚未分配的递延收益余额转入资产处置当期的损益。</w:t>
      </w:r>
    </w:p>
    <w:p>
      <w:pPr>
        <w:pStyle w:val="35"/>
        <w:rPr>
          <w:color w:val="auto"/>
          <w:highlight w:val="none"/>
        </w:rPr>
      </w:pPr>
      <w:r>
        <w:rPr>
          <w:color w:val="auto"/>
          <w:highlight w:val="none"/>
        </w:rPr>
        <w:t>与收益相关的政府补助，用于补偿</w:t>
      </w:r>
      <w:r>
        <w:rPr>
          <w:rFonts w:hint="eastAsia"/>
          <w:color w:val="auto"/>
          <w:highlight w:val="none"/>
        </w:rPr>
        <w:t>企业</w:t>
      </w:r>
      <w:r>
        <w:rPr>
          <w:color w:val="auto"/>
          <w:highlight w:val="none"/>
        </w:rPr>
        <w:t>以后期间的相关</w:t>
      </w:r>
      <w:r>
        <w:rPr>
          <w:rFonts w:hint="eastAsia"/>
          <w:color w:val="auto"/>
          <w:highlight w:val="none"/>
        </w:rPr>
        <w:t>成本</w:t>
      </w:r>
      <w:r>
        <w:rPr>
          <w:color w:val="auto"/>
          <w:highlight w:val="none"/>
        </w:rPr>
        <w:t>费用或损失的，</w:t>
      </w:r>
      <w:r>
        <w:rPr>
          <w:rFonts w:hint="eastAsia"/>
          <w:color w:val="auto"/>
          <w:highlight w:val="none"/>
        </w:rPr>
        <w:t>确认</w:t>
      </w:r>
      <w:r>
        <w:rPr>
          <w:color w:val="auto"/>
          <w:highlight w:val="none"/>
        </w:rPr>
        <w:t>为递延收益，</w:t>
      </w:r>
      <w:r>
        <w:rPr>
          <w:rFonts w:hint="eastAsia"/>
          <w:color w:val="auto"/>
          <w:highlight w:val="none"/>
        </w:rPr>
        <w:t>并在</w:t>
      </w:r>
      <w:r>
        <w:rPr>
          <w:color w:val="auto"/>
          <w:highlight w:val="none"/>
        </w:rPr>
        <w:t>确认相关成本费用或损失的期间</w:t>
      </w:r>
      <w:r>
        <w:rPr>
          <w:rFonts w:hint="eastAsia"/>
          <w:color w:val="auto"/>
          <w:highlight w:val="none"/>
        </w:rPr>
        <w:t>，</w:t>
      </w:r>
      <w:r>
        <w:rPr>
          <w:color w:val="auto"/>
          <w:highlight w:val="none"/>
        </w:rPr>
        <w:t>计入当期损益（</w:t>
      </w:r>
      <w:r>
        <w:rPr>
          <w:rFonts w:hint="eastAsia"/>
          <w:color w:val="auto"/>
          <w:highlight w:val="none"/>
        </w:rPr>
        <w:t>与</w:t>
      </w:r>
      <w:r>
        <w:rPr>
          <w:color w:val="auto"/>
          <w:highlight w:val="none"/>
        </w:rPr>
        <w:t>本公司日常活动相关的，计入其他收益；与本公司日常活动无关的，计入营业外收入）</w:t>
      </w:r>
      <w:r>
        <w:rPr>
          <w:rFonts w:hint="eastAsia"/>
          <w:color w:val="auto"/>
          <w:highlight w:val="none"/>
        </w:rPr>
        <w:t>或</w:t>
      </w:r>
      <w:r>
        <w:rPr>
          <w:color w:val="auto"/>
          <w:highlight w:val="none"/>
        </w:rPr>
        <w:t>冲减相关成本费用或损失；用于补偿企业已发生的相关</w:t>
      </w:r>
      <w:r>
        <w:rPr>
          <w:rFonts w:hint="eastAsia"/>
          <w:color w:val="auto"/>
          <w:highlight w:val="none"/>
        </w:rPr>
        <w:t>成本</w:t>
      </w:r>
      <w:r>
        <w:rPr>
          <w:color w:val="auto"/>
          <w:highlight w:val="none"/>
        </w:rPr>
        <w:t>费用或损失的，直接计入当期</w:t>
      </w:r>
      <w:r>
        <w:rPr>
          <w:rFonts w:hint="eastAsia"/>
          <w:color w:val="auto"/>
          <w:highlight w:val="none"/>
        </w:rPr>
        <w:t>损益</w:t>
      </w:r>
      <w:r>
        <w:rPr>
          <w:color w:val="auto"/>
          <w:highlight w:val="none"/>
        </w:rPr>
        <w:t>（</w:t>
      </w:r>
      <w:r>
        <w:rPr>
          <w:rFonts w:hint="eastAsia"/>
          <w:color w:val="auto"/>
          <w:highlight w:val="none"/>
        </w:rPr>
        <w:t>与</w:t>
      </w:r>
      <w:r>
        <w:rPr>
          <w:color w:val="auto"/>
          <w:highlight w:val="none"/>
        </w:rPr>
        <w:t>本公司日常活动相关的，计入其他收益；与本公司日常活动无关的，计入营业外收入）或冲减相关成本费用或损失。</w:t>
      </w:r>
    </w:p>
    <w:p>
      <w:pPr>
        <w:pStyle w:val="35"/>
        <w:rPr>
          <w:color w:val="auto"/>
          <w:highlight w:val="none"/>
        </w:rPr>
      </w:pPr>
      <w:r>
        <w:rPr>
          <w:color w:val="auto"/>
          <w:highlight w:val="none"/>
        </w:rPr>
        <w:t>按照名义金额计量的政府补助，直接计入当期损益。</w:t>
      </w:r>
    </w:p>
    <w:p>
      <w:pPr>
        <w:pStyle w:val="35"/>
        <w:rPr>
          <w:color w:val="auto"/>
          <w:highlight w:val="none"/>
        </w:rPr>
      </w:pPr>
      <w:r>
        <w:rPr>
          <w:rFonts w:hint="eastAsia"/>
          <w:color w:val="auto"/>
          <w:highlight w:val="none"/>
        </w:rPr>
        <w:t>本公司</w:t>
      </w:r>
      <w:r>
        <w:rPr>
          <w:color w:val="auto"/>
          <w:highlight w:val="none"/>
        </w:rPr>
        <w:t>取得</w:t>
      </w:r>
      <w:r>
        <w:rPr>
          <w:rFonts w:hint="eastAsia"/>
          <w:color w:val="auto"/>
          <w:highlight w:val="none"/>
        </w:rPr>
        <w:t>的</w:t>
      </w:r>
      <w:r>
        <w:rPr>
          <w:color w:val="auto"/>
          <w:highlight w:val="none"/>
        </w:rPr>
        <w:t>政策性优惠贷款贴息，区分以下两种</w:t>
      </w:r>
      <w:r>
        <w:rPr>
          <w:rFonts w:hint="eastAsia"/>
          <w:color w:val="auto"/>
          <w:highlight w:val="none"/>
        </w:rPr>
        <w:t>情况</w:t>
      </w:r>
      <w:r>
        <w:rPr>
          <w:color w:val="auto"/>
          <w:highlight w:val="none"/>
        </w:rPr>
        <w:t>，分别进行会计处理：</w:t>
      </w:r>
    </w:p>
    <w:p>
      <w:pPr>
        <w:pStyle w:val="35"/>
        <w:rPr>
          <w:color w:val="auto"/>
          <w:highlight w:val="none"/>
        </w:rPr>
      </w:pPr>
      <w:r>
        <w:rPr>
          <w:rFonts w:hint="eastAsia"/>
          <w:color w:val="auto"/>
          <w:highlight w:val="none"/>
        </w:rPr>
        <w:t>（</w:t>
      </w:r>
      <w:r>
        <w:rPr>
          <w:color w:val="auto"/>
          <w:highlight w:val="none"/>
        </w:rPr>
        <w:t>1</w:t>
      </w:r>
      <w:r>
        <w:rPr>
          <w:rFonts w:hint="eastAsia"/>
          <w:color w:val="auto"/>
          <w:highlight w:val="none"/>
        </w:rPr>
        <w:t>）财政将贴息资金拨付给贷款银行，由贷款银行以政策性优惠利率向本公司提供贷款的，本公司以实际收到的借款金额作为借款的入账价值，按照借款本金和该政策性优惠利率计算相关借款费用。</w:t>
      </w:r>
    </w:p>
    <w:p>
      <w:pPr>
        <w:pStyle w:val="35"/>
        <w:rPr>
          <w:color w:val="auto"/>
          <w:highlight w:val="none"/>
        </w:rPr>
      </w:pPr>
      <w:r>
        <w:rPr>
          <w:rFonts w:hint="eastAsia"/>
          <w:color w:val="auto"/>
          <w:highlight w:val="none"/>
        </w:rPr>
        <w:t>（</w:t>
      </w:r>
      <w:r>
        <w:rPr>
          <w:color w:val="auto"/>
          <w:highlight w:val="none"/>
        </w:rPr>
        <w:t>2</w:t>
      </w:r>
      <w:r>
        <w:rPr>
          <w:rFonts w:hint="eastAsia"/>
          <w:color w:val="auto"/>
          <w:highlight w:val="none"/>
        </w:rPr>
        <w:t>）财政将贴息资金直接拨付给本公司的，本公司将对应的贴息冲减相关借款费用。</w:t>
      </w:r>
    </w:p>
    <w:p>
      <w:pPr>
        <w:pStyle w:val="35"/>
        <w:rPr>
          <w:color w:val="auto"/>
          <w:highlight w:val="none"/>
        </w:rPr>
      </w:pPr>
    </w:p>
    <w:p>
      <w:pPr>
        <w:pStyle w:val="44"/>
        <w:rPr>
          <w:color w:val="auto"/>
          <w:highlight w:val="none"/>
        </w:rPr>
      </w:pPr>
      <w:r>
        <w:rPr>
          <w:color w:val="auto"/>
          <w:highlight w:val="none"/>
        </w:rPr>
        <w:t>政府补助的返还的会计处理</w:t>
      </w:r>
    </w:p>
    <w:p>
      <w:pPr>
        <w:pStyle w:val="35"/>
        <w:rPr>
          <w:color w:val="auto"/>
          <w:highlight w:val="none"/>
        </w:rPr>
      </w:pPr>
      <w:r>
        <w:rPr>
          <w:color w:val="auto"/>
          <w:highlight w:val="none"/>
        </w:rPr>
        <w:t>本公司对于已确认的政府补助需要退回的，在需要退回的当期分情况进行会计处理：</w:t>
      </w:r>
    </w:p>
    <w:p>
      <w:pPr>
        <w:pStyle w:val="35"/>
        <w:rPr>
          <w:color w:val="auto"/>
          <w:highlight w:val="none"/>
        </w:rPr>
      </w:pPr>
      <w:r>
        <w:rPr>
          <w:color w:val="auto"/>
          <w:highlight w:val="none"/>
        </w:rPr>
        <w:t>（一）初始确认时冲减相关资产账面价值的，调整资产账面价值；</w:t>
      </w:r>
    </w:p>
    <w:p>
      <w:pPr>
        <w:pStyle w:val="35"/>
        <w:rPr>
          <w:color w:val="auto"/>
          <w:highlight w:val="none"/>
        </w:rPr>
      </w:pPr>
      <w:r>
        <w:rPr>
          <w:color w:val="auto"/>
          <w:highlight w:val="none"/>
        </w:rPr>
        <w:t>（二）存在相关递延收益的，冲减相关递延收益账面余额，超出部分计入当期损益；</w:t>
      </w:r>
    </w:p>
    <w:p>
      <w:pPr>
        <w:pStyle w:val="35"/>
        <w:rPr>
          <w:color w:val="auto"/>
          <w:highlight w:val="none"/>
        </w:rPr>
      </w:pPr>
      <w:r>
        <w:rPr>
          <w:color w:val="auto"/>
          <w:highlight w:val="none"/>
        </w:rPr>
        <w:t>（三）属于其他情况的，直接计入当期损益。</w:t>
      </w:r>
    </w:p>
    <w:p>
      <w:pPr>
        <w:pStyle w:val="35"/>
        <w:rPr>
          <w:rFonts w:eastAsiaTheme="minorEastAsia"/>
          <w:color w:val="auto"/>
          <w:highlight w:val="none"/>
        </w:rPr>
      </w:pPr>
    </w:p>
    <w:p>
      <w:pPr>
        <w:pStyle w:val="37"/>
        <w:rPr>
          <w:rFonts w:eastAsiaTheme="minorEastAsia"/>
          <w:color w:val="auto"/>
          <w:highlight w:val="none"/>
        </w:rPr>
      </w:pPr>
      <w:r>
        <w:rPr>
          <w:rFonts w:eastAsiaTheme="minorEastAsia"/>
          <w:color w:val="auto"/>
          <w:highlight w:val="none"/>
        </w:rPr>
        <w:t>递延所得税资产和递延所得税负债</w:t>
      </w:r>
    </w:p>
    <w:p>
      <w:pPr>
        <w:pStyle w:val="38"/>
        <w:rPr>
          <w:color w:val="auto"/>
          <w:kern w:val="0"/>
          <w:highlight w:val="none"/>
        </w:rPr>
      </w:pPr>
      <w:r>
        <w:rPr>
          <w:rFonts w:hint="eastAsia"/>
          <w:color w:val="auto"/>
          <w:kern w:val="0"/>
          <w:highlight w:val="none"/>
        </w:rPr>
        <w:t>所得税包括当期所得税和递延所得税。除因企业合并和直接计入所有者权益</w:t>
      </w:r>
      <w:r>
        <w:rPr>
          <w:color w:val="auto"/>
          <w:kern w:val="0"/>
          <w:highlight w:val="none"/>
        </w:rPr>
        <w:t>(</w:t>
      </w:r>
      <w:r>
        <w:rPr>
          <w:rFonts w:hint="eastAsia"/>
          <w:color w:val="auto"/>
          <w:kern w:val="0"/>
          <w:highlight w:val="none"/>
        </w:rPr>
        <w:t>包括其他综合收益</w:t>
      </w:r>
      <w:r>
        <w:rPr>
          <w:color w:val="auto"/>
          <w:kern w:val="0"/>
          <w:highlight w:val="none"/>
        </w:rPr>
        <w:t>)</w:t>
      </w:r>
      <w:r>
        <w:rPr>
          <w:rFonts w:hint="eastAsia"/>
          <w:color w:val="auto"/>
          <w:kern w:val="0"/>
          <w:highlight w:val="none"/>
        </w:rPr>
        <w:t>的交易或者事项产生的所得税外，本公司将当期所得税和递延所得税计入当期损益。</w:t>
      </w:r>
    </w:p>
    <w:p>
      <w:pPr>
        <w:pStyle w:val="38"/>
        <w:rPr>
          <w:rFonts w:eastAsiaTheme="minorEastAsia"/>
          <w:color w:val="auto"/>
          <w:highlight w:val="none"/>
        </w:rPr>
      </w:pPr>
      <w:r>
        <w:rPr>
          <w:rFonts w:hint="eastAsia"/>
          <w:color w:val="auto"/>
          <w:kern w:val="0"/>
          <w:highlight w:val="none"/>
        </w:rPr>
        <w:t>递延所得税资产和递延所得税负债根据资产和负债的计税基础与其账面价值的差额（暂时性差异）计算确认。</w:t>
      </w:r>
    </w:p>
    <w:p>
      <w:pPr>
        <w:pStyle w:val="38"/>
        <w:rPr>
          <w:rFonts w:eastAsiaTheme="minorEastAsia"/>
          <w:color w:val="auto"/>
          <w:highlight w:val="none"/>
        </w:rPr>
      </w:pPr>
      <w:r>
        <w:rPr>
          <w:rFonts w:hint="eastAsia" w:eastAsiaTheme="minorEastAsia"/>
          <w:color w:val="auto"/>
          <w:highlight w:val="none"/>
        </w:rPr>
        <w:t>对于可抵扣暂时性差异确认递延所得税资产，以未来期间很可能取得的用来抵扣可抵扣暂时性差异的应纳税所得额为限。对于能够结转以后年度的可抵扣亏损和税款抵减，以很可能获得用来抵扣可抵扣亏损和税款抵减的未来应纳税所得额为限，确认相应的递延所得税资产。</w:t>
      </w:r>
    </w:p>
    <w:p>
      <w:pPr>
        <w:pStyle w:val="38"/>
        <w:rPr>
          <w:rFonts w:eastAsiaTheme="minorEastAsia"/>
          <w:color w:val="auto"/>
          <w:highlight w:val="none"/>
        </w:rPr>
      </w:pPr>
      <w:r>
        <w:rPr>
          <w:rFonts w:hint="eastAsia" w:eastAsiaTheme="minorEastAsia"/>
          <w:color w:val="auto"/>
          <w:highlight w:val="none"/>
        </w:rPr>
        <w:t>对于应纳税暂时性差异，除特殊情况外，确认递延所得税负债。</w:t>
      </w:r>
    </w:p>
    <w:p>
      <w:pPr>
        <w:pStyle w:val="38"/>
        <w:rPr>
          <w:rFonts w:eastAsiaTheme="minorEastAsia"/>
          <w:color w:val="auto"/>
          <w:highlight w:val="none"/>
        </w:rPr>
      </w:pPr>
      <w:r>
        <w:rPr>
          <w:rFonts w:hint="eastAsia" w:eastAsiaTheme="minorEastAsia"/>
          <w:color w:val="auto"/>
          <w:highlight w:val="none"/>
        </w:rPr>
        <w:t>不确认递延所得税资产或递延所得税负债的特殊情况包括：</w:t>
      </w:r>
    </w:p>
    <w:p>
      <w:pPr>
        <w:pStyle w:val="38"/>
        <w:numPr>
          <w:ilvl w:val="0"/>
          <w:numId w:val="16"/>
        </w:numPr>
        <w:rPr>
          <w:rFonts w:eastAsiaTheme="minorEastAsia"/>
          <w:color w:val="auto"/>
          <w:highlight w:val="none"/>
        </w:rPr>
      </w:pPr>
      <w:r>
        <w:rPr>
          <w:rFonts w:hint="eastAsia" w:eastAsiaTheme="minorEastAsia"/>
          <w:color w:val="auto"/>
          <w:highlight w:val="none"/>
        </w:rPr>
        <w:t>商誉的初始确认；</w:t>
      </w:r>
    </w:p>
    <w:p>
      <w:pPr>
        <w:pStyle w:val="38"/>
        <w:numPr>
          <w:ilvl w:val="0"/>
          <w:numId w:val="16"/>
        </w:numPr>
        <w:rPr>
          <w:rFonts w:eastAsiaTheme="minorEastAsia"/>
          <w:color w:val="auto"/>
          <w:highlight w:val="none"/>
        </w:rPr>
      </w:pPr>
      <w:r>
        <w:rPr>
          <w:rFonts w:hint="eastAsia" w:eastAsiaTheme="minorEastAsia"/>
          <w:color w:val="auto"/>
          <w:highlight w:val="none"/>
        </w:rPr>
        <w:t>既不是企业合并、发生时也不影响会计利润和应纳税所得额（或可抵扣亏损）的交易或事项。</w:t>
      </w:r>
    </w:p>
    <w:p>
      <w:pPr>
        <w:pStyle w:val="38"/>
        <w:rPr>
          <w:color w:val="auto"/>
          <w:kern w:val="0"/>
          <w:highlight w:val="none"/>
        </w:rPr>
      </w:pPr>
      <w:r>
        <w:rPr>
          <w:rFonts w:hint="eastAsia"/>
          <w:color w:val="auto"/>
          <w:kern w:val="0"/>
          <w:highlight w:val="none"/>
        </w:rPr>
        <w:t>对与</w:t>
      </w:r>
      <w:r>
        <w:rPr>
          <w:rFonts w:hint="eastAsia" w:eastAsiaTheme="minorEastAsia"/>
          <w:color w:val="auto"/>
          <w:highlight w:val="none"/>
        </w:rPr>
        <w:t>子公司、</w:t>
      </w:r>
      <w:r>
        <w:rPr>
          <w:rFonts w:hint="eastAsia"/>
          <w:color w:val="auto"/>
          <w:kern w:val="0"/>
          <w:highlight w:val="none"/>
        </w:rPr>
        <w:t>联营企业及合营企业投资相关的应纳税暂时性差异，确认递延所得税负债，除非本公司能够控制该暂时性差异转回的时间且该暂时性差异在可预见的未来很可能不会转回。对与</w:t>
      </w:r>
      <w:r>
        <w:rPr>
          <w:rFonts w:hint="eastAsia" w:eastAsiaTheme="minorEastAsia"/>
          <w:color w:val="auto"/>
          <w:highlight w:val="none"/>
        </w:rPr>
        <w:t>子公司、</w:t>
      </w:r>
      <w:r>
        <w:rPr>
          <w:rFonts w:hint="eastAsia"/>
          <w:color w:val="auto"/>
          <w:kern w:val="0"/>
          <w:highlight w:val="none"/>
        </w:rPr>
        <w:t>联营企业及合营企业投资相关的可抵扣暂时性差异，当该暂时性差异在可预见的未来很可能转回且未来很可能获得用来抵扣可抵扣暂时性差异的应纳税所得额时，确认递延所得税资产。</w:t>
      </w:r>
    </w:p>
    <w:p>
      <w:pPr>
        <w:pStyle w:val="38"/>
        <w:rPr>
          <w:color w:val="auto"/>
          <w:kern w:val="0"/>
          <w:highlight w:val="none"/>
        </w:rPr>
      </w:pPr>
      <w:r>
        <w:rPr>
          <w:rFonts w:hint="eastAsia"/>
          <w:color w:val="auto"/>
          <w:kern w:val="0"/>
          <w:highlight w:val="none"/>
        </w:rPr>
        <w:t>资产负债表日，对于递延所得税资产和递延所得税负债，根据税法规定，按照预期收回相关资产或清偿相关负债期间的适用税率计量。</w:t>
      </w:r>
    </w:p>
    <w:p>
      <w:pPr>
        <w:pStyle w:val="38"/>
        <w:rPr>
          <w:rFonts w:eastAsiaTheme="minorEastAsia"/>
          <w:color w:val="auto"/>
          <w:highlight w:val="none"/>
        </w:rPr>
      </w:pPr>
      <w:r>
        <w:rPr>
          <w:rFonts w:hint="eastAsia"/>
          <w:color w:val="auto"/>
          <w:kern w:val="0"/>
          <w:highlight w:val="none"/>
        </w:rPr>
        <w:t>资产负债表日，本公司对递延所得税资产的账面价值进行复核。如果未来期间很可能无法获得足够的应纳税所得额用以抵扣递延所得税资产的利益，则减记递延所得税资产的账面价值。在很可能获得足够的应纳税所得额时，减记的金额予以转回。</w:t>
      </w:r>
    </w:p>
    <w:p>
      <w:pPr>
        <w:pStyle w:val="38"/>
        <w:rPr>
          <w:rFonts w:eastAsiaTheme="minorEastAsia"/>
          <w:color w:val="auto"/>
          <w:highlight w:val="none"/>
        </w:rPr>
      </w:pPr>
      <w:r>
        <w:rPr>
          <w:rFonts w:hint="eastAsia" w:eastAsiaTheme="minorEastAsia"/>
          <w:color w:val="auto"/>
          <w:highlight w:val="none"/>
        </w:rPr>
        <w:t>当拥有以净额结算的法定权利，且意图以净额结算或取得资产、清偿负债同时进行时，当期所得税资产及当期所得税负债以抵销后的净额列报。</w:t>
      </w:r>
    </w:p>
    <w:p>
      <w:pPr>
        <w:pStyle w:val="38"/>
        <w:rPr>
          <w:color w:val="auto"/>
          <w:kern w:val="0"/>
          <w:highlight w:val="none"/>
        </w:rPr>
      </w:pPr>
      <w:r>
        <w:rPr>
          <w:rFonts w:hint="eastAsia"/>
          <w:color w:val="auto"/>
          <w:kern w:val="0"/>
          <w:highlight w:val="none"/>
        </w:rPr>
        <w:t>资产负债表日，递延所得税资产及递延所得税负债在同时满足以下条件时以抵销后的净额列示：</w:t>
      </w:r>
    </w:p>
    <w:p>
      <w:pPr>
        <w:pStyle w:val="38"/>
        <w:numPr>
          <w:ilvl w:val="0"/>
          <w:numId w:val="16"/>
        </w:numPr>
        <w:rPr>
          <w:rFonts w:eastAsiaTheme="minorEastAsia"/>
          <w:color w:val="auto"/>
          <w:highlight w:val="none"/>
        </w:rPr>
      </w:pPr>
      <w:r>
        <w:rPr>
          <w:rFonts w:hint="eastAsia" w:eastAsiaTheme="minorEastAsia"/>
          <w:color w:val="auto"/>
          <w:highlight w:val="none"/>
        </w:rPr>
        <w:t>纳税主体拥有以净额结算当期所得税资产及当期所得税负债的法定权利；</w:t>
      </w:r>
    </w:p>
    <w:p>
      <w:pPr>
        <w:pStyle w:val="38"/>
        <w:numPr>
          <w:ilvl w:val="0"/>
          <w:numId w:val="16"/>
        </w:numPr>
        <w:rPr>
          <w:rFonts w:eastAsiaTheme="minorEastAsia"/>
          <w:color w:val="auto"/>
          <w:highlight w:val="none"/>
        </w:rPr>
      </w:pPr>
      <w:r>
        <w:rPr>
          <w:rFonts w:hint="eastAsia"/>
          <w:color w:val="auto"/>
          <w:kern w:val="0"/>
          <w:highlight w:val="none"/>
        </w:rPr>
        <w:t>递延所得税资产及递延所得税负债是与同一税收征管部门对同一纳税主体征收的所得税相关或者是对不同的纳税主体相关，但在未来每一具有重要性的递延所得税资产及负债转回的期间内，涉及的纳税主体意图以净额结算当期所得税资产和负债或是同时取得资产、清偿负债。</w:t>
      </w:r>
    </w:p>
    <w:p>
      <w:pPr>
        <w:pStyle w:val="38"/>
        <w:rPr>
          <w:rFonts w:eastAsiaTheme="minorEastAsia"/>
          <w:color w:val="auto"/>
          <w:highlight w:val="none"/>
        </w:rPr>
      </w:pPr>
    </w:p>
    <w:p>
      <w:pPr>
        <w:pStyle w:val="37"/>
        <w:rPr>
          <w:rFonts w:eastAsiaTheme="minorEastAsia"/>
          <w:color w:val="auto"/>
          <w:highlight w:val="none"/>
        </w:rPr>
      </w:pPr>
      <w:r>
        <w:rPr>
          <w:rFonts w:eastAsiaTheme="minorEastAsia"/>
          <w:color w:val="auto"/>
          <w:highlight w:val="none"/>
        </w:rPr>
        <w:t>租赁</w:t>
      </w:r>
    </w:p>
    <w:p>
      <w:pPr>
        <w:pStyle w:val="38"/>
        <w:rPr>
          <w:color w:val="auto"/>
          <w:highlight w:val="none"/>
        </w:rPr>
      </w:pPr>
      <w:r>
        <w:rPr>
          <w:color w:val="auto"/>
          <w:highlight w:val="none"/>
        </w:rPr>
        <w:t>租赁，是指在一定期间内，出租人将资产的使用权让与承租人以获取对价的合同。在合同开始日，本公司评估合同是否为租赁或者包含租赁。如果合同中一方让渡了在一定期间内控制一项或多项已识别资产使用的权利以换取对价，则该合同为租赁或者包含租赁。</w:t>
      </w:r>
    </w:p>
    <w:p>
      <w:pPr>
        <w:pStyle w:val="38"/>
        <w:rPr>
          <w:color w:val="auto"/>
          <w:highlight w:val="none"/>
        </w:rPr>
      </w:pPr>
      <w:r>
        <w:rPr>
          <w:color w:val="auto"/>
          <w:highlight w:val="none"/>
        </w:rPr>
        <w:t>合同中同时包含多项单独租赁的，</w:t>
      </w:r>
      <w:r>
        <w:rPr>
          <w:rFonts w:hint="eastAsia"/>
          <w:color w:val="auto"/>
          <w:highlight w:val="none"/>
        </w:rPr>
        <w:t>本公司</w:t>
      </w:r>
      <w:r>
        <w:rPr>
          <w:color w:val="auto"/>
          <w:highlight w:val="none"/>
        </w:rPr>
        <w:t>将合同予以分拆，并分别各项单独租赁进行会计处理。合同中同时包含租赁和非租赁部分的，承租人和出租人将租赁和非租赁部分进行分拆。</w:t>
      </w:r>
    </w:p>
    <w:p>
      <w:pPr>
        <w:pStyle w:val="38"/>
        <w:rPr>
          <w:color w:val="auto"/>
          <w:highlight w:val="none"/>
        </w:rPr>
      </w:pPr>
      <w:r>
        <w:rPr>
          <w:rFonts w:hint="eastAsia"/>
          <w:color w:val="auto"/>
          <w:highlight w:val="none"/>
        </w:rPr>
        <w:t>对于由新冠肺炎疫情直接引发的、就现有租赁合同达成的租金减免、延期支付等租金减让，同时满足下列条件的，本公司对所有租赁选择采用简化方法，不评估是否发生租赁变更，也不重新评估租赁分类：</w:t>
      </w:r>
    </w:p>
    <w:p>
      <w:pPr>
        <w:pStyle w:val="38"/>
        <w:numPr>
          <w:ilvl w:val="0"/>
          <w:numId w:val="17"/>
        </w:numPr>
        <w:rPr>
          <w:color w:val="auto"/>
          <w:highlight w:val="none"/>
        </w:rPr>
      </w:pPr>
      <w:r>
        <w:rPr>
          <w:rFonts w:hint="eastAsia"/>
          <w:color w:val="auto"/>
          <w:highlight w:val="none"/>
        </w:rPr>
        <w:t>减让后的租赁对价较减让前减少或基本不变，其中，租赁对价未折现或按减让前折现率折现均可；</w:t>
      </w:r>
    </w:p>
    <w:p>
      <w:pPr>
        <w:pStyle w:val="38"/>
        <w:numPr>
          <w:ilvl w:val="0"/>
          <w:numId w:val="17"/>
        </w:numPr>
        <w:rPr>
          <w:color w:val="auto"/>
          <w:highlight w:val="none"/>
        </w:rPr>
      </w:pPr>
      <w:r>
        <w:rPr>
          <w:rFonts w:hint="eastAsia"/>
          <w:color w:val="auto"/>
          <w:highlight w:val="none"/>
        </w:rPr>
        <w:t>综合考虑定性和定量因素后认定租赁的其他条款和条件无重大变化。</w:t>
      </w:r>
    </w:p>
    <w:p>
      <w:pPr>
        <w:pStyle w:val="38"/>
        <w:rPr>
          <w:color w:val="auto"/>
          <w:highlight w:val="none"/>
        </w:rPr>
      </w:pPr>
    </w:p>
    <w:p>
      <w:pPr>
        <w:pStyle w:val="44"/>
        <w:rPr>
          <w:color w:val="auto"/>
          <w:highlight w:val="none"/>
        </w:rPr>
      </w:pPr>
      <w:r>
        <w:rPr>
          <w:rFonts w:hint="eastAsia"/>
          <w:color w:val="auto"/>
          <w:highlight w:val="none"/>
        </w:rPr>
        <w:t>本公司</w:t>
      </w:r>
      <w:r>
        <w:rPr>
          <w:color w:val="auto"/>
          <w:highlight w:val="none"/>
        </w:rPr>
        <w:t>作为承租人</w:t>
      </w:r>
    </w:p>
    <w:p>
      <w:pPr>
        <w:pStyle w:val="35"/>
        <w:rPr>
          <w:color w:val="auto"/>
          <w:highlight w:val="none"/>
        </w:rPr>
      </w:pPr>
      <w:r>
        <w:rPr>
          <w:color w:val="auto"/>
          <w:highlight w:val="none"/>
        </w:rPr>
        <w:t>（1）使用权资产</w:t>
      </w:r>
    </w:p>
    <w:p>
      <w:pPr>
        <w:pStyle w:val="35"/>
        <w:rPr>
          <w:color w:val="auto"/>
          <w:highlight w:val="none"/>
        </w:rPr>
      </w:pPr>
      <w:r>
        <w:rPr>
          <w:color w:val="auto"/>
          <w:highlight w:val="none"/>
        </w:rPr>
        <w:t>在租赁期开始日，本公司对除短期租赁和低价值资产租赁以外的租赁确认使用权资产。使用权资产按照成本进行初始计量。该成本包括：</w:t>
      </w:r>
    </w:p>
    <w:p>
      <w:pPr>
        <w:pStyle w:val="35"/>
        <w:numPr>
          <w:ilvl w:val="0"/>
          <w:numId w:val="18"/>
        </w:numPr>
        <w:rPr>
          <w:color w:val="auto"/>
          <w:highlight w:val="none"/>
        </w:rPr>
      </w:pPr>
      <w:r>
        <w:rPr>
          <w:color w:val="auto"/>
          <w:highlight w:val="none"/>
        </w:rPr>
        <w:t>租赁负债的初始计量金额；</w:t>
      </w:r>
    </w:p>
    <w:p>
      <w:pPr>
        <w:pStyle w:val="35"/>
        <w:numPr>
          <w:ilvl w:val="0"/>
          <w:numId w:val="18"/>
        </w:numPr>
        <w:rPr>
          <w:color w:val="auto"/>
          <w:highlight w:val="none"/>
        </w:rPr>
      </w:pPr>
      <w:r>
        <w:rPr>
          <w:rFonts w:hint="eastAsia"/>
          <w:color w:val="auto"/>
          <w:highlight w:val="none"/>
        </w:rPr>
        <w:t>在租赁期开始日或之前支付的租赁付款额，存在租赁激励的，扣除已享受的租赁激励相关金额；</w:t>
      </w:r>
    </w:p>
    <w:p>
      <w:pPr>
        <w:pStyle w:val="35"/>
        <w:numPr>
          <w:ilvl w:val="0"/>
          <w:numId w:val="18"/>
        </w:numPr>
        <w:rPr>
          <w:color w:val="auto"/>
          <w:highlight w:val="none"/>
        </w:rPr>
      </w:pPr>
      <w:r>
        <w:rPr>
          <w:rFonts w:hint="eastAsia"/>
          <w:color w:val="auto"/>
          <w:highlight w:val="none"/>
        </w:rPr>
        <w:t>公司发生的初始直接费用；</w:t>
      </w:r>
    </w:p>
    <w:p>
      <w:pPr>
        <w:pStyle w:val="35"/>
        <w:numPr>
          <w:ilvl w:val="0"/>
          <w:numId w:val="18"/>
        </w:numPr>
        <w:rPr>
          <w:color w:val="auto"/>
          <w:highlight w:val="none"/>
        </w:rPr>
      </w:pPr>
      <w:r>
        <w:rPr>
          <w:rFonts w:hint="eastAsia"/>
          <w:color w:val="auto"/>
          <w:highlight w:val="none"/>
        </w:rPr>
        <w:t>公司为拆卸及移除租赁资产、复原租赁资产所在场地或将租赁资产恢复至租赁条款约定状态预计将发生的成本。但不包括属于为生产存货而发生的成本。</w:t>
      </w:r>
    </w:p>
    <w:p>
      <w:pPr>
        <w:pStyle w:val="35"/>
        <w:rPr>
          <w:color w:val="auto"/>
          <w:highlight w:val="none"/>
        </w:rPr>
      </w:pPr>
      <w:r>
        <w:rPr>
          <w:rFonts w:hint="eastAsia"/>
          <w:color w:val="auto"/>
          <w:highlight w:val="none"/>
        </w:rPr>
        <w:t>本公司后续釆用直线法对使用权资产计提折旧。对能够合理确定租赁期届满时取得租赁资产所有权的，本公司在租赁资产剩余使用寿命内计提折旧；否则，租赁资产在租赁期与租赁资产剩余使用寿命两者孰短的期间内计提折旧。</w:t>
      </w:r>
    </w:p>
    <w:p>
      <w:pPr>
        <w:pStyle w:val="35"/>
        <w:rPr>
          <w:color w:val="auto"/>
          <w:highlight w:val="none"/>
        </w:rPr>
      </w:pPr>
    </w:p>
    <w:p>
      <w:pPr>
        <w:pStyle w:val="35"/>
        <w:rPr>
          <w:color w:val="auto"/>
          <w:highlight w:val="none"/>
        </w:rPr>
      </w:pPr>
      <w:r>
        <w:rPr>
          <w:rFonts w:hint="eastAsia"/>
          <w:color w:val="auto"/>
          <w:highlight w:val="none"/>
        </w:rPr>
        <w:t>（</w:t>
      </w:r>
      <w:r>
        <w:rPr>
          <w:color w:val="auto"/>
          <w:highlight w:val="none"/>
        </w:rPr>
        <w:t>2</w:t>
      </w:r>
      <w:r>
        <w:rPr>
          <w:rFonts w:hint="eastAsia"/>
          <w:color w:val="auto"/>
          <w:highlight w:val="none"/>
        </w:rPr>
        <w:t>）租赁负债</w:t>
      </w:r>
    </w:p>
    <w:p>
      <w:pPr>
        <w:pStyle w:val="35"/>
        <w:rPr>
          <w:color w:val="auto"/>
          <w:highlight w:val="none"/>
        </w:rPr>
      </w:pPr>
      <w:r>
        <w:rPr>
          <w:rFonts w:hint="eastAsia"/>
          <w:color w:val="auto"/>
          <w:highlight w:val="none"/>
        </w:rPr>
        <w:t>在租赁期开始日，本公司对除短期租赁和低价值资产租赁以外的租赁确认租赁负债。租赁负债按照尚未支付的租赁付款额的现值进行初始计量。租赁付款额包括：</w:t>
      </w:r>
    </w:p>
    <w:p>
      <w:pPr>
        <w:pStyle w:val="35"/>
        <w:numPr>
          <w:ilvl w:val="0"/>
          <w:numId w:val="19"/>
        </w:numPr>
        <w:rPr>
          <w:color w:val="auto"/>
          <w:highlight w:val="none"/>
        </w:rPr>
      </w:pPr>
      <w:r>
        <w:rPr>
          <w:rFonts w:hint="eastAsia"/>
          <w:color w:val="auto"/>
          <w:highlight w:val="none"/>
        </w:rPr>
        <w:t>固定付款额（包括实质固定付款额），存在租赁激励的，扣除租赁激励相关金额；</w:t>
      </w:r>
    </w:p>
    <w:p>
      <w:pPr>
        <w:pStyle w:val="35"/>
        <w:numPr>
          <w:ilvl w:val="0"/>
          <w:numId w:val="19"/>
        </w:numPr>
        <w:rPr>
          <w:color w:val="auto"/>
          <w:highlight w:val="none"/>
        </w:rPr>
      </w:pPr>
      <w:r>
        <w:rPr>
          <w:rFonts w:hint="eastAsia"/>
          <w:color w:val="auto"/>
          <w:highlight w:val="none"/>
        </w:rPr>
        <w:t>取决于指数或比率的可变租赁付款额；</w:t>
      </w:r>
    </w:p>
    <w:p>
      <w:pPr>
        <w:pStyle w:val="35"/>
        <w:numPr>
          <w:ilvl w:val="0"/>
          <w:numId w:val="19"/>
        </w:numPr>
        <w:rPr>
          <w:color w:val="auto"/>
          <w:highlight w:val="none"/>
        </w:rPr>
      </w:pPr>
      <w:r>
        <w:rPr>
          <w:rFonts w:hint="eastAsia"/>
          <w:color w:val="auto"/>
          <w:highlight w:val="none"/>
        </w:rPr>
        <w:t>根据公司提供的担保余值预计应支付的款项；</w:t>
      </w:r>
    </w:p>
    <w:p>
      <w:pPr>
        <w:pStyle w:val="35"/>
        <w:numPr>
          <w:ilvl w:val="0"/>
          <w:numId w:val="19"/>
        </w:numPr>
        <w:rPr>
          <w:color w:val="auto"/>
          <w:highlight w:val="none"/>
        </w:rPr>
      </w:pPr>
      <w:r>
        <w:rPr>
          <w:rFonts w:hint="eastAsia"/>
          <w:color w:val="auto"/>
          <w:highlight w:val="none"/>
        </w:rPr>
        <w:t>购买选择权的行权价格，前提是公司合理确定将行使该选择权；</w:t>
      </w:r>
    </w:p>
    <w:p>
      <w:pPr>
        <w:pStyle w:val="35"/>
        <w:numPr>
          <w:ilvl w:val="0"/>
          <w:numId w:val="19"/>
        </w:numPr>
        <w:rPr>
          <w:color w:val="auto"/>
          <w:highlight w:val="none"/>
        </w:rPr>
      </w:pPr>
      <w:r>
        <w:rPr>
          <w:rFonts w:hint="eastAsia"/>
          <w:color w:val="auto"/>
          <w:highlight w:val="none"/>
        </w:rPr>
        <w:t>行使终止租赁选择权需支付的款项，前提是租赁期反映出公司将行使终止租赁选择权；</w:t>
      </w:r>
    </w:p>
    <w:p>
      <w:pPr>
        <w:pStyle w:val="35"/>
        <w:rPr>
          <w:color w:val="auto"/>
          <w:highlight w:val="none"/>
        </w:rPr>
      </w:pPr>
      <w:r>
        <w:rPr>
          <w:rFonts w:hint="eastAsia"/>
          <w:color w:val="auto"/>
          <w:highlight w:val="none"/>
        </w:rPr>
        <w:t>本公司采用租赁内含利率作为折现率，但如果无法合理确定租赁内含利率的，则采用本公司的增量借款利率作为折现率。</w:t>
      </w:r>
    </w:p>
    <w:p>
      <w:pPr>
        <w:pStyle w:val="35"/>
        <w:rPr>
          <w:color w:val="auto"/>
          <w:highlight w:val="none"/>
        </w:rPr>
      </w:pPr>
      <w:r>
        <w:rPr>
          <w:rFonts w:hint="eastAsia"/>
          <w:color w:val="auto"/>
          <w:highlight w:val="none"/>
        </w:rPr>
        <w:t>本公司按照固定的周期性利率计算租赁负债在租赁期内各期间的利息费用，并计入当期损益或相关资产成本。</w:t>
      </w:r>
    </w:p>
    <w:p>
      <w:pPr>
        <w:pStyle w:val="35"/>
        <w:rPr>
          <w:color w:val="auto"/>
          <w:highlight w:val="none"/>
        </w:rPr>
      </w:pPr>
      <w:r>
        <w:rPr>
          <w:rFonts w:hint="eastAsia"/>
          <w:color w:val="auto"/>
          <w:highlight w:val="none"/>
        </w:rPr>
        <w:t>未纳入租赁负债计量的可变租赁付款额在实际发生时计入当期损益或相关资产成本。</w:t>
      </w:r>
    </w:p>
    <w:p>
      <w:pPr>
        <w:pStyle w:val="35"/>
        <w:rPr>
          <w:color w:val="auto"/>
          <w:highlight w:val="none"/>
        </w:rPr>
      </w:pPr>
      <w:r>
        <w:rPr>
          <w:rFonts w:hint="eastAsia"/>
          <w:color w:val="auto"/>
          <w:highlight w:val="none"/>
        </w:rPr>
        <w:t>在租赁期开始日后，发生下列情形的，本</w:t>
      </w:r>
      <w:r>
        <w:rPr>
          <w:color w:val="auto"/>
          <w:highlight w:val="none"/>
        </w:rPr>
        <w:t>公司</w:t>
      </w:r>
      <w:r>
        <w:rPr>
          <w:rFonts w:hint="eastAsia"/>
          <w:color w:val="auto"/>
          <w:highlight w:val="none"/>
        </w:rPr>
        <w:t>重新计量租赁负债，并调整相应的使用权资产，若使用权资产的账面价值已调减至零，但租赁负债仍需进一步调减的，将差额计入当期损益：</w:t>
      </w:r>
    </w:p>
    <w:p>
      <w:pPr>
        <w:pStyle w:val="35"/>
        <w:numPr>
          <w:ilvl w:val="0"/>
          <w:numId w:val="20"/>
        </w:numPr>
        <w:rPr>
          <w:color w:val="auto"/>
          <w:highlight w:val="none"/>
        </w:rPr>
      </w:pPr>
      <w:r>
        <w:rPr>
          <w:rFonts w:hint="eastAsia"/>
          <w:color w:val="auto"/>
          <w:highlight w:val="none"/>
        </w:rPr>
        <w:t>当购买选择权、续租选择权或终止选择权的评估结果发生变化，或前述选择权的实际行权情况与原评估结果不一致的，本公司按变动后租赁付款额和修订后的折现率计算的现值重新计量租赁负债；</w:t>
      </w:r>
    </w:p>
    <w:p>
      <w:pPr>
        <w:pStyle w:val="35"/>
        <w:numPr>
          <w:ilvl w:val="0"/>
          <w:numId w:val="20"/>
        </w:numPr>
        <w:rPr>
          <w:color w:val="auto"/>
          <w:highlight w:val="none"/>
        </w:rPr>
      </w:pPr>
      <w:r>
        <w:rPr>
          <w:rFonts w:hint="eastAsia"/>
          <w:color w:val="auto"/>
          <w:highlight w:val="none"/>
        </w:rPr>
        <w:t>当实质固定付款额发生变动、担保余值预计的应付金额发生变动或用于确定租赁付款额的指数或比率发生变动，本公司按照变动后的租赁付款额和原折现率计算的现值重新计量租赁负债。但是，租赁付款额的变动源自浮动利率变动的，使用修订后的折现率计算现值。</w:t>
      </w:r>
    </w:p>
    <w:p>
      <w:pPr>
        <w:pStyle w:val="35"/>
        <w:rPr>
          <w:color w:val="auto"/>
          <w:highlight w:val="none"/>
        </w:rPr>
      </w:pPr>
    </w:p>
    <w:p>
      <w:pPr>
        <w:pStyle w:val="35"/>
        <w:rPr>
          <w:color w:val="auto"/>
          <w:highlight w:val="none"/>
        </w:rPr>
      </w:pPr>
      <w:r>
        <w:rPr>
          <w:rFonts w:hint="eastAsia"/>
          <w:color w:val="auto"/>
          <w:highlight w:val="none"/>
        </w:rPr>
        <w:t>（</w:t>
      </w:r>
      <w:r>
        <w:rPr>
          <w:color w:val="auto"/>
          <w:highlight w:val="none"/>
        </w:rPr>
        <w:t>3</w:t>
      </w:r>
      <w:r>
        <w:rPr>
          <w:rFonts w:hint="eastAsia"/>
          <w:color w:val="auto"/>
          <w:highlight w:val="none"/>
        </w:rPr>
        <w:t>）短期租赁和低价值资产租赁</w:t>
      </w:r>
    </w:p>
    <w:p>
      <w:pPr>
        <w:pStyle w:val="35"/>
        <w:rPr>
          <w:color w:val="auto"/>
          <w:highlight w:val="none"/>
        </w:rPr>
      </w:pPr>
      <w:r>
        <w:rPr>
          <w:rFonts w:hint="eastAsia"/>
          <w:color w:val="auto"/>
          <w:highlight w:val="none"/>
        </w:rPr>
        <w:t>本公司选择对短期租赁和低价值资产租赁不确认使用权资产和租赁负债，并将相关的租赁付款额在租赁期内各个期间按照直线法计入当期损益或相关资产成本。短期租赁，是指在租赁期开始日，租赁期不超过</w:t>
      </w:r>
      <w:r>
        <w:rPr>
          <w:color w:val="auto"/>
          <w:highlight w:val="none"/>
        </w:rPr>
        <w:t>12</w:t>
      </w:r>
      <w:r>
        <w:rPr>
          <w:rFonts w:hint="eastAsia"/>
          <w:color w:val="auto"/>
          <w:highlight w:val="none"/>
        </w:rPr>
        <w:t>个月且不包含购买选择权的租赁。低价值资产租赁，是指单项租赁资产为全新资产时价值较低的租赁。公司转租或预期转租租赁资产的，原租赁不属于低价值资产租赁。</w:t>
      </w:r>
    </w:p>
    <w:p>
      <w:pPr>
        <w:pStyle w:val="35"/>
        <w:rPr>
          <w:color w:val="auto"/>
          <w:highlight w:val="none"/>
        </w:rPr>
      </w:pPr>
    </w:p>
    <w:p>
      <w:pPr>
        <w:pStyle w:val="35"/>
        <w:rPr>
          <w:color w:val="auto"/>
          <w:highlight w:val="none"/>
        </w:rPr>
      </w:pPr>
      <w:r>
        <w:rPr>
          <w:rFonts w:hint="eastAsia"/>
          <w:color w:val="auto"/>
          <w:highlight w:val="none"/>
        </w:rPr>
        <w:t>（</w:t>
      </w:r>
      <w:r>
        <w:rPr>
          <w:color w:val="auto"/>
          <w:highlight w:val="none"/>
        </w:rPr>
        <w:t>4</w:t>
      </w:r>
      <w:r>
        <w:rPr>
          <w:rFonts w:hint="eastAsia"/>
          <w:color w:val="auto"/>
          <w:highlight w:val="none"/>
        </w:rPr>
        <w:t>）租赁变更</w:t>
      </w:r>
    </w:p>
    <w:p>
      <w:pPr>
        <w:pStyle w:val="35"/>
        <w:rPr>
          <w:color w:val="auto"/>
          <w:highlight w:val="none"/>
        </w:rPr>
      </w:pPr>
      <w:r>
        <w:rPr>
          <w:rFonts w:hint="eastAsia"/>
          <w:color w:val="auto"/>
          <w:highlight w:val="none"/>
        </w:rPr>
        <w:t>租赁发生变更且同时符合下列条件的，公司将该租赁变更作为一项单独租赁进行会计处理：</w:t>
      </w:r>
    </w:p>
    <w:p>
      <w:pPr>
        <w:pStyle w:val="35"/>
        <w:numPr>
          <w:ilvl w:val="0"/>
          <w:numId w:val="21"/>
        </w:numPr>
        <w:rPr>
          <w:color w:val="auto"/>
          <w:highlight w:val="none"/>
        </w:rPr>
      </w:pPr>
      <w:r>
        <w:rPr>
          <w:rFonts w:hint="eastAsia"/>
          <w:color w:val="auto"/>
          <w:highlight w:val="none"/>
        </w:rPr>
        <w:t>该租赁变更通过增加一项或多项租赁资产的使用权而扩大了租赁范围；</w:t>
      </w:r>
    </w:p>
    <w:p>
      <w:pPr>
        <w:pStyle w:val="35"/>
        <w:numPr>
          <w:ilvl w:val="0"/>
          <w:numId w:val="21"/>
        </w:numPr>
        <w:rPr>
          <w:color w:val="auto"/>
          <w:highlight w:val="none"/>
        </w:rPr>
      </w:pPr>
      <w:r>
        <w:rPr>
          <w:rFonts w:hint="eastAsia"/>
          <w:color w:val="auto"/>
          <w:highlight w:val="none"/>
        </w:rPr>
        <w:t>增加的对价与租赁范围扩大部分的单独价格按该合同情况调整后的金额相当。</w:t>
      </w:r>
    </w:p>
    <w:p>
      <w:pPr>
        <w:pStyle w:val="35"/>
        <w:rPr>
          <w:color w:val="auto"/>
          <w:highlight w:val="none"/>
        </w:rPr>
      </w:pPr>
      <w:r>
        <w:rPr>
          <w:rFonts w:hint="eastAsia"/>
          <w:color w:val="auto"/>
          <w:highlight w:val="none"/>
        </w:rPr>
        <w:t>租赁变更未作为一项单独租赁进行会计处理的，在租赁变更生效日，公司重新分摊变更后合同的对价，重新确定租赁期，并按照变更后租赁付款额和修订后的折现率计算的现值重新计量租赁负债。</w:t>
      </w:r>
    </w:p>
    <w:p>
      <w:pPr>
        <w:pStyle w:val="35"/>
        <w:rPr>
          <w:color w:val="auto"/>
          <w:highlight w:val="none"/>
        </w:rPr>
      </w:pPr>
      <w:r>
        <w:rPr>
          <w:rFonts w:hint="eastAsia"/>
          <w:color w:val="auto"/>
          <w:highlight w:val="none"/>
        </w:rPr>
        <w:t>租赁变更导致租赁范围缩小或租赁期缩短的，本公司相应调减使用权资产的账面价值，并将部分终止或完全终止租赁的相关利得或损失计入当期损益。其他租赁变更导致租赁负债重新计量的，本公司相应调整使用权资产的账面价值。</w:t>
      </w:r>
    </w:p>
    <w:p>
      <w:pPr>
        <w:pStyle w:val="35"/>
        <w:rPr>
          <w:color w:val="auto"/>
          <w:highlight w:val="none"/>
        </w:rPr>
      </w:pPr>
    </w:p>
    <w:p>
      <w:pPr>
        <w:pStyle w:val="35"/>
        <w:rPr>
          <w:color w:val="auto"/>
          <w:highlight w:val="none"/>
        </w:rPr>
      </w:pPr>
      <w:r>
        <w:rPr>
          <w:rFonts w:hint="eastAsia"/>
          <w:color w:val="auto"/>
          <w:highlight w:val="none"/>
        </w:rPr>
        <w:t>（5）新冠肺炎疫情相关的租金减让</w:t>
      </w:r>
    </w:p>
    <w:p>
      <w:pPr>
        <w:pStyle w:val="35"/>
        <w:rPr>
          <w:color w:val="auto"/>
          <w:highlight w:val="none"/>
        </w:rPr>
      </w:pPr>
      <w:r>
        <w:rPr>
          <w:rFonts w:hint="eastAsia"/>
          <w:color w:val="auto"/>
          <w:highlight w:val="none"/>
        </w:rPr>
        <w:t>对于采用新冠肺炎疫情相关租金减让简化方法的，本公司不评估是否发生租赁变更，继续按照与减让前一致的折现率计算租赁负债的利息费用并计入当期损益，继续按照与减让前一致的方法对使用权资产进行计提折旧。发生租金减免的，本公司将减免的租金作为可变租赁付款额，在达成减让协议等解除原租金支付义务时，按未折现或减让前折现率折现金额冲减相关资产成本或费用，同时相应调整租赁负债；延期支付租金的，本公司在实际支付时冲减前期确认的租赁负债。</w:t>
      </w:r>
    </w:p>
    <w:p>
      <w:pPr>
        <w:pStyle w:val="35"/>
        <w:rPr>
          <w:color w:val="auto"/>
          <w:highlight w:val="none"/>
        </w:rPr>
      </w:pPr>
      <w:r>
        <w:rPr>
          <w:rFonts w:hint="eastAsia"/>
          <w:color w:val="auto"/>
          <w:highlight w:val="none"/>
        </w:rPr>
        <w:t>对于短期租赁和低价值资产租赁，本公司继续按照与减让前一致的方法将原合同租金计入相关资产成本或费用。发生租金减免的，本公司将减免的租金作为可变租赁付款额，在减免期间冲减相关资产成本或费用；延期支付租金的，本公司在原支付期间将应支付的租金确认为应付款项，在实际支付时冲减前期确认的应付款项。</w:t>
      </w:r>
    </w:p>
    <w:p>
      <w:pPr>
        <w:pStyle w:val="35"/>
        <w:rPr>
          <w:color w:val="auto"/>
          <w:highlight w:val="none"/>
        </w:rPr>
      </w:pPr>
    </w:p>
    <w:p>
      <w:pPr>
        <w:pStyle w:val="44"/>
        <w:rPr>
          <w:color w:val="auto"/>
          <w:highlight w:val="none"/>
        </w:rPr>
      </w:pPr>
      <w:r>
        <w:rPr>
          <w:rFonts w:hint="eastAsia"/>
          <w:color w:val="auto"/>
          <w:highlight w:val="none"/>
        </w:rPr>
        <w:t>本公司</w:t>
      </w:r>
      <w:r>
        <w:rPr>
          <w:color w:val="auto"/>
          <w:highlight w:val="none"/>
        </w:rPr>
        <w:t>作为出租人</w:t>
      </w:r>
    </w:p>
    <w:p>
      <w:pPr>
        <w:pStyle w:val="35"/>
        <w:rPr>
          <w:color w:val="auto"/>
          <w:highlight w:val="none"/>
        </w:rPr>
      </w:pPr>
      <w:r>
        <w:rPr>
          <w:color w:val="auto"/>
          <w:highlight w:val="none"/>
        </w:rPr>
        <w:t>在租赁开始日，本公司将租赁分为融资租赁和经营租赁。融资租赁，是指无论所有权最终是否转移，但实质上转移了与租赁资产所有权有关的几乎全部风险和报酬的租赁。经营租赁，是指除融资租赁以外的其他租赁。本公司作为转租出租人时，基于原租赁产生的使用权资产对转租赁进行分类。</w:t>
      </w:r>
    </w:p>
    <w:p>
      <w:pPr>
        <w:pStyle w:val="35"/>
        <w:rPr>
          <w:color w:val="auto"/>
          <w:highlight w:val="none"/>
        </w:rPr>
      </w:pPr>
    </w:p>
    <w:p>
      <w:pPr>
        <w:pStyle w:val="35"/>
        <w:rPr>
          <w:color w:val="auto"/>
          <w:highlight w:val="none"/>
        </w:rPr>
      </w:pPr>
      <w:r>
        <w:rPr>
          <w:color w:val="auto"/>
          <w:highlight w:val="none"/>
        </w:rPr>
        <w:t>（1）经营租赁会计处理</w:t>
      </w:r>
    </w:p>
    <w:p>
      <w:pPr>
        <w:pStyle w:val="35"/>
        <w:rPr>
          <w:color w:val="auto"/>
          <w:highlight w:val="none"/>
        </w:rPr>
      </w:pPr>
      <w:r>
        <w:rPr>
          <w:rFonts w:hint="eastAsia"/>
          <w:color w:val="auto"/>
          <w:highlight w:val="none"/>
        </w:rPr>
        <w:t>经营租赁的租赁收款额在租赁期内各个期间按照直线法确认为租金收入。本公司将发生的与经营租赁有关的初始直接费用予以资本化，在租赁期内按照与租金收入确认相同的基础分摊计入当期损益。未计入租赁收款额的可变租赁付款额在实际发生时计入当期损益。经营租赁发生变更的，公司自变更生效日起将其作为一项新租赁进行会计处理，与变更前租赁有关的预收或应收租赁收款额视为新租赁的收款额。</w:t>
      </w:r>
    </w:p>
    <w:p>
      <w:pPr>
        <w:pStyle w:val="35"/>
        <w:rPr>
          <w:color w:val="auto"/>
          <w:highlight w:val="none"/>
        </w:rPr>
      </w:pPr>
    </w:p>
    <w:p>
      <w:pPr>
        <w:pStyle w:val="35"/>
        <w:rPr>
          <w:color w:val="auto"/>
          <w:highlight w:val="none"/>
        </w:rPr>
      </w:pPr>
      <w:r>
        <w:rPr>
          <w:rFonts w:hint="eastAsia"/>
          <w:color w:val="auto"/>
          <w:highlight w:val="none"/>
        </w:rPr>
        <w:t>（</w:t>
      </w:r>
      <w:r>
        <w:rPr>
          <w:color w:val="auto"/>
          <w:highlight w:val="none"/>
        </w:rPr>
        <w:t>2</w:t>
      </w:r>
      <w:r>
        <w:rPr>
          <w:rFonts w:hint="eastAsia"/>
          <w:color w:val="auto"/>
          <w:highlight w:val="none"/>
        </w:rPr>
        <w:t>）融资租赁会计处理</w:t>
      </w:r>
    </w:p>
    <w:p>
      <w:pPr>
        <w:pStyle w:val="35"/>
        <w:rPr>
          <w:color w:val="auto"/>
          <w:highlight w:val="none"/>
        </w:rPr>
      </w:pPr>
      <w:r>
        <w:rPr>
          <w:rFonts w:hint="eastAsia"/>
          <w:color w:val="auto"/>
          <w:highlight w:val="none"/>
        </w:rPr>
        <w:t>在租赁开始日，本公司对融资租赁确认应收融资租赁款，并终止确认融资租赁资产。本公司对应收融资租赁款进行初始计量时，将租赁投资净额作为应收融资租赁款的入账价值。租赁投资净额为未担保余值和租赁期开始日尚未收到的租赁收款额按照租赁内含利率折现的现值之和。</w:t>
      </w:r>
    </w:p>
    <w:p>
      <w:pPr>
        <w:pStyle w:val="35"/>
        <w:rPr>
          <w:color w:val="auto"/>
          <w:highlight w:val="none"/>
        </w:rPr>
      </w:pPr>
      <w:r>
        <w:rPr>
          <w:rFonts w:hint="eastAsia"/>
          <w:color w:val="auto"/>
          <w:highlight w:val="none"/>
        </w:rPr>
        <w:t>本公司按照固定的周期性利率计算并确认租赁期内各个期间的利息收入。应收融资租赁款的终止确认和减值按照本附注</w:t>
      </w:r>
      <w:r>
        <w:rPr>
          <w:rFonts w:hint="eastAsia" w:ascii="宋体" w:hAnsi="宋体"/>
          <w:color w:val="auto"/>
          <w:highlight w:val="none"/>
        </w:rPr>
        <w:t>“</w:t>
      </w:r>
      <w:r>
        <w:rPr>
          <w:color w:val="auto"/>
          <w:highlight w:val="none"/>
        </w:rPr>
        <w:t>四、（</w:t>
      </w:r>
      <w:r>
        <w:rPr>
          <w:rFonts w:hint="eastAsia"/>
          <w:color w:val="auto"/>
          <w:highlight w:val="none"/>
        </w:rPr>
        <w:t>七</w:t>
      </w:r>
      <w:r>
        <w:rPr>
          <w:color w:val="auto"/>
          <w:highlight w:val="none"/>
        </w:rPr>
        <w:t>）金融工具</w:t>
      </w:r>
      <w:r>
        <w:rPr>
          <w:rFonts w:hint="eastAsia" w:ascii="宋体" w:hAnsi="宋体"/>
          <w:color w:val="auto"/>
          <w:highlight w:val="none"/>
        </w:rPr>
        <w:t>”</w:t>
      </w:r>
      <w:r>
        <w:rPr>
          <w:rFonts w:hint="eastAsia"/>
          <w:color w:val="auto"/>
          <w:highlight w:val="none"/>
        </w:rPr>
        <w:t>进行会计处理</w:t>
      </w:r>
      <w:r>
        <w:rPr>
          <w:color w:val="auto"/>
          <w:highlight w:val="none"/>
        </w:rPr>
        <w:t>。</w:t>
      </w:r>
    </w:p>
    <w:p>
      <w:pPr>
        <w:pStyle w:val="35"/>
        <w:rPr>
          <w:color w:val="auto"/>
          <w:highlight w:val="none"/>
        </w:rPr>
      </w:pPr>
      <w:r>
        <w:rPr>
          <w:color w:val="auto"/>
          <w:highlight w:val="none"/>
        </w:rPr>
        <w:t>未纳入租赁投资净额计量的可变租赁付款额在实际发生时计入当期损益。</w:t>
      </w:r>
    </w:p>
    <w:p>
      <w:pPr>
        <w:pStyle w:val="35"/>
        <w:rPr>
          <w:color w:val="auto"/>
          <w:highlight w:val="none"/>
        </w:rPr>
      </w:pPr>
      <w:r>
        <w:rPr>
          <w:rFonts w:hint="eastAsia"/>
          <w:color w:val="auto"/>
          <w:highlight w:val="none"/>
        </w:rPr>
        <w:t>融资租赁发生变更且同时符合下列条件的，本公司将该变更作为一项单独租赁进行会计处理：</w:t>
      </w:r>
    </w:p>
    <w:p>
      <w:pPr>
        <w:pStyle w:val="35"/>
        <w:numPr>
          <w:ilvl w:val="0"/>
          <w:numId w:val="22"/>
        </w:numPr>
        <w:rPr>
          <w:color w:val="auto"/>
          <w:highlight w:val="none"/>
        </w:rPr>
      </w:pPr>
      <w:r>
        <w:rPr>
          <w:rFonts w:hint="eastAsia"/>
          <w:color w:val="auto"/>
          <w:highlight w:val="none"/>
        </w:rPr>
        <w:t>该变更通过增加一项或多项租赁资产的使用权而扩大了租赁范围；</w:t>
      </w:r>
    </w:p>
    <w:p>
      <w:pPr>
        <w:pStyle w:val="35"/>
        <w:numPr>
          <w:ilvl w:val="0"/>
          <w:numId w:val="22"/>
        </w:numPr>
        <w:rPr>
          <w:color w:val="auto"/>
          <w:highlight w:val="none"/>
        </w:rPr>
      </w:pPr>
      <w:r>
        <w:rPr>
          <w:rFonts w:hint="eastAsia"/>
          <w:color w:val="auto"/>
          <w:highlight w:val="none"/>
        </w:rPr>
        <w:t>增加的对价与租赁范围扩大部分的单独价格按该合同情况调整后的金额相当。</w:t>
      </w:r>
    </w:p>
    <w:p>
      <w:pPr>
        <w:pStyle w:val="35"/>
        <w:rPr>
          <w:color w:val="auto"/>
          <w:highlight w:val="none"/>
        </w:rPr>
      </w:pPr>
      <w:r>
        <w:rPr>
          <w:rFonts w:hint="eastAsia"/>
          <w:color w:val="auto"/>
          <w:highlight w:val="none"/>
        </w:rPr>
        <w:t>融资租赁的变更未作为一项单独租赁进行会计处理的，本公司分别下列情形对变更后的租赁进行处理：</w:t>
      </w:r>
    </w:p>
    <w:p>
      <w:pPr>
        <w:pStyle w:val="35"/>
        <w:numPr>
          <w:ilvl w:val="0"/>
          <w:numId w:val="23"/>
        </w:numPr>
        <w:rPr>
          <w:color w:val="auto"/>
          <w:highlight w:val="none"/>
        </w:rPr>
      </w:pPr>
      <w:r>
        <w:rPr>
          <w:rFonts w:hint="eastAsia"/>
          <w:color w:val="auto"/>
          <w:highlight w:val="none"/>
        </w:rPr>
        <w:t>假如变更在租赁开始日生效，该租赁会被分类为经营租赁的，本公司自租赁变更生效日开始将其作为一项新租赁进行会计处理，并以租赁变更生效日前的租赁投资净额作为租赁资产的账面价值；</w:t>
      </w:r>
    </w:p>
    <w:p>
      <w:pPr>
        <w:pStyle w:val="35"/>
        <w:rPr>
          <w:color w:val="auto"/>
          <w:highlight w:val="none"/>
        </w:rPr>
      </w:pPr>
      <w:r>
        <w:rPr>
          <w:rFonts w:hint="eastAsia"/>
          <w:color w:val="auto"/>
          <w:highlight w:val="none"/>
        </w:rPr>
        <w:t>假如变更在租赁开始日生效，该租赁会被分类为融资租赁的，本公司按照本附注</w:t>
      </w:r>
      <w:r>
        <w:rPr>
          <w:rFonts w:hint="eastAsia" w:ascii="宋体" w:hAnsi="宋体"/>
          <w:color w:val="auto"/>
          <w:highlight w:val="none"/>
        </w:rPr>
        <w:t>“</w:t>
      </w:r>
      <w:r>
        <w:rPr>
          <w:rFonts w:hint="eastAsia"/>
          <w:color w:val="auto"/>
          <w:highlight w:val="none"/>
        </w:rPr>
        <w:t>四、（七）金融工具</w:t>
      </w:r>
      <w:r>
        <w:rPr>
          <w:rFonts w:hint="eastAsia" w:ascii="宋体" w:hAnsi="宋体"/>
          <w:color w:val="auto"/>
          <w:highlight w:val="none"/>
        </w:rPr>
        <w:t>”</w:t>
      </w:r>
      <w:r>
        <w:rPr>
          <w:rFonts w:hint="eastAsia"/>
          <w:color w:val="auto"/>
          <w:highlight w:val="none"/>
        </w:rPr>
        <w:t>关于修改或重新议定合同的政策进行会计处理。</w:t>
      </w:r>
    </w:p>
    <w:p>
      <w:pPr>
        <w:pStyle w:val="35"/>
        <w:rPr>
          <w:color w:val="auto"/>
          <w:highlight w:val="none"/>
        </w:rPr>
      </w:pPr>
    </w:p>
    <w:p>
      <w:pPr>
        <w:pStyle w:val="35"/>
        <w:rPr>
          <w:color w:val="auto"/>
          <w:highlight w:val="none"/>
        </w:rPr>
      </w:pPr>
      <w:r>
        <w:rPr>
          <w:rFonts w:hint="eastAsia"/>
          <w:color w:val="auto"/>
          <w:highlight w:val="none"/>
        </w:rPr>
        <w:t>（</w:t>
      </w:r>
      <w:r>
        <w:rPr>
          <w:color w:val="auto"/>
          <w:highlight w:val="none"/>
        </w:rPr>
        <w:t>3</w:t>
      </w:r>
      <w:r>
        <w:rPr>
          <w:rFonts w:hint="eastAsia"/>
          <w:color w:val="auto"/>
          <w:highlight w:val="none"/>
        </w:rPr>
        <w:t>）新冠肺炎疫情相关的租金减让</w:t>
      </w:r>
    </w:p>
    <w:p>
      <w:pPr>
        <w:pStyle w:val="35"/>
        <w:numPr>
          <w:ilvl w:val="0"/>
          <w:numId w:val="24"/>
        </w:numPr>
        <w:rPr>
          <w:color w:val="auto"/>
          <w:highlight w:val="none"/>
        </w:rPr>
      </w:pPr>
      <w:r>
        <w:rPr>
          <w:rFonts w:hint="eastAsia"/>
          <w:color w:val="auto"/>
          <w:highlight w:val="none"/>
        </w:rPr>
        <w:t>对于采用新冠肺炎疫情相关租金减让简化方法的经营租赁，本公司继续按照与减让前一致的方法将原合同租金确认为租赁收入；发生租金减免的，本公司将减免的租金作为可变租赁付款额，在减免期间冲减租赁收入；延期收取租金的，本公司在原收取期间将应收取的租金确认为应收款项，并在实际收到时冲减前期确认的应收款项。</w:t>
      </w:r>
    </w:p>
    <w:p>
      <w:pPr>
        <w:pStyle w:val="35"/>
        <w:numPr>
          <w:ilvl w:val="0"/>
          <w:numId w:val="24"/>
        </w:numPr>
        <w:rPr>
          <w:color w:val="auto"/>
          <w:highlight w:val="none"/>
        </w:rPr>
      </w:pPr>
      <w:r>
        <w:rPr>
          <w:rFonts w:hint="eastAsia"/>
          <w:color w:val="auto"/>
          <w:highlight w:val="none"/>
        </w:rPr>
        <w:t>对于采用新冠肺炎疫情相关租金减让简化方法的融资租赁，本公司继续按照与减让前一致的折现率计算利息并确认为租赁收入。发生租金减免的，本公司将减免的租金作为可变租赁付款额，在达成减让协议等放弃原租金收取权利时，按未折现或减让前折现率折现金额冲减原确认的租赁收入，不足冲减的部分计入投资收益，同时相应调整应收融资租赁款；延期收取租金的，本公司在实际收到时冲减前期确认的应收融资租赁款。</w:t>
      </w:r>
    </w:p>
    <w:p>
      <w:pPr>
        <w:pStyle w:val="35"/>
        <w:rPr>
          <w:color w:val="auto"/>
          <w:highlight w:val="none"/>
        </w:rPr>
      </w:pPr>
    </w:p>
    <w:p>
      <w:pPr>
        <w:pStyle w:val="44"/>
        <w:rPr>
          <w:color w:val="auto"/>
          <w:highlight w:val="none"/>
        </w:rPr>
      </w:pPr>
      <w:r>
        <w:rPr>
          <w:color w:val="auto"/>
          <w:highlight w:val="none"/>
        </w:rPr>
        <w:t>售后租回交易</w:t>
      </w:r>
    </w:p>
    <w:p>
      <w:pPr>
        <w:pStyle w:val="35"/>
        <w:rPr>
          <w:color w:val="auto"/>
          <w:highlight w:val="none"/>
        </w:rPr>
      </w:pPr>
      <w:r>
        <w:rPr>
          <w:color w:val="auto"/>
          <w:highlight w:val="none"/>
        </w:rPr>
        <w:t>公司按照本附注</w:t>
      </w:r>
      <w:r>
        <w:rPr>
          <w:rFonts w:hint="eastAsia" w:ascii="宋体" w:hAnsi="宋体"/>
          <w:color w:val="auto"/>
          <w:highlight w:val="none"/>
        </w:rPr>
        <w:t>“</w:t>
      </w:r>
      <w:r>
        <w:rPr>
          <w:color w:val="auto"/>
          <w:highlight w:val="none"/>
        </w:rPr>
        <w:t>四、（</w:t>
      </w:r>
      <w:r>
        <w:rPr>
          <w:rFonts w:hint="eastAsia"/>
          <w:color w:val="auto"/>
          <w:highlight w:val="none"/>
        </w:rPr>
        <w:t>二十四</w:t>
      </w:r>
      <w:r>
        <w:rPr>
          <w:color w:val="auto"/>
          <w:highlight w:val="none"/>
        </w:rPr>
        <w:t>）收入</w:t>
      </w:r>
      <w:r>
        <w:rPr>
          <w:rFonts w:hint="eastAsia" w:ascii="宋体" w:hAnsi="宋体"/>
          <w:color w:val="auto"/>
          <w:highlight w:val="none"/>
        </w:rPr>
        <w:t>”</w:t>
      </w:r>
      <w:r>
        <w:rPr>
          <w:color w:val="auto"/>
          <w:highlight w:val="none"/>
        </w:rPr>
        <w:t>所述原则评估确定售后租回交易中的资产转让是否属于销售。</w:t>
      </w:r>
    </w:p>
    <w:p>
      <w:pPr>
        <w:pStyle w:val="35"/>
        <w:rPr>
          <w:color w:val="auto"/>
          <w:highlight w:val="none"/>
        </w:rPr>
      </w:pPr>
      <w:r>
        <w:rPr>
          <w:color w:val="auto"/>
          <w:highlight w:val="none"/>
        </w:rPr>
        <w:t>（1）作为承租人</w:t>
      </w:r>
    </w:p>
    <w:p>
      <w:pPr>
        <w:pStyle w:val="35"/>
        <w:rPr>
          <w:color w:val="auto"/>
          <w:highlight w:val="none"/>
        </w:rPr>
      </w:pPr>
      <w:r>
        <w:rPr>
          <w:color w:val="auto"/>
          <w:highlight w:val="none"/>
        </w:rPr>
        <w:t>售后租回交易中的资产转让属于销售的，公司作为承租人按原资产账面价值</w:t>
      </w:r>
      <w:r>
        <w:rPr>
          <w:rFonts w:hint="eastAsia"/>
          <w:color w:val="auto"/>
          <w:highlight w:val="none"/>
        </w:rPr>
        <w:t>中与租回获得的使用权有关的部分，计量售后租回所形成的使用权资产，并仅就转让至出租人的权利确认相关利得或损失；售后租回交易中的资产转让不属于销售的，公司作为承租人继续确认被转让资产，同时确认一项与转让收入等额的金融负债。金融负债的会计处理详见本附注</w:t>
      </w:r>
      <w:r>
        <w:rPr>
          <w:rFonts w:hint="eastAsia" w:ascii="宋体" w:hAnsi="宋体"/>
          <w:color w:val="auto"/>
          <w:highlight w:val="none"/>
        </w:rPr>
        <w:t>“</w:t>
      </w:r>
      <w:r>
        <w:rPr>
          <w:color w:val="auto"/>
          <w:highlight w:val="none"/>
        </w:rPr>
        <w:t>四、（</w:t>
      </w:r>
      <w:r>
        <w:rPr>
          <w:rFonts w:hint="eastAsia"/>
          <w:color w:val="auto"/>
          <w:highlight w:val="none"/>
        </w:rPr>
        <w:t>七</w:t>
      </w:r>
      <w:r>
        <w:rPr>
          <w:color w:val="auto"/>
          <w:highlight w:val="none"/>
        </w:rPr>
        <w:t>）金融工具</w:t>
      </w:r>
      <w:r>
        <w:rPr>
          <w:rFonts w:hint="eastAsia" w:ascii="宋体" w:hAnsi="宋体"/>
          <w:color w:val="auto"/>
          <w:highlight w:val="none"/>
        </w:rPr>
        <w:t>”</w:t>
      </w:r>
      <w:r>
        <w:rPr>
          <w:color w:val="auto"/>
          <w:highlight w:val="none"/>
        </w:rPr>
        <w:t>。</w:t>
      </w:r>
    </w:p>
    <w:p>
      <w:pPr>
        <w:pStyle w:val="35"/>
        <w:rPr>
          <w:color w:val="auto"/>
          <w:highlight w:val="none"/>
        </w:rPr>
      </w:pPr>
      <w:r>
        <w:rPr>
          <w:color w:val="auto"/>
          <w:highlight w:val="none"/>
        </w:rPr>
        <w:t>（2）作为出租人</w:t>
      </w:r>
    </w:p>
    <w:p>
      <w:pPr>
        <w:pStyle w:val="35"/>
        <w:rPr>
          <w:color w:val="auto"/>
          <w:highlight w:val="none"/>
        </w:rPr>
      </w:pPr>
      <w:r>
        <w:rPr>
          <w:color w:val="auto"/>
          <w:highlight w:val="none"/>
        </w:rPr>
        <w:t>售后租回交易中的资产转让属于销售的，公司作为出租人对资产购买进行会计处理，并根据前述</w:t>
      </w:r>
      <w:r>
        <w:rPr>
          <w:rFonts w:hint="eastAsia" w:ascii="宋体" w:hAnsi="宋体"/>
          <w:color w:val="auto"/>
          <w:highlight w:val="none"/>
        </w:rPr>
        <w:t>“</w:t>
      </w:r>
      <w:r>
        <w:rPr>
          <w:color w:val="auto"/>
          <w:highlight w:val="none"/>
        </w:rPr>
        <w:t>2、本公司作为出租人</w:t>
      </w:r>
      <w:r>
        <w:rPr>
          <w:rFonts w:hint="eastAsia" w:ascii="宋体" w:hAnsi="宋体"/>
          <w:color w:val="auto"/>
          <w:highlight w:val="none"/>
        </w:rPr>
        <w:t>”</w:t>
      </w:r>
      <w:r>
        <w:rPr>
          <w:color w:val="auto"/>
          <w:highlight w:val="none"/>
        </w:rPr>
        <w:t>的政策对资产出租进行会计处理；售后租回交易中的资产转让不属于销售的，公司作为出租人不确认被转让资产，但确认一项与转让收入等额的金融资产。金融资产的会计处理详见本附注</w:t>
      </w:r>
      <w:r>
        <w:rPr>
          <w:rFonts w:hint="eastAsia" w:ascii="宋体" w:hAnsi="宋体"/>
          <w:color w:val="auto"/>
          <w:highlight w:val="none"/>
        </w:rPr>
        <w:t>“</w:t>
      </w:r>
      <w:r>
        <w:rPr>
          <w:color w:val="auto"/>
          <w:highlight w:val="none"/>
        </w:rPr>
        <w:t>四、（</w:t>
      </w:r>
      <w:r>
        <w:rPr>
          <w:rFonts w:hint="eastAsia"/>
          <w:color w:val="auto"/>
          <w:highlight w:val="none"/>
        </w:rPr>
        <w:t>七</w:t>
      </w:r>
      <w:r>
        <w:rPr>
          <w:color w:val="auto"/>
          <w:highlight w:val="none"/>
        </w:rPr>
        <w:t>）金融工具</w:t>
      </w:r>
      <w:r>
        <w:rPr>
          <w:rFonts w:hint="eastAsia" w:ascii="宋体" w:hAnsi="宋体"/>
          <w:color w:val="auto"/>
          <w:highlight w:val="none"/>
        </w:rPr>
        <w:t>”</w:t>
      </w:r>
      <w:r>
        <w:rPr>
          <w:color w:val="auto"/>
          <w:highlight w:val="none"/>
        </w:rPr>
        <w:t>。</w:t>
      </w:r>
    </w:p>
    <w:p>
      <w:pPr>
        <w:pStyle w:val="35"/>
        <w:rPr>
          <w:color w:val="auto"/>
          <w:highlight w:val="none"/>
        </w:rPr>
      </w:pPr>
    </w:p>
    <w:p>
      <w:pPr>
        <w:pStyle w:val="37"/>
        <w:rPr>
          <w:rFonts w:eastAsiaTheme="minorEastAsia"/>
          <w:color w:val="auto"/>
          <w:highlight w:val="none"/>
        </w:rPr>
      </w:pPr>
      <w:r>
        <w:rPr>
          <w:color w:val="auto"/>
          <w:highlight w:val="none"/>
        </w:rPr>
        <w:t>持有待售</w:t>
      </w:r>
    </w:p>
    <w:p>
      <w:pPr>
        <w:tabs>
          <w:tab w:val="left" w:pos="630"/>
        </w:tabs>
        <w:adjustRightInd w:val="0"/>
        <w:snapToGrid w:val="0"/>
        <w:spacing w:line="400" w:lineRule="exact"/>
        <w:ind w:left="718" w:leftChars="342"/>
        <w:rPr>
          <w:rFonts w:eastAsia="宋体"/>
          <w:color w:val="auto"/>
          <w:highlight w:val="none"/>
        </w:rPr>
      </w:pPr>
      <w:r>
        <w:rPr>
          <w:rFonts w:hint="eastAsia"/>
          <w:color w:val="auto"/>
          <w:kern w:val="0"/>
          <w:highlight w:val="none"/>
        </w:rPr>
        <w:t>主要通过出售（包括具有商业实质的非货币性资产交换）而非持续使用一项非流动资产或处置组收回其账面价值的，划分为持有待售类别。</w:t>
      </w:r>
    </w:p>
    <w:p>
      <w:pPr>
        <w:tabs>
          <w:tab w:val="left" w:pos="630"/>
        </w:tabs>
        <w:adjustRightInd w:val="0"/>
        <w:snapToGrid w:val="0"/>
        <w:spacing w:line="400" w:lineRule="exact"/>
        <w:ind w:left="718" w:leftChars="342"/>
        <w:rPr>
          <w:rFonts w:eastAsia="宋体"/>
          <w:color w:val="auto"/>
          <w:highlight w:val="none"/>
        </w:rPr>
      </w:pPr>
      <w:r>
        <w:rPr>
          <w:rFonts w:eastAsia="宋体"/>
          <w:color w:val="auto"/>
          <w:highlight w:val="none"/>
        </w:rPr>
        <w:t>本公司将同时</w:t>
      </w:r>
      <w:r>
        <w:rPr>
          <w:rFonts w:hint="eastAsia" w:eastAsia="宋体"/>
          <w:color w:val="auto"/>
          <w:highlight w:val="none"/>
        </w:rPr>
        <w:t>满足</w:t>
      </w:r>
      <w:r>
        <w:rPr>
          <w:rFonts w:eastAsia="宋体"/>
          <w:color w:val="auto"/>
          <w:highlight w:val="none"/>
        </w:rPr>
        <w:t>下列条件的</w:t>
      </w:r>
      <w:r>
        <w:rPr>
          <w:rFonts w:hint="eastAsia" w:eastAsia="宋体"/>
          <w:color w:val="auto"/>
          <w:highlight w:val="none"/>
        </w:rPr>
        <w:t>非流动资产或处置组划分</w:t>
      </w:r>
      <w:r>
        <w:rPr>
          <w:rFonts w:eastAsia="宋体"/>
          <w:color w:val="auto"/>
          <w:highlight w:val="none"/>
        </w:rPr>
        <w:t>为持有待售</w:t>
      </w:r>
      <w:r>
        <w:rPr>
          <w:rFonts w:hint="eastAsia" w:eastAsia="宋体"/>
          <w:color w:val="auto"/>
          <w:highlight w:val="none"/>
        </w:rPr>
        <w:t>类别</w:t>
      </w:r>
      <w:r>
        <w:rPr>
          <w:rFonts w:eastAsia="宋体"/>
          <w:color w:val="auto"/>
          <w:highlight w:val="none"/>
        </w:rPr>
        <w:t>：</w:t>
      </w:r>
    </w:p>
    <w:p>
      <w:pPr>
        <w:pStyle w:val="38"/>
        <w:rPr>
          <w:color w:val="auto"/>
          <w:highlight w:val="none"/>
        </w:rPr>
      </w:pPr>
      <w:r>
        <w:rPr>
          <w:rFonts w:hint="eastAsia"/>
          <w:color w:val="auto"/>
          <w:highlight w:val="none"/>
        </w:rPr>
        <w:t>（</w:t>
      </w:r>
      <w:r>
        <w:rPr>
          <w:color w:val="auto"/>
          <w:highlight w:val="none"/>
        </w:rPr>
        <w:t>1</w:t>
      </w:r>
      <w:r>
        <w:rPr>
          <w:rFonts w:hint="eastAsia"/>
          <w:color w:val="auto"/>
          <w:highlight w:val="none"/>
        </w:rPr>
        <w:t>）</w:t>
      </w:r>
      <w:r>
        <w:rPr>
          <w:color w:val="auto"/>
          <w:highlight w:val="none"/>
        </w:rPr>
        <w:t>根据类似交易中出售此类资产或处置组的惯例，在当前状况下即可立即出售；</w:t>
      </w:r>
    </w:p>
    <w:p>
      <w:pPr>
        <w:pStyle w:val="38"/>
        <w:rPr>
          <w:color w:val="auto"/>
          <w:highlight w:val="none"/>
        </w:rPr>
      </w:pPr>
      <w:r>
        <w:rPr>
          <w:color w:val="auto"/>
          <w:highlight w:val="none"/>
        </w:rPr>
        <w:t>（2）出售极可能发生，即本公司已经就一项出售计划作出决议且获得确定的购买承诺，预计出售将在一年内完成。有关规定要求本公司相关权力机构或者监管部门批准后方可出售的，已经获得批准。</w:t>
      </w:r>
    </w:p>
    <w:p>
      <w:pPr>
        <w:pStyle w:val="38"/>
        <w:rPr>
          <w:color w:val="auto"/>
          <w:highlight w:val="none"/>
        </w:rPr>
      </w:pPr>
      <w:r>
        <w:rPr>
          <w:rFonts w:hint="eastAsia"/>
          <w:color w:val="auto"/>
          <w:highlight w:val="none"/>
        </w:rPr>
        <w:t>划分为持有待售的非流动资产（不包括金融资产、递延所得税资产、采用公允价值模式进行后续计量的投资性房地产、职工薪酬形成的资产）或处置组，其账面价值高于公允价值减去出售费用后的净额的，</w:t>
      </w:r>
      <w:r>
        <w:rPr>
          <w:color w:val="auto"/>
          <w:highlight w:val="none"/>
        </w:rPr>
        <w:t>应当将</w:t>
      </w:r>
      <w:r>
        <w:rPr>
          <w:rFonts w:hint="eastAsia"/>
          <w:color w:val="auto"/>
          <w:highlight w:val="none"/>
        </w:rPr>
        <w:t>账面价值减记至公允价值减去出售费用后的净额，减记的金额确认为资产减值损失，计入当期损益，同时计提持有待售资产减值准备。</w:t>
      </w:r>
    </w:p>
    <w:p>
      <w:pPr>
        <w:pStyle w:val="38"/>
        <w:rPr>
          <w:rFonts w:eastAsiaTheme="minorEastAsia"/>
          <w:color w:val="auto"/>
          <w:highlight w:val="none"/>
        </w:rPr>
      </w:pPr>
    </w:p>
    <w:p>
      <w:pPr>
        <w:pStyle w:val="37"/>
        <w:rPr>
          <w:color w:val="auto"/>
          <w:highlight w:val="none"/>
        </w:rPr>
      </w:pPr>
      <w:r>
        <w:rPr>
          <w:rFonts w:hint="eastAsia"/>
          <w:color w:val="auto"/>
          <w:highlight w:val="none"/>
        </w:rPr>
        <w:t>公允价值计量</w:t>
      </w:r>
    </w:p>
    <w:p>
      <w:pPr>
        <w:pStyle w:val="38"/>
        <w:rPr>
          <w:color w:val="auto"/>
          <w:highlight w:val="none"/>
        </w:rPr>
      </w:pPr>
      <w:r>
        <w:rPr>
          <w:rFonts w:hint="eastAsia"/>
          <w:color w:val="auto"/>
          <w:highlight w:val="none"/>
        </w:rPr>
        <w:t>本公司以公允价值计量相关资产或负债时，基于如下假设：</w:t>
      </w:r>
    </w:p>
    <w:p>
      <w:pPr>
        <w:pStyle w:val="38"/>
        <w:rPr>
          <w:color w:val="auto"/>
          <w:highlight w:val="none"/>
        </w:rPr>
      </w:pPr>
      <w:r>
        <w:rPr>
          <w:rFonts w:hint="eastAsia"/>
          <w:color w:val="auto"/>
          <w:highlight w:val="none"/>
        </w:rPr>
        <w:t>－</w:t>
      </w:r>
      <w:r>
        <w:rPr>
          <w:rFonts w:hint="eastAsia"/>
          <w:color w:val="auto"/>
          <w:highlight w:val="none"/>
        </w:rPr>
        <w:tab/>
      </w:r>
      <w:r>
        <w:rPr>
          <w:rFonts w:hint="eastAsia"/>
          <w:color w:val="auto"/>
          <w:highlight w:val="none"/>
        </w:rPr>
        <w:t>市场参与者在计量日出售资产或者转移负债的交易，是在当前市场条件下的有序交易；</w:t>
      </w:r>
    </w:p>
    <w:p>
      <w:pPr>
        <w:pStyle w:val="38"/>
        <w:rPr>
          <w:color w:val="auto"/>
          <w:highlight w:val="none"/>
        </w:rPr>
      </w:pPr>
      <w:r>
        <w:rPr>
          <w:rFonts w:hint="eastAsia"/>
          <w:color w:val="auto"/>
          <w:highlight w:val="none"/>
        </w:rPr>
        <w:t>－</w:t>
      </w:r>
      <w:r>
        <w:rPr>
          <w:rFonts w:hint="eastAsia"/>
          <w:color w:val="auto"/>
          <w:highlight w:val="none"/>
        </w:rPr>
        <w:tab/>
      </w:r>
      <w:r>
        <w:rPr>
          <w:rFonts w:hint="eastAsia"/>
          <w:color w:val="auto"/>
          <w:highlight w:val="none"/>
        </w:rPr>
        <w:t>出售资产或者转移负债的有序交易在相关资产或负债的主要市场进行。不存在主要市场的，假定该交易在相关资产或负债的最有利市场进行。</w:t>
      </w:r>
    </w:p>
    <w:p>
      <w:pPr>
        <w:pStyle w:val="38"/>
        <w:rPr>
          <w:color w:val="auto"/>
          <w:highlight w:val="none"/>
        </w:rPr>
      </w:pPr>
      <w:r>
        <w:rPr>
          <w:rFonts w:hint="eastAsia"/>
          <w:color w:val="auto"/>
          <w:highlight w:val="none"/>
        </w:rPr>
        <w:t>－</w:t>
      </w:r>
      <w:r>
        <w:rPr>
          <w:rFonts w:hint="eastAsia"/>
          <w:color w:val="auto"/>
          <w:highlight w:val="none"/>
        </w:rPr>
        <w:tab/>
      </w:r>
      <w:r>
        <w:rPr>
          <w:rFonts w:hint="eastAsia"/>
          <w:color w:val="auto"/>
          <w:highlight w:val="none"/>
        </w:rPr>
        <w:t>采用市场参与者在对该资产或负债定价时为实现其经济利益最大化所使用的假设。</w:t>
      </w:r>
    </w:p>
    <w:p>
      <w:pPr>
        <w:pStyle w:val="38"/>
        <w:rPr>
          <w:color w:val="auto"/>
          <w:highlight w:val="none"/>
        </w:rPr>
      </w:pPr>
      <w:r>
        <w:rPr>
          <w:rFonts w:hint="eastAsia"/>
          <w:color w:val="auto"/>
          <w:highlight w:val="none"/>
        </w:rPr>
        <w:t>本公司将根据交易性质和相关资产或负债的特征等，以其交易价格作为初始确认的公允价值。</w:t>
      </w:r>
    </w:p>
    <w:p>
      <w:pPr>
        <w:pStyle w:val="38"/>
        <w:rPr>
          <w:color w:val="auto"/>
          <w:highlight w:val="none"/>
        </w:rPr>
      </w:pPr>
      <w:r>
        <w:rPr>
          <w:rFonts w:hint="eastAsia"/>
          <w:color w:val="auto"/>
          <w:highlight w:val="none"/>
        </w:rPr>
        <w:t>其他相关会计准则要求或者允许公司以公允价值对相关资产或负债进行初始计量，且其交易价格与公允价值不相等的，公司将相关利得或损失计入当期损益，但其他相关会计准则另有规定的除外。</w:t>
      </w:r>
    </w:p>
    <w:p>
      <w:pPr>
        <w:pStyle w:val="38"/>
        <w:rPr>
          <w:color w:val="auto"/>
          <w:highlight w:val="none"/>
        </w:rPr>
      </w:pPr>
      <w:r>
        <w:rPr>
          <w:rFonts w:hint="eastAsia"/>
          <w:color w:val="auto"/>
          <w:highlight w:val="none"/>
        </w:rPr>
        <w:t>以公允价值计量非金融资产时，考虑市场参与者将该资产用于最佳用途产生经济利益的能力，或者将该资产出售给能够用于最佳用途的其他市场参与者产生经济利益的能力。</w:t>
      </w:r>
    </w:p>
    <w:p>
      <w:pPr>
        <w:pStyle w:val="38"/>
        <w:rPr>
          <w:color w:val="auto"/>
          <w:highlight w:val="none"/>
        </w:rPr>
      </w:pPr>
      <w:r>
        <w:rPr>
          <w:rFonts w:hint="eastAsia"/>
          <w:color w:val="auto"/>
          <w:highlight w:val="none"/>
        </w:rPr>
        <w:t>本公司采用估值技术时考虑了在当前情况下适用并且有足够可利用数据和其他信息支持的估值技术。估值技术的输入值优先使用相关可观察输入值，只有在相关可观察输入值无法取得或取得不切实可行的情况下，才可以使用不可观察输入值。</w:t>
      </w:r>
    </w:p>
    <w:p>
      <w:pPr>
        <w:pStyle w:val="38"/>
        <w:rPr>
          <w:color w:val="auto"/>
          <w:highlight w:val="none"/>
        </w:rPr>
      </w:pPr>
      <w:r>
        <w:rPr>
          <w:rFonts w:hint="eastAsia"/>
          <w:color w:val="auto"/>
          <w:highlight w:val="none"/>
        </w:rPr>
        <w:t>公允价值计量所使用的输入值划分为三个层次：</w:t>
      </w:r>
    </w:p>
    <w:p>
      <w:pPr>
        <w:pStyle w:val="38"/>
        <w:rPr>
          <w:color w:val="auto"/>
          <w:highlight w:val="none"/>
        </w:rPr>
      </w:pPr>
      <w:r>
        <w:rPr>
          <w:rFonts w:hint="eastAsia"/>
          <w:color w:val="auto"/>
          <w:highlight w:val="none"/>
        </w:rPr>
        <w:t>－</w:t>
      </w:r>
      <w:r>
        <w:rPr>
          <w:rFonts w:hint="eastAsia"/>
          <w:color w:val="auto"/>
          <w:highlight w:val="none"/>
        </w:rPr>
        <w:tab/>
      </w:r>
      <w:r>
        <w:rPr>
          <w:rFonts w:hint="eastAsia"/>
          <w:color w:val="auto"/>
          <w:highlight w:val="none"/>
        </w:rPr>
        <w:t>第一层次输入值是在计量日能够取得的相同资产或负债在活跃市场上未经调整的报价。</w:t>
      </w:r>
    </w:p>
    <w:p>
      <w:pPr>
        <w:pStyle w:val="38"/>
        <w:rPr>
          <w:color w:val="auto"/>
          <w:highlight w:val="none"/>
        </w:rPr>
      </w:pPr>
      <w:r>
        <w:rPr>
          <w:rFonts w:hint="eastAsia"/>
          <w:color w:val="auto"/>
          <w:highlight w:val="none"/>
        </w:rPr>
        <w:t>－</w:t>
      </w:r>
      <w:r>
        <w:rPr>
          <w:rFonts w:hint="eastAsia"/>
          <w:color w:val="auto"/>
          <w:highlight w:val="none"/>
        </w:rPr>
        <w:tab/>
      </w:r>
      <w:r>
        <w:rPr>
          <w:rFonts w:hint="eastAsia"/>
          <w:color w:val="auto"/>
          <w:highlight w:val="none"/>
        </w:rPr>
        <w:t>第二层次输入值是除第一层次输入值外相关资产或负债直接或间接可观察的输入值。</w:t>
      </w:r>
    </w:p>
    <w:p>
      <w:pPr>
        <w:pStyle w:val="38"/>
        <w:rPr>
          <w:color w:val="auto"/>
          <w:highlight w:val="none"/>
        </w:rPr>
      </w:pPr>
      <w:r>
        <w:rPr>
          <w:rFonts w:hint="eastAsia"/>
          <w:color w:val="auto"/>
          <w:highlight w:val="none"/>
        </w:rPr>
        <w:t>－</w:t>
      </w:r>
      <w:r>
        <w:rPr>
          <w:rFonts w:hint="eastAsia"/>
          <w:color w:val="auto"/>
          <w:highlight w:val="none"/>
        </w:rPr>
        <w:tab/>
      </w:r>
      <w:r>
        <w:rPr>
          <w:rFonts w:hint="eastAsia"/>
          <w:color w:val="auto"/>
          <w:highlight w:val="none"/>
        </w:rPr>
        <w:t>第三层次输入值是相关资产或负债的不可观察输入值。</w:t>
      </w:r>
    </w:p>
    <w:p>
      <w:pPr>
        <w:pStyle w:val="38"/>
        <w:rPr>
          <w:color w:val="auto"/>
          <w:highlight w:val="none"/>
        </w:rPr>
      </w:pPr>
      <w:r>
        <w:rPr>
          <w:rFonts w:hint="eastAsia"/>
          <w:color w:val="auto"/>
          <w:highlight w:val="none"/>
        </w:rPr>
        <w:t>公允价值计量结果所属的层次，由对公允价值计量整体而言具有重要意义的输入值所属的最低层次决定。</w:t>
      </w:r>
    </w:p>
    <w:p>
      <w:pPr>
        <w:pStyle w:val="38"/>
        <w:rPr>
          <w:color w:val="auto"/>
          <w:highlight w:val="none"/>
        </w:rPr>
      </w:pPr>
    </w:p>
    <w:p>
      <w:pPr>
        <w:pStyle w:val="37"/>
        <w:rPr>
          <w:color w:val="auto"/>
          <w:highlight w:val="none"/>
        </w:rPr>
      </w:pPr>
      <w:r>
        <w:rPr>
          <w:color w:val="auto"/>
          <w:highlight w:val="none"/>
        </w:rPr>
        <w:t>安全生产费用及维简费</w:t>
      </w:r>
    </w:p>
    <w:p>
      <w:pPr>
        <w:pStyle w:val="38"/>
        <w:rPr>
          <w:color w:val="auto"/>
          <w:highlight w:val="none"/>
        </w:rPr>
      </w:pPr>
      <w:r>
        <w:rPr>
          <w:rFonts w:hint="eastAsia"/>
          <w:color w:val="auto"/>
          <w:highlight w:val="none"/>
        </w:rPr>
        <w:t>本公司根据财政部《关于印发〈企业安全生产费用提取和使用管理办法〉的通知》（财资</w:t>
      </w:r>
      <w:r>
        <w:rPr>
          <w:color w:val="auto"/>
          <w:highlight w:val="none"/>
        </w:rPr>
        <w:t>〔2022〕</w:t>
      </w:r>
      <w:r>
        <w:rPr>
          <w:rFonts w:hint="eastAsia"/>
          <w:color w:val="auto"/>
          <w:highlight w:val="none"/>
        </w:rPr>
        <w:t>1</w:t>
      </w:r>
      <w:r>
        <w:rPr>
          <w:color w:val="auto"/>
          <w:highlight w:val="none"/>
        </w:rPr>
        <w:t>3</w:t>
      </w:r>
      <w:r>
        <w:rPr>
          <w:rFonts w:hint="eastAsia"/>
          <w:color w:val="auto"/>
          <w:highlight w:val="none"/>
        </w:rPr>
        <w:t>6号）的有关规定，按适用标准提取安全生产费用，按适用标准提取维简费。</w:t>
      </w:r>
    </w:p>
    <w:p>
      <w:pPr>
        <w:pStyle w:val="38"/>
        <w:rPr>
          <w:color w:val="auto"/>
          <w:highlight w:val="none"/>
        </w:rPr>
      </w:pPr>
      <w:r>
        <w:rPr>
          <w:rFonts w:hint="eastAsia"/>
          <w:color w:val="auto"/>
          <w:highlight w:val="none"/>
        </w:rPr>
        <w:t>安全生产费用及维简费于提取时，计入相关产品的成本或当期损益，同时计入</w:t>
      </w:r>
      <w:r>
        <w:rPr>
          <w:rFonts w:hint="eastAsia" w:ascii="宋体" w:hAnsi="宋体"/>
          <w:color w:val="auto"/>
          <w:highlight w:val="none"/>
        </w:rPr>
        <w:t>“</w:t>
      </w:r>
      <w:r>
        <w:rPr>
          <w:rFonts w:hint="eastAsia"/>
          <w:color w:val="auto"/>
          <w:highlight w:val="none"/>
        </w:rPr>
        <w:t>专项储备</w:t>
      </w:r>
      <w:r>
        <w:rPr>
          <w:rFonts w:hint="eastAsia" w:ascii="宋体" w:hAnsi="宋体"/>
          <w:color w:val="auto"/>
          <w:highlight w:val="none"/>
        </w:rPr>
        <w:t>”</w:t>
      </w:r>
      <w:r>
        <w:rPr>
          <w:rFonts w:hint="eastAsia"/>
          <w:color w:val="auto"/>
          <w:highlight w:val="none"/>
        </w:rPr>
        <w:t>科目。</w:t>
      </w:r>
    </w:p>
    <w:p>
      <w:pPr>
        <w:pStyle w:val="38"/>
        <w:rPr>
          <w:color w:val="auto"/>
          <w:highlight w:val="none"/>
        </w:rPr>
      </w:pPr>
      <w:r>
        <w:rPr>
          <w:rFonts w:hint="eastAsia"/>
          <w:color w:val="auto"/>
          <w:highlight w:val="none"/>
        </w:rPr>
        <w:t>提取的安全生产费及维简费按规定范围使用时，属于费用性支出的，直接冲减专项储备；形成固定资产的，通过</w:t>
      </w:r>
      <w:r>
        <w:rPr>
          <w:rFonts w:hint="eastAsia" w:ascii="宋体" w:hAnsi="宋体"/>
          <w:color w:val="auto"/>
          <w:highlight w:val="none"/>
        </w:rPr>
        <w:t>“</w:t>
      </w:r>
      <w:r>
        <w:rPr>
          <w:rFonts w:hint="eastAsia"/>
          <w:color w:val="auto"/>
          <w:highlight w:val="none"/>
        </w:rPr>
        <w:t>在建工程</w:t>
      </w:r>
      <w:r>
        <w:rPr>
          <w:rFonts w:hint="eastAsia" w:ascii="宋体" w:hAnsi="宋体"/>
          <w:color w:val="auto"/>
          <w:highlight w:val="none"/>
        </w:rPr>
        <w:t>”</w:t>
      </w:r>
      <w:r>
        <w:rPr>
          <w:rFonts w:hint="eastAsia"/>
          <w:color w:val="auto"/>
          <w:highlight w:val="none"/>
        </w:rPr>
        <w:t>科目归集所发生的支出，待安全项目完工达到预定可使用状态时确认为固定资产；同时，按照形成固定资产的成本冲减专项储备，并确认相同金额的累计折旧。该固定资产在以后期间不再计提折旧。</w:t>
      </w:r>
    </w:p>
    <w:p>
      <w:pPr>
        <w:pStyle w:val="38"/>
        <w:rPr>
          <w:color w:val="auto"/>
          <w:highlight w:val="none"/>
        </w:rPr>
      </w:pPr>
    </w:p>
    <w:p>
      <w:pPr>
        <w:pStyle w:val="37"/>
        <w:rPr>
          <w:rFonts w:eastAsiaTheme="minorEastAsia"/>
          <w:color w:val="auto"/>
          <w:highlight w:val="none"/>
        </w:rPr>
      </w:pPr>
      <w:r>
        <w:rPr>
          <w:color w:val="auto"/>
          <w:highlight w:val="none"/>
        </w:rPr>
        <w:t>其他</w:t>
      </w:r>
      <w:r>
        <w:rPr>
          <w:rFonts w:hint="eastAsia"/>
          <w:color w:val="auto"/>
          <w:highlight w:val="none"/>
        </w:rPr>
        <w:t>重</w:t>
      </w:r>
      <w:r>
        <w:rPr>
          <w:color w:val="auto"/>
          <w:highlight w:val="none"/>
        </w:rPr>
        <w:t>要会计政策</w:t>
      </w:r>
      <w:r>
        <w:rPr>
          <w:rFonts w:hint="eastAsia"/>
          <w:color w:val="auto"/>
          <w:highlight w:val="none"/>
        </w:rPr>
        <w:t>和</w:t>
      </w:r>
      <w:r>
        <w:rPr>
          <w:color w:val="auto"/>
          <w:highlight w:val="none"/>
        </w:rPr>
        <w:t>会计估计</w:t>
      </w:r>
    </w:p>
    <w:p>
      <w:pPr>
        <w:pStyle w:val="44"/>
        <w:jc w:val="left"/>
        <w:rPr>
          <w:color w:val="auto"/>
          <w:highlight w:val="none"/>
        </w:rPr>
      </w:pPr>
      <w:r>
        <w:rPr>
          <w:rFonts w:hint="eastAsia"/>
          <w:color w:val="auto"/>
          <w:highlight w:val="none"/>
        </w:rPr>
        <w:t>国有独资或全资企业之间无偿划拨子公司（适用于划入企业）</w:t>
      </w:r>
    </w:p>
    <w:p>
      <w:pPr>
        <w:pStyle w:val="35"/>
        <w:rPr>
          <w:color w:val="auto"/>
          <w:highlight w:val="none"/>
        </w:rPr>
      </w:pPr>
      <w:r>
        <w:rPr>
          <w:rFonts w:hint="eastAsia"/>
          <w:color w:val="auto"/>
          <w:highlight w:val="none"/>
        </w:rPr>
        <w:t>在</w:t>
      </w:r>
      <w:r>
        <w:rPr>
          <w:rFonts w:hint="eastAsia" w:ascii="宋体" w:hAnsi="宋体"/>
          <w:color w:val="auto"/>
          <w:highlight w:val="none"/>
        </w:rPr>
        <w:t>“</w:t>
      </w:r>
      <w:r>
        <w:rPr>
          <w:rFonts w:hint="eastAsia"/>
          <w:color w:val="auto"/>
          <w:highlight w:val="none"/>
        </w:rPr>
        <w:t>三去一降一补</w:t>
      </w:r>
      <w:r>
        <w:rPr>
          <w:rFonts w:hint="eastAsia" w:ascii="宋体" w:hAnsi="宋体"/>
          <w:color w:val="auto"/>
          <w:highlight w:val="none"/>
        </w:rPr>
        <w:t>”</w:t>
      </w:r>
      <w:r>
        <w:rPr>
          <w:rFonts w:hint="eastAsia"/>
          <w:color w:val="auto"/>
          <w:highlight w:val="none"/>
        </w:rPr>
        <w:t>工作中，按照国有资产监管部门有关规定，本公司无偿取得子公司股权，本公司与划出企业均为国有独资（或全资）企业。</w:t>
      </w:r>
    </w:p>
    <w:p>
      <w:pPr>
        <w:pStyle w:val="35"/>
        <w:tabs>
          <w:tab w:val="clear" w:pos="0"/>
        </w:tabs>
        <w:ind w:left="708" w:leftChars="337"/>
        <w:rPr>
          <w:color w:val="auto"/>
          <w:highlight w:val="none"/>
        </w:rPr>
      </w:pPr>
      <w:r>
        <w:rPr>
          <w:rFonts w:hint="eastAsia"/>
          <w:color w:val="auto"/>
          <w:highlight w:val="none"/>
        </w:rPr>
        <w:t>（1）个别财务报表</w:t>
      </w:r>
    </w:p>
    <w:p>
      <w:pPr>
        <w:pStyle w:val="35"/>
        <w:rPr>
          <w:color w:val="auto"/>
          <w:highlight w:val="none"/>
        </w:rPr>
      </w:pPr>
      <w:r>
        <w:rPr>
          <w:rFonts w:hint="eastAsia"/>
          <w:color w:val="auto"/>
          <w:highlight w:val="none"/>
        </w:rPr>
        <w:t>本公司在取得被划拨企业的控制权之日，根据国资监管部门批复的有关金额确认对被划拨企业的长期股权投资，同时调整资本公积（资本溢价）。</w:t>
      </w:r>
    </w:p>
    <w:p>
      <w:pPr>
        <w:pStyle w:val="35"/>
        <w:tabs>
          <w:tab w:val="clear" w:pos="0"/>
        </w:tabs>
        <w:ind w:left="708" w:leftChars="337"/>
        <w:rPr>
          <w:color w:val="auto"/>
          <w:highlight w:val="none"/>
        </w:rPr>
      </w:pPr>
      <w:r>
        <w:rPr>
          <w:rFonts w:hint="eastAsia"/>
          <w:color w:val="auto"/>
          <w:highlight w:val="none"/>
        </w:rPr>
        <w:t>（2）合并财务报表</w:t>
      </w:r>
    </w:p>
    <w:p>
      <w:pPr>
        <w:pStyle w:val="35"/>
        <w:rPr>
          <w:color w:val="auto"/>
          <w:highlight w:val="none"/>
        </w:rPr>
      </w:pPr>
      <w:r>
        <w:rPr>
          <w:rFonts w:hint="eastAsia"/>
          <w:color w:val="auto"/>
          <w:highlight w:val="none"/>
        </w:rPr>
        <w:t>本公司在取得被划拨企业的控制权后将被划拨企业纳入合并财务报表。</w:t>
      </w:r>
    </w:p>
    <w:p>
      <w:pPr>
        <w:pStyle w:val="35"/>
        <w:rPr>
          <w:color w:val="auto"/>
          <w:highlight w:val="none"/>
        </w:rPr>
      </w:pPr>
      <w:r>
        <w:rPr>
          <w:rFonts w:hint="eastAsia"/>
          <w:color w:val="auto"/>
          <w:highlight w:val="none"/>
        </w:rPr>
        <w:t>被划入企业的各项资产、负债，以经审计等确定并经国资监管部门批复的账面价值持续计算至控制日的金额，计入划入企业的合并资产负债表，同时调整资本公积（资本溢价）。对于被划拨企业自国资监管部门批复的基准日至控制权转移日实现的留存收益，以本公司资本公积（资本溢价）贷方余额为限，自资本公积转入留存收益。</w:t>
      </w:r>
    </w:p>
    <w:p>
      <w:pPr>
        <w:pStyle w:val="35"/>
        <w:rPr>
          <w:color w:val="auto"/>
          <w:highlight w:val="none"/>
        </w:rPr>
      </w:pPr>
      <w:r>
        <w:rPr>
          <w:rFonts w:hint="eastAsia"/>
          <w:color w:val="auto"/>
          <w:highlight w:val="none"/>
        </w:rPr>
        <w:t>本公司取得被划拨企业控制权当期的合并利润表、合并现金流量表及合并所有者权益变动表反映被划拨企业自国资监管部门批复的基准日至控制权转移当期期末发生的净利润、现金流量及所有者权益变动金额。</w:t>
      </w:r>
    </w:p>
    <w:p>
      <w:pPr>
        <w:pStyle w:val="38"/>
        <w:rPr>
          <w:color w:val="auto"/>
          <w:highlight w:val="none"/>
        </w:rPr>
      </w:pPr>
    </w:p>
    <w:p>
      <w:pPr>
        <w:pStyle w:val="44"/>
        <w:jc w:val="left"/>
        <w:rPr>
          <w:color w:val="auto"/>
          <w:highlight w:val="none"/>
        </w:rPr>
      </w:pPr>
      <w:r>
        <w:rPr>
          <w:rFonts w:hint="eastAsia"/>
          <w:color w:val="auto"/>
          <w:highlight w:val="none"/>
        </w:rPr>
        <w:t>国有独资或全资企业之间无偿划拨子公司（适用于划出企业）</w:t>
      </w:r>
    </w:p>
    <w:p>
      <w:pPr>
        <w:pStyle w:val="35"/>
        <w:rPr>
          <w:color w:val="auto"/>
          <w:highlight w:val="none"/>
        </w:rPr>
      </w:pPr>
      <w:r>
        <w:rPr>
          <w:rFonts w:hint="eastAsia"/>
          <w:color w:val="auto"/>
          <w:highlight w:val="none"/>
        </w:rPr>
        <w:t>在</w:t>
      </w:r>
      <w:r>
        <w:rPr>
          <w:rFonts w:hint="eastAsia" w:ascii="宋体" w:hAnsi="宋体"/>
          <w:color w:val="auto"/>
          <w:highlight w:val="none"/>
        </w:rPr>
        <w:t>“</w:t>
      </w:r>
      <w:r>
        <w:rPr>
          <w:rFonts w:hint="eastAsia"/>
          <w:color w:val="auto"/>
          <w:highlight w:val="none"/>
        </w:rPr>
        <w:t>三去一降一补</w:t>
      </w:r>
      <w:r>
        <w:rPr>
          <w:rFonts w:hint="eastAsia" w:ascii="宋体" w:hAnsi="宋体"/>
          <w:color w:val="auto"/>
          <w:highlight w:val="none"/>
        </w:rPr>
        <w:t>”</w:t>
      </w:r>
      <w:r>
        <w:rPr>
          <w:rFonts w:hint="eastAsia"/>
          <w:color w:val="auto"/>
          <w:highlight w:val="none"/>
        </w:rPr>
        <w:t>工作中，根据国有资产监管部门的有关规定，本公司将原子公司股权无偿划出，本公司与划入企业均为国有独资（或全资）企业。</w:t>
      </w:r>
    </w:p>
    <w:p>
      <w:pPr>
        <w:pStyle w:val="35"/>
        <w:tabs>
          <w:tab w:val="clear" w:pos="0"/>
        </w:tabs>
        <w:ind w:left="708" w:leftChars="337"/>
        <w:rPr>
          <w:color w:val="auto"/>
          <w:highlight w:val="none"/>
        </w:rPr>
      </w:pPr>
      <w:r>
        <w:rPr>
          <w:rFonts w:hint="eastAsia"/>
          <w:color w:val="auto"/>
          <w:highlight w:val="none"/>
        </w:rPr>
        <w:t>（1）个别财务报表</w:t>
      </w:r>
    </w:p>
    <w:p>
      <w:pPr>
        <w:pStyle w:val="35"/>
        <w:rPr>
          <w:color w:val="auto"/>
          <w:highlight w:val="none"/>
        </w:rPr>
      </w:pPr>
      <w:r>
        <w:rPr>
          <w:rFonts w:hint="eastAsia"/>
          <w:color w:val="auto"/>
          <w:highlight w:val="none"/>
        </w:rPr>
        <w:t>本公司自丧失被划拨企业控制权之日起，终止确认对被划拨企业的长期股权投资。同时，冲减资本公积（资本溢价），资本公积（资本溢价）不足冲减的，依次冲减盈余公积和未分配利润。</w:t>
      </w:r>
    </w:p>
    <w:p>
      <w:pPr>
        <w:pStyle w:val="35"/>
        <w:tabs>
          <w:tab w:val="clear" w:pos="0"/>
        </w:tabs>
        <w:ind w:left="708" w:leftChars="337"/>
        <w:rPr>
          <w:color w:val="auto"/>
          <w:highlight w:val="none"/>
        </w:rPr>
      </w:pPr>
      <w:r>
        <w:rPr>
          <w:rFonts w:hint="eastAsia"/>
          <w:color w:val="auto"/>
          <w:highlight w:val="none"/>
        </w:rPr>
        <w:t>（2）合并财务报表</w:t>
      </w:r>
    </w:p>
    <w:p>
      <w:pPr>
        <w:pStyle w:val="35"/>
        <w:rPr>
          <w:color w:val="auto"/>
          <w:highlight w:val="none"/>
        </w:rPr>
      </w:pPr>
      <w:r>
        <w:rPr>
          <w:rFonts w:hint="eastAsia"/>
          <w:color w:val="auto"/>
          <w:highlight w:val="none"/>
        </w:rPr>
        <w:t>本公司自丧失被划拨企业控制权之日起，终止确认原在合并财务报表中反映的被划拨企业相关资产、负债、少数股东权益以及其他权益项目，相关差额冲减资本公积（资本溢价），资本公积（资本溢价）不足冲减的，依次冲减盈余公积和未分配利润。同时，本公司与被划拨企业之间在控制权转移之前发生的未实现内部损益，转入资本公积（资本溢价），资本公积（资本溢价）不足冲减的，依次冲减盈余公积和未分配利润。</w:t>
      </w:r>
    </w:p>
    <w:p>
      <w:pPr>
        <w:pStyle w:val="35"/>
        <w:rPr>
          <w:color w:val="auto"/>
          <w:highlight w:val="none"/>
        </w:rPr>
      </w:pPr>
    </w:p>
    <w:p>
      <w:pPr>
        <w:pStyle w:val="43"/>
        <w:rPr>
          <w:color w:val="auto"/>
          <w:highlight w:val="none"/>
        </w:rPr>
      </w:pPr>
      <w:r>
        <w:rPr>
          <w:color w:val="auto"/>
          <w:highlight w:val="none"/>
        </w:rPr>
        <w:t>会计政策和会计估计变更以及差错更正</w:t>
      </w:r>
      <w:r>
        <w:rPr>
          <w:rFonts w:hint="eastAsia"/>
          <w:color w:val="auto"/>
          <w:highlight w:val="none"/>
        </w:rPr>
        <w:t>、其他调整</w:t>
      </w:r>
      <w:r>
        <w:rPr>
          <w:color w:val="auto"/>
          <w:highlight w:val="none"/>
        </w:rPr>
        <w:t>的说明</w:t>
      </w:r>
    </w:p>
    <w:p>
      <w:pPr>
        <w:pStyle w:val="37"/>
        <w:rPr>
          <w:color w:val="auto"/>
          <w:highlight w:val="none"/>
        </w:rPr>
      </w:pPr>
      <w:r>
        <w:rPr>
          <w:color w:val="auto"/>
          <w:highlight w:val="none"/>
        </w:rPr>
        <w:t>会计政策变更</w:t>
      </w:r>
    </w:p>
    <w:p>
      <w:pPr>
        <w:pStyle w:val="44"/>
        <w:rPr>
          <w:color w:val="auto"/>
          <w:highlight w:val="none"/>
        </w:rPr>
      </w:pPr>
      <w:r>
        <w:rPr>
          <w:color w:val="auto"/>
          <w:highlight w:val="none"/>
        </w:rPr>
        <w:t>执行《企业会计准则解释第</w:t>
      </w:r>
      <w:r>
        <w:rPr>
          <w:rFonts w:hint="eastAsia"/>
          <w:color w:val="auto"/>
          <w:highlight w:val="none"/>
        </w:rPr>
        <w:t>1</w:t>
      </w:r>
      <w:r>
        <w:rPr>
          <w:color w:val="auto"/>
          <w:highlight w:val="none"/>
        </w:rPr>
        <w:t>7号》</w:t>
      </w:r>
    </w:p>
    <w:p>
      <w:pPr>
        <w:pStyle w:val="35"/>
        <w:rPr>
          <w:color w:val="auto"/>
          <w:highlight w:val="none"/>
        </w:rPr>
      </w:pPr>
      <w:r>
        <w:rPr>
          <w:color w:val="auto"/>
          <w:highlight w:val="none"/>
        </w:rPr>
        <w:t>财政部于</w:t>
      </w:r>
      <w:r>
        <w:rPr>
          <w:rFonts w:hint="eastAsia"/>
          <w:color w:val="auto"/>
          <w:highlight w:val="none"/>
        </w:rPr>
        <w:t>2</w:t>
      </w:r>
      <w:r>
        <w:rPr>
          <w:color w:val="auto"/>
          <w:highlight w:val="none"/>
        </w:rPr>
        <w:t>023年</w:t>
      </w:r>
      <w:r>
        <w:rPr>
          <w:rFonts w:hint="eastAsia"/>
          <w:color w:val="auto"/>
          <w:highlight w:val="none"/>
        </w:rPr>
        <w:t>1</w:t>
      </w:r>
      <w:r>
        <w:rPr>
          <w:color w:val="auto"/>
          <w:highlight w:val="none"/>
        </w:rPr>
        <w:t>0月</w:t>
      </w:r>
      <w:r>
        <w:rPr>
          <w:rFonts w:hint="eastAsia"/>
          <w:color w:val="auto"/>
          <w:highlight w:val="none"/>
        </w:rPr>
        <w:t>2</w:t>
      </w:r>
      <w:r>
        <w:rPr>
          <w:color w:val="auto"/>
          <w:highlight w:val="none"/>
        </w:rPr>
        <w:t>5日</w:t>
      </w:r>
      <w:r>
        <w:rPr>
          <w:rFonts w:hint="eastAsia"/>
          <w:color w:val="auto"/>
          <w:highlight w:val="none"/>
        </w:rPr>
        <w:t>公</w:t>
      </w:r>
      <w:r>
        <w:rPr>
          <w:color w:val="auto"/>
          <w:highlight w:val="none"/>
        </w:rPr>
        <w:t>布了《企业会计准则</w:t>
      </w:r>
      <w:r>
        <w:rPr>
          <w:rFonts w:hint="eastAsia"/>
          <w:color w:val="auto"/>
          <w:highlight w:val="none"/>
        </w:rPr>
        <w:t>解释</w:t>
      </w:r>
      <w:r>
        <w:rPr>
          <w:color w:val="auto"/>
          <w:highlight w:val="none"/>
        </w:rPr>
        <w:t>第</w:t>
      </w:r>
      <w:r>
        <w:rPr>
          <w:rFonts w:hint="eastAsia"/>
          <w:color w:val="auto"/>
          <w:highlight w:val="none"/>
        </w:rPr>
        <w:t>1</w:t>
      </w:r>
      <w:r>
        <w:rPr>
          <w:color w:val="auto"/>
          <w:highlight w:val="none"/>
        </w:rPr>
        <w:t>7号》（</w:t>
      </w:r>
      <w:r>
        <w:rPr>
          <w:rFonts w:hint="eastAsia"/>
          <w:color w:val="auto"/>
          <w:highlight w:val="none"/>
        </w:rPr>
        <w:t>财会〔202</w:t>
      </w:r>
      <w:r>
        <w:rPr>
          <w:color w:val="auto"/>
          <w:highlight w:val="none"/>
        </w:rPr>
        <w:t>3</w:t>
      </w:r>
      <w:r>
        <w:rPr>
          <w:rFonts w:hint="eastAsia"/>
          <w:color w:val="auto"/>
          <w:highlight w:val="none"/>
        </w:rPr>
        <w:t>〕</w:t>
      </w:r>
      <w:r>
        <w:rPr>
          <w:color w:val="auto"/>
          <w:highlight w:val="none"/>
        </w:rPr>
        <w:t>21</w:t>
      </w:r>
      <w:r>
        <w:rPr>
          <w:rFonts w:hint="eastAsia"/>
          <w:color w:val="auto"/>
          <w:highlight w:val="none"/>
        </w:rPr>
        <w:t>号，以下简称</w:t>
      </w:r>
      <w:r>
        <w:rPr>
          <w:rFonts w:hint="eastAsia" w:ascii="宋体" w:hAnsi="宋体"/>
          <w:color w:val="auto"/>
          <w:highlight w:val="none"/>
        </w:rPr>
        <w:t>“</w:t>
      </w:r>
      <w:r>
        <w:rPr>
          <w:rFonts w:hint="eastAsia"/>
          <w:color w:val="auto"/>
          <w:highlight w:val="none"/>
        </w:rPr>
        <w:t>解释第1</w:t>
      </w:r>
      <w:r>
        <w:rPr>
          <w:color w:val="auto"/>
          <w:highlight w:val="none"/>
        </w:rPr>
        <w:t>7</w:t>
      </w:r>
      <w:r>
        <w:rPr>
          <w:rFonts w:hint="eastAsia"/>
          <w:color w:val="auto"/>
          <w:highlight w:val="none"/>
        </w:rPr>
        <w:t>号</w:t>
      </w:r>
      <w:r>
        <w:rPr>
          <w:rFonts w:hint="eastAsia" w:ascii="宋体" w:hAnsi="宋体"/>
          <w:color w:val="auto"/>
          <w:highlight w:val="none"/>
        </w:rPr>
        <w:t>”</w:t>
      </w:r>
      <w:r>
        <w:rPr>
          <w:color w:val="auto"/>
          <w:highlight w:val="none"/>
        </w:rPr>
        <w:t>）。</w:t>
      </w:r>
    </w:p>
    <w:p>
      <w:pPr>
        <w:pStyle w:val="35"/>
        <w:rPr>
          <w:color w:val="auto"/>
          <w:highlight w:val="none"/>
        </w:rPr>
      </w:pPr>
      <w:r>
        <w:rPr>
          <w:color w:val="auto"/>
          <w:highlight w:val="none"/>
        </w:rPr>
        <w:fldChar w:fldCharType="begin"/>
      </w:r>
      <w:r>
        <w:rPr>
          <w:color w:val="auto"/>
          <w:highlight w:val="none"/>
        </w:rPr>
        <w:instrText xml:space="preserve"> </w:instrText>
      </w:r>
      <w:r>
        <w:rPr>
          <w:rFonts w:hint="eastAsia"/>
          <w:color w:val="auto"/>
          <w:highlight w:val="none"/>
        </w:rPr>
        <w:instrText xml:space="preserve">= 1 \* GB3</w:instrText>
      </w:r>
      <w:r>
        <w:rPr>
          <w:color w:val="auto"/>
          <w:highlight w:val="none"/>
        </w:rPr>
        <w:instrText xml:space="preserve"> </w:instrText>
      </w:r>
      <w:r>
        <w:rPr>
          <w:color w:val="auto"/>
          <w:highlight w:val="none"/>
        </w:rPr>
        <w:fldChar w:fldCharType="separate"/>
      </w:r>
      <w:r>
        <w:rPr>
          <w:rFonts w:hint="eastAsia"/>
          <w:color w:val="auto"/>
          <w:highlight w:val="none"/>
        </w:rPr>
        <w:t>①</w:t>
      </w:r>
      <w:r>
        <w:rPr>
          <w:color w:val="auto"/>
          <w:highlight w:val="none"/>
        </w:rPr>
        <w:fldChar w:fldCharType="end"/>
      </w:r>
      <w:r>
        <w:rPr>
          <w:rFonts w:hint="eastAsia"/>
          <w:color w:val="auto"/>
          <w:highlight w:val="none"/>
        </w:rPr>
        <w:t>关于流动负债与非流动负债的划分</w:t>
      </w:r>
    </w:p>
    <w:p>
      <w:pPr>
        <w:pStyle w:val="35"/>
        <w:rPr>
          <w:color w:val="auto"/>
          <w:highlight w:val="none"/>
        </w:rPr>
      </w:pPr>
      <w:r>
        <w:rPr>
          <w:rFonts w:hint="eastAsia"/>
          <w:color w:val="auto"/>
          <w:highlight w:val="none"/>
        </w:rPr>
        <w:t>解释第17号明确：</w:t>
      </w:r>
    </w:p>
    <w:p>
      <w:pPr>
        <w:pStyle w:val="35"/>
        <w:numPr>
          <w:ilvl w:val="0"/>
          <w:numId w:val="25"/>
        </w:numPr>
        <w:rPr>
          <w:color w:val="auto"/>
          <w:highlight w:val="none"/>
        </w:rPr>
      </w:pPr>
      <w:r>
        <w:rPr>
          <w:rFonts w:hint="eastAsia"/>
          <w:color w:val="auto"/>
          <w:highlight w:val="none"/>
        </w:rPr>
        <w:t>企业在资产负债表日没有将负债清偿推迟至资产负债表日后一年以上的实质性权利的，该负债应当归类为流动负债。</w:t>
      </w:r>
    </w:p>
    <w:p>
      <w:pPr>
        <w:pStyle w:val="35"/>
        <w:numPr>
          <w:ilvl w:val="0"/>
          <w:numId w:val="25"/>
        </w:numPr>
        <w:rPr>
          <w:color w:val="auto"/>
          <w:highlight w:val="none"/>
        </w:rPr>
      </w:pPr>
      <w:r>
        <w:rPr>
          <w:rFonts w:hint="eastAsia"/>
          <w:color w:val="auto"/>
          <w:highlight w:val="none"/>
        </w:rPr>
        <w:t>对于企业贷款安排产生的负债，企业将负债清偿推迟至资产负债表日后一年以上的权利可能取决于企业是否遵循了贷款安排中规定的条件（以下简称契约条件），企业在判断其推迟债务清偿的实质性权利是否存在时，仅应考虑在资产负债表日或者之前应遵循的契约条件，不应考虑企业在资产负债表日之后应遵循的契约条件。</w:t>
      </w:r>
    </w:p>
    <w:p>
      <w:pPr>
        <w:pStyle w:val="35"/>
        <w:numPr>
          <w:ilvl w:val="0"/>
          <w:numId w:val="25"/>
        </w:numPr>
        <w:rPr>
          <w:color w:val="auto"/>
          <w:highlight w:val="none"/>
        </w:rPr>
      </w:pPr>
      <w:r>
        <w:rPr>
          <w:rFonts w:hint="eastAsia"/>
          <w:color w:val="auto"/>
          <w:highlight w:val="none"/>
        </w:rPr>
        <w:t>对负债的流动性进行划分时的负债清偿是指，企业向交易对手方以转移现金、其他经济资源（如商品或服务）或企业自身权益工具的方式解除负债。负债的条款导致企业在交易对手方选择的情况下通过交付自身权益工具进行清偿的，如果企业按照《企业会计准则第 37 号——金融工具列报》的规定将上述选择权分类为权益工具并将其作为复合金融工具的权益组成部分单独确认，则该条款不影响该项负债的流动性划分。</w:t>
      </w:r>
    </w:p>
    <w:p>
      <w:pPr>
        <w:pStyle w:val="35"/>
        <w:rPr>
          <w:color w:val="auto"/>
          <w:highlight w:val="none"/>
        </w:rPr>
      </w:pPr>
      <w:r>
        <w:rPr>
          <w:rFonts w:hint="eastAsia"/>
          <w:color w:val="auto"/>
          <w:highlight w:val="none"/>
        </w:rPr>
        <w:t>该解释规定自2024年1月1日起施行，企业在首次执行该解释规定时，应当按照该解释规定对可比期间信息进行调整。</w:t>
      </w:r>
    </w:p>
    <w:p>
      <w:pPr>
        <w:pStyle w:val="35"/>
        <w:rPr>
          <w:color w:val="auto"/>
          <w:highlight w:val="none"/>
        </w:rPr>
      </w:pPr>
      <w:r>
        <w:rPr>
          <w:rFonts w:hint="eastAsia"/>
          <w:color w:val="auto"/>
          <w:highlight w:val="none"/>
        </w:rPr>
        <w:t>执行该规定未对本公司财务状况和经营成果产生重大影响。</w:t>
      </w:r>
    </w:p>
    <w:p>
      <w:pPr>
        <w:pStyle w:val="35"/>
        <w:rPr>
          <w:color w:val="auto"/>
          <w:highlight w:val="none"/>
        </w:rPr>
      </w:pPr>
    </w:p>
    <w:p>
      <w:pPr>
        <w:pStyle w:val="35"/>
        <w:rPr>
          <w:color w:val="auto"/>
          <w:highlight w:val="none"/>
        </w:rPr>
      </w:pPr>
      <w:r>
        <w:rPr>
          <w:color w:val="auto"/>
          <w:highlight w:val="none"/>
        </w:rPr>
        <w:fldChar w:fldCharType="begin"/>
      </w:r>
      <w:r>
        <w:rPr>
          <w:color w:val="auto"/>
          <w:highlight w:val="none"/>
        </w:rPr>
        <w:instrText xml:space="preserve"> </w:instrText>
      </w:r>
      <w:r>
        <w:rPr>
          <w:rFonts w:hint="eastAsia"/>
          <w:color w:val="auto"/>
          <w:highlight w:val="none"/>
        </w:rPr>
        <w:instrText xml:space="preserve">= 2 \* GB3</w:instrText>
      </w:r>
      <w:r>
        <w:rPr>
          <w:color w:val="auto"/>
          <w:highlight w:val="none"/>
        </w:rPr>
        <w:instrText xml:space="preserve"> </w:instrText>
      </w:r>
      <w:r>
        <w:rPr>
          <w:color w:val="auto"/>
          <w:highlight w:val="none"/>
        </w:rPr>
        <w:fldChar w:fldCharType="separate"/>
      </w:r>
      <w:r>
        <w:rPr>
          <w:rFonts w:hint="eastAsia"/>
          <w:color w:val="auto"/>
          <w:highlight w:val="none"/>
        </w:rPr>
        <w:t>②</w:t>
      </w:r>
      <w:r>
        <w:rPr>
          <w:color w:val="auto"/>
          <w:highlight w:val="none"/>
        </w:rPr>
        <w:fldChar w:fldCharType="end"/>
      </w:r>
      <w:r>
        <w:rPr>
          <w:rFonts w:hint="eastAsia"/>
          <w:color w:val="auto"/>
          <w:highlight w:val="none"/>
        </w:rPr>
        <w:t>关于供应商融资安排的披露</w:t>
      </w:r>
    </w:p>
    <w:p>
      <w:pPr>
        <w:pStyle w:val="35"/>
        <w:rPr>
          <w:color w:val="auto"/>
          <w:highlight w:val="none"/>
        </w:rPr>
      </w:pPr>
      <w:r>
        <w:rPr>
          <w:rFonts w:hint="eastAsia"/>
          <w:color w:val="auto"/>
          <w:highlight w:val="none"/>
        </w:rPr>
        <w:t>解释第17号要求企业在进行附注披露时，应当汇总披露与供应商融资安排有关的信息，以有助于报表使用者评估这些安排对该企业负债、现金流量以及该企业流动性风险敞口的影响。在识别和披露流动性风险信息时也应当考虑供应商融资安排的影响。该披露规定仅适用于供应商融资安排。供应商融资安排是指具有下列特征的交易：一个或多个融资提供方提供资金，为企业支付其应付供应商的款项，并约定该企业根据安排的条款和条件，在其供应商收到款项的当天或之后向融资提供方还款。与原付款到期日相比，供应商融资安排延长了该企业的付款期，或者提前了该企业供应商的收款期。</w:t>
      </w:r>
    </w:p>
    <w:p>
      <w:pPr>
        <w:pStyle w:val="35"/>
        <w:rPr>
          <w:color w:val="auto"/>
          <w:highlight w:val="none"/>
        </w:rPr>
      </w:pPr>
      <w:r>
        <w:rPr>
          <w:color w:val="auto"/>
          <w:highlight w:val="none"/>
        </w:rPr>
        <w:t>该解释规定自</w:t>
      </w:r>
      <w:r>
        <w:rPr>
          <w:rFonts w:hint="eastAsia"/>
          <w:color w:val="auto"/>
          <w:highlight w:val="none"/>
        </w:rPr>
        <w:t>2</w:t>
      </w:r>
      <w:r>
        <w:rPr>
          <w:color w:val="auto"/>
          <w:highlight w:val="none"/>
        </w:rPr>
        <w:t>024年</w:t>
      </w:r>
      <w:r>
        <w:rPr>
          <w:rFonts w:hint="eastAsia"/>
          <w:color w:val="auto"/>
          <w:highlight w:val="none"/>
        </w:rPr>
        <w:t>1月1日起施行，企业在首次执行该解释规定时，无需披露可比期间相关信息及部分期初信息。</w:t>
      </w:r>
    </w:p>
    <w:p>
      <w:pPr>
        <w:pStyle w:val="35"/>
        <w:rPr>
          <w:color w:val="auto"/>
          <w:highlight w:val="none"/>
        </w:rPr>
      </w:pPr>
      <w:r>
        <w:rPr>
          <w:color w:val="auto"/>
          <w:highlight w:val="none"/>
        </w:rPr>
        <w:t>执行该规定未对本公司财务状况和经营成果产生重大影响。</w:t>
      </w:r>
    </w:p>
    <w:p>
      <w:pPr>
        <w:pStyle w:val="35"/>
        <w:rPr>
          <w:color w:val="auto"/>
          <w:highlight w:val="none"/>
        </w:rPr>
      </w:pPr>
    </w:p>
    <w:p>
      <w:pPr>
        <w:pStyle w:val="35"/>
        <w:rPr>
          <w:color w:val="auto"/>
          <w:highlight w:val="none"/>
        </w:rPr>
      </w:pPr>
      <w:r>
        <w:rPr>
          <w:rFonts w:hint="eastAsia"/>
          <w:color w:val="auto"/>
          <w:highlight w:val="none"/>
        </w:rPr>
        <w:t>③关于售后租回交易的会计处理</w:t>
      </w:r>
    </w:p>
    <w:p>
      <w:pPr>
        <w:pStyle w:val="35"/>
        <w:rPr>
          <w:color w:val="auto"/>
          <w:highlight w:val="none"/>
        </w:rPr>
      </w:pPr>
      <w:r>
        <w:rPr>
          <w:rFonts w:hint="eastAsia"/>
          <w:color w:val="auto"/>
          <w:highlight w:val="none"/>
        </w:rPr>
        <w:t>解释第1</w:t>
      </w:r>
      <w:r>
        <w:rPr>
          <w:color w:val="auto"/>
          <w:highlight w:val="none"/>
        </w:rPr>
        <w:t>7</w:t>
      </w:r>
      <w:r>
        <w:rPr>
          <w:rFonts w:hint="eastAsia"/>
          <w:color w:val="auto"/>
          <w:highlight w:val="none"/>
        </w:rPr>
        <w:t>号规定，</w:t>
      </w:r>
      <w:bookmarkStart w:id="61" w:name="OLE_LINK2"/>
      <w:r>
        <w:rPr>
          <w:rFonts w:hint="eastAsia"/>
          <w:color w:val="auto"/>
          <w:highlight w:val="none"/>
        </w:rPr>
        <w:t>承租人在对售后租回所形成的租赁负债进行后续计量时，确定租赁付款额或变更后租赁付款额的方式不得导致其确认与租回所获得的使用权有关的利得或损失。</w:t>
      </w:r>
      <w:bookmarkEnd w:id="61"/>
      <w:r>
        <w:rPr>
          <w:rFonts w:hint="eastAsia"/>
          <w:color w:val="auto"/>
          <w:highlight w:val="none"/>
        </w:rPr>
        <w:t>企业在首次执行该规定时，应当对《企业会计准则第 21 号——租赁》首次执行日后开展的售后租回交易进行追溯调整。</w:t>
      </w:r>
    </w:p>
    <w:p>
      <w:pPr>
        <w:pStyle w:val="35"/>
        <w:rPr>
          <w:color w:val="auto"/>
          <w:highlight w:val="none"/>
        </w:rPr>
      </w:pPr>
      <w:r>
        <w:rPr>
          <w:rFonts w:hint="eastAsia"/>
          <w:color w:val="auto"/>
          <w:highlight w:val="none"/>
        </w:rPr>
        <w:t>该解释规定自2024年1月1日起施行，允许企业自发布年度提前执行。本公司自</w:t>
      </w:r>
      <w:r>
        <w:rPr>
          <w:color w:val="auto"/>
          <w:highlight w:val="none"/>
        </w:rPr>
        <w:t>202</w:t>
      </w:r>
      <w:r>
        <w:rPr>
          <w:rFonts w:hint="eastAsia"/>
          <w:color w:val="auto"/>
          <w:highlight w:val="none"/>
        </w:rPr>
        <w:t>4年1月1日起执行该规定。</w:t>
      </w:r>
    </w:p>
    <w:p>
      <w:pPr>
        <w:pStyle w:val="35"/>
        <w:rPr>
          <w:rFonts w:hint="eastAsia"/>
          <w:color w:val="auto"/>
          <w:highlight w:val="none"/>
        </w:rPr>
      </w:pPr>
      <w:r>
        <w:rPr>
          <w:rFonts w:hint="eastAsia"/>
          <w:color w:val="auto"/>
          <w:highlight w:val="none"/>
        </w:rPr>
        <w:t>执行该规定未对本公司财务状况和经营成果产生重大影响。</w:t>
      </w:r>
      <w:r>
        <w:rPr>
          <w:color w:val="auto"/>
          <w:highlight w:val="none"/>
        </w:rPr>
        <w:t xml:space="preserve"> </w:t>
      </w:r>
    </w:p>
    <w:p>
      <w:pPr>
        <w:pStyle w:val="35"/>
        <w:rPr>
          <w:color w:val="auto"/>
          <w:highlight w:val="none"/>
        </w:rPr>
      </w:pPr>
    </w:p>
    <w:p>
      <w:pPr>
        <w:pStyle w:val="44"/>
        <w:rPr>
          <w:color w:val="auto"/>
          <w:highlight w:val="none"/>
        </w:rPr>
      </w:pPr>
      <w:r>
        <w:rPr>
          <w:rFonts w:hint="eastAsia"/>
          <w:color w:val="auto"/>
          <w:highlight w:val="none"/>
        </w:rPr>
        <w:t>执行《企业数据资源相关会计处理暂行规定》</w:t>
      </w:r>
    </w:p>
    <w:p>
      <w:pPr>
        <w:pStyle w:val="35"/>
        <w:rPr>
          <w:color w:val="auto"/>
          <w:highlight w:val="none"/>
        </w:rPr>
      </w:pPr>
      <w:r>
        <w:rPr>
          <w:rFonts w:hint="eastAsia"/>
          <w:color w:val="auto"/>
          <w:highlight w:val="none"/>
        </w:rPr>
        <w:t>财政部于2023年8月1日发布了《企业数据资源相关会计处理暂行规定》（财会〔2023〕1</w:t>
      </w:r>
      <w:r>
        <w:rPr>
          <w:color w:val="auto"/>
          <w:highlight w:val="none"/>
        </w:rPr>
        <w:t>1</w:t>
      </w:r>
      <w:r>
        <w:rPr>
          <w:rFonts w:hint="eastAsia"/>
          <w:color w:val="auto"/>
          <w:highlight w:val="none"/>
        </w:rPr>
        <w:t>号），适用于符合企业会计准则相关规定确认为无形资产或存货等资产的数据资源，以及企业合法拥有或控制的、预期会给企业带来经济利益的、但不满足资产确认条件而未予确认的数据资源的相关会计处理，并对数据资源的披露提出了具体要求。</w:t>
      </w:r>
    </w:p>
    <w:p>
      <w:pPr>
        <w:pStyle w:val="35"/>
        <w:rPr>
          <w:color w:val="auto"/>
          <w:highlight w:val="none"/>
        </w:rPr>
      </w:pPr>
      <w:r>
        <w:rPr>
          <w:rFonts w:hint="eastAsia"/>
          <w:color w:val="auto"/>
          <w:highlight w:val="none"/>
        </w:rPr>
        <w:t>该规定自2024年1月1日起施行，企业应当采用未来适用法，该规定施行前</w:t>
      </w:r>
    </w:p>
    <w:p>
      <w:pPr>
        <w:pStyle w:val="35"/>
        <w:rPr>
          <w:color w:val="auto"/>
          <w:highlight w:val="none"/>
        </w:rPr>
      </w:pPr>
      <w:r>
        <w:rPr>
          <w:rFonts w:hint="eastAsia"/>
          <w:color w:val="auto"/>
          <w:highlight w:val="none"/>
        </w:rPr>
        <w:t>已经费用化计入损益的数据资源相关支出不再调整。执行该规定未对本公司财务状况和经营成果产生重大影响。</w:t>
      </w:r>
    </w:p>
    <w:p>
      <w:pPr>
        <w:pStyle w:val="35"/>
        <w:rPr>
          <w:rFonts w:asciiTheme="minorHAnsi" w:hAnsiTheme="minorHAnsi" w:eastAsiaTheme="minorEastAsia" w:cstheme="minorBidi"/>
          <w:color w:val="auto"/>
          <w:highlight w:val="none"/>
        </w:rPr>
      </w:pPr>
    </w:p>
    <w:p>
      <w:pPr>
        <w:pStyle w:val="44"/>
        <w:rPr>
          <w:color w:val="auto"/>
          <w:highlight w:val="none"/>
        </w:rPr>
      </w:pPr>
      <w:r>
        <w:rPr>
          <w:rFonts w:hint="eastAsia"/>
          <w:color w:val="auto"/>
          <w:highlight w:val="none"/>
        </w:rPr>
        <w:t>执行《企业会计准则解释第18号》</w:t>
      </w:r>
      <w:r>
        <w:rPr>
          <w:rFonts w:hint="eastAsia" w:ascii="宋体" w:hAnsi="宋体"/>
          <w:color w:val="auto"/>
          <w:highlight w:val="none"/>
        </w:rPr>
        <w:t>“</w:t>
      </w:r>
      <w:r>
        <w:rPr>
          <w:rFonts w:hint="eastAsia"/>
          <w:color w:val="auto"/>
          <w:highlight w:val="none"/>
        </w:rPr>
        <w:t>关于不属于单项履约义务的保证类质量保证的会计处理</w:t>
      </w:r>
      <w:r>
        <w:rPr>
          <w:rFonts w:hint="eastAsia" w:ascii="宋体" w:hAnsi="宋体"/>
          <w:color w:val="auto"/>
          <w:highlight w:val="none"/>
        </w:rPr>
        <w:t>”</w:t>
      </w:r>
      <w:r>
        <w:rPr>
          <w:rFonts w:hint="eastAsia"/>
          <w:color w:val="auto"/>
          <w:highlight w:val="none"/>
        </w:rPr>
        <w:t>的规定</w:t>
      </w:r>
    </w:p>
    <w:p>
      <w:pPr>
        <w:pStyle w:val="35"/>
        <w:rPr>
          <w:color w:val="auto"/>
          <w:highlight w:val="none"/>
        </w:rPr>
      </w:pPr>
      <w:r>
        <w:rPr>
          <w:rFonts w:hint="eastAsia"/>
          <w:color w:val="auto"/>
          <w:highlight w:val="none"/>
        </w:rPr>
        <w:t>财政部于2024年12月6日发布了《企业会计准则解释第18号》（财会〔2024〕24号，以下简称</w:t>
      </w:r>
      <w:r>
        <w:rPr>
          <w:rFonts w:hint="eastAsia" w:ascii="宋体" w:hAnsi="宋体"/>
          <w:color w:val="auto"/>
          <w:highlight w:val="none"/>
        </w:rPr>
        <w:t>“</w:t>
      </w:r>
      <w:r>
        <w:rPr>
          <w:rFonts w:hint="eastAsia"/>
          <w:color w:val="auto"/>
          <w:highlight w:val="none"/>
        </w:rPr>
        <w:t>解释第18号</w:t>
      </w:r>
      <w:r>
        <w:rPr>
          <w:rFonts w:hint="eastAsia" w:ascii="宋体" w:hAnsi="宋体"/>
          <w:color w:val="auto"/>
          <w:highlight w:val="none"/>
        </w:rPr>
        <w:t>”</w:t>
      </w:r>
      <w:r>
        <w:rPr>
          <w:rFonts w:hint="eastAsia"/>
          <w:color w:val="auto"/>
          <w:highlight w:val="none"/>
        </w:rPr>
        <w:t>），该解释自印发之日起施行，允许企业自发布年度提前执行。</w:t>
      </w:r>
    </w:p>
    <w:p>
      <w:pPr>
        <w:pStyle w:val="35"/>
        <w:rPr>
          <w:color w:val="auto"/>
          <w:highlight w:val="none"/>
        </w:rPr>
      </w:pPr>
      <w:r>
        <w:rPr>
          <w:rFonts w:hint="eastAsia"/>
          <w:color w:val="auto"/>
          <w:highlight w:val="none"/>
        </w:rPr>
        <w:t>解释第18号规定，在对因不属于单项履约义务的保证类质量保证产生的预计负债进行会计核算时，应当根据《企业会计准则第13号——或有事项》有关规定，按确定的预计负债金额，借记</w:t>
      </w:r>
      <w:r>
        <w:rPr>
          <w:rFonts w:hint="eastAsia" w:ascii="宋体" w:hAnsi="宋体"/>
          <w:color w:val="auto"/>
          <w:highlight w:val="none"/>
        </w:rPr>
        <w:t>“</w:t>
      </w:r>
      <w:r>
        <w:rPr>
          <w:rFonts w:hint="eastAsia"/>
          <w:color w:val="auto"/>
          <w:highlight w:val="none"/>
        </w:rPr>
        <w:t>主营业务成本</w:t>
      </w:r>
      <w:r>
        <w:rPr>
          <w:rFonts w:hint="eastAsia" w:ascii="宋体" w:hAnsi="宋体"/>
          <w:color w:val="auto"/>
          <w:highlight w:val="none"/>
        </w:rPr>
        <w:t>”</w:t>
      </w:r>
      <w:r>
        <w:rPr>
          <w:rFonts w:hint="eastAsia"/>
          <w:color w:val="auto"/>
          <w:highlight w:val="none"/>
        </w:rPr>
        <w:t>、</w:t>
      </w:r>
      <w:r>
        <w:rPr>
          <w:rFonts w:hint="eastAsia" w:ascii="宋体" w:hAnsi="宋体"/>
          <w:color w:val="auto"/>
          <w:highlight w:val="none"/>
        </w:rPr>
        <w:t>“</w:t>
      </w:r>
      <w:r>
        <w:rPr>
          <w:rFonts w:hint="eastAsia"/>
          <w:color w:val="auto"/>
          <w:highlight w:val="none"/>
        </w:rPr>
        <w:t>其他业务成本</w:t>
      </w:r>
      <w:r>
        <w:rPr>
          <w:rFonts w:hint="eastAsia" w:ascii="宋体" w:hAnsi="宋体"/>
          <w:color w:val="auto"/>
          <w:highlight w:val="none"/>
        </w:rPr>
        <w:t>”</w:t>
      </w:r>
      <w:r>
        <w:rPr>
          <w:rFonts w:hint="eastAsia"/>
          <w:color w:val="auto"/>
          <w:highlight w:val="none"/>
        </w:rPr>
        <w:t>等科目，贷记</w:t>
      </w:r>
      <w:r>
        <w:rPr>
          <w:rFonts w:hint="eastAsia" w:ascii="宋体" w:hAnsi="宋体"/>
          <w:color w:val="auto"/>
          <w:highlight w:val="none"/>
        </w:rPr>
        <w:t>“</w:t>
      </w:r>
      <w:r>
        <w:rPr>
          <w:rFonts w:hint="eastAsia"/>
          <w:color w:val="auto"/>
          <w:highlight w:val="none"/>
        </w:rPr>
        <w:t>预计负债</w:t>
      </w:r>
      <w:r>
        <w:rPr>
          <w:rFonts w:hint="eastAsia" w:ascii="宋体" w:hAnsi="宋体"/>
          <w:color w:val="auto"/>
          <w:highlight w:val="none"/>
        </w:rPr>
        <w:t>”</w:t>
      </w:r>
      <w:r>
        <w:rPr>
          <w:rFonts w:hint="eastAsia"/>
          <w:color w:val="auto"/>
          <w:highlight w:val="none"/>
        </w:rPr>
        <w:t>科目，并相应在利润表中的</w:t>
      </w:r>
      <w:r>
        <w:rPr>
          <w:rFonts w:hint="eastAsia" w:ascii="宋体" w:hAnsi="宋体"/>
          <w:color w:val="auto"/>
          <w:highlight w:val="none"/>
        </w:rPr>
        <w:t>“</w:t>
      </w:r>
      <w:r>
        <w:rPr>
          <w:rFonts w:hint="eastAsia"/>
          <w:color w:val="auto"/>
          <w:highlight w:val="none"/>
        </w:rPr>
        <w:t>营业成本</w:t>
      </w:r>
      <w:r>
        <w:rPr>
          <w:rFonts w:hint="eastAsia" w:ascii="宋体" w:hAnsi="宋体"/>
          <w:color w:val="auto"/>
          <w:highlight w:val="none"/>
        </w:rPr>
        <w:t>”</w:t>
      </w:r>
      <w:r>
        <w:rPr>
          <w:rFonts w:hint="eastAsia"/>
          <w:color w:val="auto"/>
          <w:highlight w:val="none"/>
        </w:rPr>
        <w:t>和资产负债表中的</w:t>
      </w:r>
      <w:r>
        <w:rPr>
          <w:rFonts w:hint="eastAsia" w:ascii="宋体" w:hAnsi="宋体"/>
          <w:color w:val="auto"/>
          <w:highlight w:val="none"/>
        </w:rPr>
        <w:t>“</w:t>
      </w:r>
      <w:r>
        <w:rPr>
          <w:rFonts w:hint="eastAsia"/>
          <w:color w:val="auto"/>
          <w:highlight w:val="none"/>
        </w:rPr>
        <w:t>其他流动负债</w:t>
      </w:r>
      <w:r>
        <w:rPr>
          <w:rFonts w:hint="eastAsia" w:ascii="宋体" w:hAnsi="宋体"/>
          <w:color w:val="auto"/>
          <w:highlight w:val="none"/>
        </w:rPr>
        <w:t>”</w:t>
      </w:r>
      <w:r>
        <w:rPr>
          <w:rFonts w:hint="eastAsia"/>
          <w:color w:val="auto"/>
          <w:highlight w:val="none"/>
        </w:rPr>
        <w:t>、</w:t>
      </w:r>
      <w:r>
        <w:rPr>
          <w:rFonts w:hint="eastAsia" w:ascii="宋体" w:hAnsi="宋体"/>
          <w:color w:val="auto"/>
          <w:highlight w:val="none"/>
        </w:rPr>
        <w:t>“</w:t>
      </w:r>
      <w:r>
        <w:rPr>
          <w:rFonts w:hint="eastAsia"/>
          <w:color w:val="auto"/>
          <w:highlight w:val="none"/>
        </w:rPr>
        <w:t>一年内到期的非流动负债</w:t>
      </w:r>
      <w:r>
        <w:rPr>
          <w:rFonts w:hint="eastAsia" w:ascii="宋体" w:hAnsi="宋体"/>
          <w:color w:val="auto"/>
          <w:highlight w:val="none"/>
        </w:rPr>
        <w:t>”</w:t>
      </w:r>
      <w:r>
        <w:rPr>
          <w:rFonts w:hint="eastAsia"/>
          <w:color w:val="auto"/>
          <w:highlight w:val="none"/>
        </w:rPr>
        <w:t>、</w:t>
      </w:r>
      <w:r>
        <w:rPr>
          <w:rFonts w:hint="eastAsia" w:ascii="宋体" w:hAnsi="宋体"/>
          <w:color w:val="auto"/>
          <w:highlight w:val="none"/>
        </w:rPr>
        <w:t>“</w:t>
      </w:r>
      <w:r>
        <w:rPr>
          <w:rFonts w:hint="eastAsia"/>
          <w:color w:val="auto"/>
          <w:highlight w:val="none"/>
        </w:rPr>
        <w:t>预计负债</w:t>
      </w:r>
      <w:r>
        <w:rPr>
          <w:rFonts w:hint="eastAsia" w:ascii="宋体" w:hAnsi="宋体"/>
          <w:color w:val="auto"/>
          <w:highlight w:val="none"/>
        </w:rPr>
        <w:t>”</w:t>
      </w:r>
      <w:r>
        <w:rPr>
          <w:rFonts w:hint="eastAsia"/>
          <w:color w:val="auto"/>
          <w:highlight w:val="none"/>
        </w:rPr>
        <w:t>等项目列示。</w:t>
      </w:r>
    </w:p>
    <w:p>
      <w:pPr>
        <w:pStyle w:val="35"/>
        <w:rPr>
          <w:color w:val="auto"/>
          <w:highlight w:val="none"/>
        </w:rPr>
      </w:pPr>
      <w:r>
        <w:rPr>
          <w:rFonts w:hint="eastAsia"/>
          <w:color w:val="auto"/>
          <w:highlight w:val="none"/>
        </w:rPr>
        <w:t>企业在首次执行该解释内容时，如原计提保证类质量保证时计入</w:t>
      </w:r>
      <w:r>
        <w:rPr>
          <w:rFonts w:hint="eastAsia" w:ascii="宋体" w:hAnsi="宋体"/>
          <w:color w:val="auto"/>
          <w:highlight w:val="none"/>
        </w:rPr>
        <w:t>“</w:t>
      </w:r>
      <w:r>
        <w:rPr>
          <w:rFonts w:hint="eastAsia"/>
          <w:color w:val="auto"/>
          <w:highlight w:val="none"/>
        </w:rPr>
        <w:t>销售费用</w:t>
      </w:r>
      <w:r>
        <w:rPr>
          <w:rFonts w:hint="eastAsia" w:ascii="宋体" w:hAnsi="宋体"/>
          <w:color w:val="auto"/>
          <w:highlight w:val="none"/>
        </w:rPr>
        <w:t>”</w:t>
      </w:r>
      <w:r>
        <w:rPr>
          <w:rFonts w:hint="eastAsia"/>
          <w:color w:val="auto"/>
          <w:highlight w:val="none"/>
        </w:rPr>
        <w:t>等的，应当按照会计政策变更进行追溯调整。</w:t>
      </w:r>
    </w:p>
    <w:p>
      <w:pPr>
        <w:pStyle w:val="35"/>
        <w:rPr>
          <w:color w:val="auto"/>
          <w:highlight w:val="none"/>
        </w:rPr>
      </w:pPr>
      <w:r>
        <w:rPr>
          <w:rFonts w:hint="eastAsia"/>
          <w:color w:val="auto"/>
          <w:highlight w:val="none"/>
        </w:rPr>
        <w:t>执行该规定未对本公司财务状况和经营成果产生重大影响。</w:t>
      </w:r>
    </w:p>
    <w:p>
      <w:pPr>
        <w:pStyle w:val="38"/>
        <w:rPr>
          <w:color w:val="auto"/>
          <w:highlight w:val="none"/>
        </w:rPr>
      </w:pPr>
    </w:p>
    <w:p>
      <w:pPr>
        <w:pStyle w:val="43"/>
        <w:rPr>
          <w:rFonts w:eastAsiaTheme="minorEastAsia"/>
          <w:color w:val="auto"/>
          <w:highlight w:val="none"/>
        </w:rPr>
      </w:pPr>
      <w:r>
        <w:rPr>
          <w:rFonts w:eastAsiaTheme="minorEastAsia"/>
          <w:color w:val="auto"/>
          <w:highlight w:val="none"/>
        </w:rPr>
        <w:t>税项</w:t>
      </w:r>
    </w:p>
    <w:p>
      <w:pPr>
        <w:pStyle w:val="37"/>
        <w:rPr>
          <w:rFonts w:eastAsiaTheme="minorEastAsia"/>
          <w:color w:val="auto"/>
          <w:highlight w:val="none"/>
        </w:rPr>
      </w:pPr>
      <w:r>
        <w:rPr>
          <w:rFonts w:eastAsiaTheme="minorEastAsia"/>
          <w:color w:val="auto"/>
          <w:highlight w:val="none"/>
        </w:rPr>
        <w:t>主要税种</w:t>
      </w:r>
      <w:r>
        <w:rPr>
          <w:rFonts w:hint="eastAsia" w:eastAsiaTheme="minorEastAsia"/>
          <w:color w:val="auto"/>
          <w:highlight w:val="none"/>
        </w:rPr>
        <w:t>及</w:t>
      </w:r>
      <w:r>
        <w:rPr>
          <w:rFonts w:eastAsiaTheme="minorEastAsia"/>
          <w:color w:val="auto"/>
          <w:highlight w:val="none"/>
        </w:rPr>
        <w:t>税率</w:t>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1811"/>
        <w:gridCol w:w="4585"/>
        <w:gridCol w:w="1792"/>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106" w:type="pct"/>
            <w:shd w:val="clear" w:color="auto" w:fill="auto"/>
            <w:noWrap/>
            <w:vAlign w:val="center"/>
          </w:tcPr>
          <w:p>
            <w:pPr>
              <w:adjustRightInd w:val="0"/>
              <w:snapToGrid w:val="0"/>
              <w:spacing w:line="200" w:lineRule="atLeast"/>
              <w:ind w:firstLine="2"/>
              <w:jc w:val="center"/>
              <w:rPr>
                <w:rFonts w:ascii="Times New Roman" w:hAnsi="Times New Roman" w:eastAsia="宋体" w:cs="Times New Roman"/>
                <w:color w:val="auto"/>
                <w:kern w:val="0"/>
                <w:sz w:val="16"/>
                <w:szCs w:val="18"/>
                <w:highlight w:val="none"/>
              </w:rPr>
            </w:pPr>
            <w:r>
              <w:rPr>
                <w:rFonts w:ascii="Times New Roman" w:hAnsi="Times New Roman" w:eastAsia="宋体" w:cs="Times New Roman"/>
                <w:color w:val="auto"/>
                <w:kern w:val="0"/>
                <w:sz w:val="16"/>
                <w:szCs w:val="18"/>
                <w:highlight w:val="none"/>
              </w:rPr>
              <w:t>税种</w:t>
            </w:r>
          </w:p>
        </w:tc>
        <w:tc>
          <w:tcPr>
            <w:tcW w:w="2800" w:type="pct"/>
            <w:shd w:val="clear" w:color="auto" w:fill="auto"/>
            <w:vAlign w:val="center"/>
          </w:tcPr>
          <w:p>
            <w:pPr>
              <w:adjustRightInd w:val="0"/>
              <w:snapToGrid w:val="0"/>
              <w:spacing w:line="200" w:lineRule="atLeast"/>
              <w:ind w:firstLine="2"/>
              <w:jc w:val="center"/>
              <w:rPr>
                <w:rFonts w:ascii="Times New Roman" w:hAnsi="Times New Roman" w:eastAsia="宋体" w:cs="Times New Roman"/>
                <w:color w:val="auto"/>
                <w:kern w:val="0"/>
                <w:sz w:val="16"/>
                <w:szCs w:val="18"/>
                <w:highlight w:val="none"/>
              </w:rPr>
            </w:pPr>
            <w:r>
              <w:rPr>
                <w:rFonts w:ascii="Times New Roman" w:hAnsi="Times New Roman" w:eastAsia="宋体" w:cs="Times New Roman"/>
                <w:color w:val="auto"/>
                <w:kern w:val="0"/>
                <w:sz w:val="16"/>
                <w:szCs w:val="18"/>
                <w:highlight w:val="none"/>
              </w:rPr>
              <w:t>计税依据</w:t>
            </w:r>
          </w:p>
        </w:tc>
        <w:tc>
          <w:tcPr>
            <w:tcW w:w="1094" w:type="pct"/>
            <w:shd w:val="clear" w:color="auto" w:fill="auto"/>
            <w:vAlign w:val="center"/>
          </w:tcPr>
          <w:p>
            <w:pPr>
              <w:adjustRightInd w:val="0"/>
              <w:snapToGrid w:val="0"/>
              <w:spacing w:line="200" w:lineRule="atLeast"/>
              <w:ind w:firstLine="2"/>
              <w:jc w:val="center"/>
              <w:rPr>
                <w:rFonts w:ascii="Times New Roman" w:hAnsi="Times New Roman" w:eastAsia="宋体" w:cs="Times New Roman"/>
                <w:color w:val="auto"/>
                <w:kern w:val="0"/>
                <w:sz w:val="16"/>
                <w:szCs w:val="18"/>
                <w:highlight w:val="none"/>
              </w:rPr>
            </w:pPr>
            <w:r>
              <w:rPr>
                <w:rFonts w:hint="eastAsia" w:ascii="Times New Roman" w:hAnsi="Times New Roman" w:eastAsia="宋体" w:cs="Times New Roman"/>
                <w:color w:val="auto"/>
                <w:kern w:val="0"/>
                <w:sz w:val="16"/>
                <w:szCs w:val="18"/>
                <w:highlight w:val="none"/>
              </w:rPr>
              <w:t>适用</w:t>
            </w:r>
            <w:r>
              <w:rPr>
                <w:rFonts w:ascii="Times New Roman" w:hAnsi="Times New Roman" w:eastAsia="宋体" w:cs="Times New Roman"/>
                <w:color w:val="auto"/>
                <w:kern w:val="0"/>
                <w:sz w:val="16"/>
                <w:szCs w:val="18"/>
                <w:highlight w:val="none"/>
              </w:rPr>
              <w:t>税率</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106" w:type="pct"/>
            <w:shd w:val="clear" w:color="auto" w:fill="auto"/>
            <w:noWrap/>
            <w:vAlign w:val="center"/>
          </w:tcPr>
          <w:p>
            <w:pPr>
              <w:adjustRightInd w:val="0"/>
              <w:snapToGrid w:val="0"/>
              <w:spacing w:line="200" w:lineRule="atLeast"/>
              <w:ind w:firstLine="2"/>
              <w:jc w:val="both"/>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增值税</w:t>
            </w:r>
          </w:p>
        </w:tc>
        <w:tc>
          <w:tcPr>
            <w:tcW w:w="2800" w:type="pct"/>
            <w:shd w:val="clear" w:color="auto" w:fill="auto"/>
            <w:vAlign w:val="center"/>
          </w:tcPr>
          <w:p>
            <w:pPr>
              <w:adjustRightInd w:val="0"/>
              <w:snapToGrid w:val="0"/>
              <w:spacing w:line="200" w:lineRule="atLeast"/>
              <w:ind w:firstLine="2"/>
              <w:jc w:val="both"/>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按税法规定计算的销售货物和应税劳务收入为基础计算销项税额，在扣除当期允许抵扣的进项税额后，差额部分为应交增值税</w:t>
            </w:r>
          </w:p>
        </w:tc>
        <w:tc>
          <w:tcPr>
            <w:tcW w:w="1094" w:type="pct"/>
            <w:shd w:val="clear" w:color="auto" w:fill="auto"/>
            <w:vAlign w:val="center"/>
          </w:tcPr>
          <w:p>
            <w:pPr>
              <w:adjustRightInd w:val="0"/>
              <w:snapToGrid w:val="0"/>
              <w:spacing w:line="200" w:lineRule="atLeast"/>
              <w:ind w:firstLine="2"/>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13%/6%/3%/1%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106" w:type="pct"/>
            <w:shd w:val="clear" w:color="auto" w:fill="auto"/>
            <w:noWrap/>
            <w:vAlign w:val="center"/>
          </w:tcPr>
          <w:p>
            <w:pPr>
              <w:adjustRightInd w:val="0"/>
              <w:snapToGrid w:val="0"/>
              <w:spacing w:line="200" w:lineRule="atLeast"/>
              <w:ind w:firstLine="2"/>
              <w:jc w:val="both"/>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城市维护建设税</w:t>
            </w:r>
          </w:p>
        </w:tc>
        <w:tc>
          <w:tcPr>
            <w:tcW w:w="2800" w:type="pct"/>
            <w:shd w:val="clear" w:color="auto" w:fill="auto"/>
            <w:vAlign w:val="center"/>
          </w:tcPr>
          <w:p>
            <w:pPr>
              <w:adjustRightInd w:val="0"/>
              <w:snapToGrid w:val="0"/>
              <w:spacing w:line="200" w:lineRule="atLeast"/>
              <w:ind w:firstLine="2"/>
              <w:jc w:val="both"/>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按实际缴纳的增值税及消费税计缴</w:t>
            </w:r>
          </w:p>
        </w:tc>
        <w:tc>
          <w:tcPr>
            <w:tcW w:w="1094" w:type="pct"/>
            <w:shd w:val="clear" w:color="auto" w:fill="auto"/>
            <w:vAlign w:val="center"/>
          </w:tcPr>
          <w:p>
            <w:pPr>
              <w:adjustRightInd w:val="0"/>
              <w:snapToGrid w:val="0"/>
              <w:spacing w:line="200" w:lineRule="atLeast"/>
              <w:ind w:firstLine="2"/>
              <w:jc w:val="right"/>
              <w:rPr>
                <w:rFonts w:ascii="Times New Roman" w:hAnsi="Times New Roman" w:eastAsia="宋体" w:cs="Times New Roman"/>
                <w:color w:val="auto"/>
                <w:sz w:val="16"/>
                <w:szCs w:val="18"/>
                <w:highlight w:val="none"/>
              </w:rPr>
            </w:pPr>
            <w:r>
              <w:rPr>
                <w:rFonts w:hint="eastAsia" w:ascii="Times New Roman" w:hAnsi="Times New Roman" w:eastAsia="宋体" w:cs="Times New Roman"/>
                <w:color w:val="auto"/>
                <w:sz w:val="16"/>
                <w:szCs w:val="18"/>
                <w:highlight w:val="none"/>
              </w:rPr>
              <w:t>5%、7%</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106" w:type="pct"/>
            <w:shd w:val="clear" w:color="auto" w:fill="auto"/>
            <w:noWrap/>
            <w:vAlign w:val="center"/>
          </w:tcPr>
          <w:p>
            <w:pPr>
              <w:adjustRightInd w:val="0"/>
              <w:snapToGrid w:val="0"/>
              <w:spacing w:line="200" w:lineRule="atLeast"/>
              <w:ind w:firstLine="2"/>
              <w:jc w:val="both"/>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企业所得税</w:t>
            </w:r>
          </w:p>
        </w:tc>
        <w:tc>
          <w:tcPr>
            <w:tcW w:w="2800" w:type="pct"/>
            <w:shd w:val="clear" w:color="auto" w:fill="auto"/>
            <w:vAlign w:val="center"/>
          </w:tcPr>
          <w:p>
            <w:pPr>
              <w:adjustRightInd w:val="0"/>
              <w:snapToGrid w:val="0"/>
              <w:spacing w:line="200" w:lineRule="atLeast"/>
              <w:ind w:firstLine="2"/>
              <w:jc w:val="both"/>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按应纳税所得额计缴</w:t>
            </w:r>
          </w:p>
        </w:tc>
        <w:tc>
          <w:tcPr>
            <w:tcW w:w="1094" w:type="pct"/>
            <w:shd w:val="clear" w:color="auto" w:fill="auto"/>
            <w:vAlign w:val="center"/>
          </w:tcPr>
          <w:p>
            <w:pPr>
              <w:adjustRightInd w:val="0"/>
              <w:snapToGrid w:val="0"/>
              <w:spacing w:line="200" w:lineRule="atLeast"/>
              <w:ind w:firstLine="2"/>
              <w:jc w:val="right"/>
              <w:rPr>
                <w:rFonts w:ascii="Times New Roman" w:hAnsi="Times New Roman" w:eastAsia="宋体" w:cs="Times New Roman"/>
                <w:color w:val="auto"/>
                <w:sz w:val="16"/>
                <w:szCs w:val="18"/>
                <w:highlight w:val="none"/>
              </w:rPr>
            </w:pPr>
            <w:r>
              <w:rPr>
                <w:rFonts w:hint="eastAsia" w:ascii="Times New Roman" w:hAnsi="Times New Roman" w:eastAsia="宋体" w:cs="Arial"/>
                <w:color w:val="auto"/>
                <w:kern w:val="0"/>
                <w:sz w:val="16"/>
                <w:highlight w:val="none"/>
              </w:rPr>
              <w:t>15%/</w:t>
            </w:r>
            <w:r>
              <w:rPr>
                <w:rFonts w:ascii="Times New Roman" w:hAnsi="Times New Roman" w:eastAsia="宋体" w:cs="Arial"/>
                <w:color w:val="auto"/>
                <w:kern w:val="0"/>
                <w:sz w:val="16"/>
                <w:highlight w:val="none"/>
              </w:rPr>
              <w:t>25%</w:t>
            </w:r>
          </w:p>
        </w:tc>
      </w:tr>
    </w:tbl>
    <w:p>
      <w:pPr>
        <w:pStyle w:val="38"/>
        <w:rPr>
          <w:rFonts w:eastAsiaTheme="minorEastAsia"/>
          <w:color w:val="auto"/>
          <w:highlight w:val="none"/>
        </w:rPr>
      </w:pPr>
    </w:p>
    <w:p>
      <w:pPr>
        <w:pStyle w:val="37"/>
        <w:rPr>
          <w:rFonts w:eastAsiaTheme="minorEastAsia"/>
          <w:color w:val="auto"/>
          <w:highlight w:val="none"/>
        </w:rPr>
      </w:pPr>
      <w:r>
        <w:rPr>
          <w:rFonts w:eastAsiaTheme="minorEastAsia"/>
          <w:color w:val="auto"/>
          <w:highlight w:val="none"/>
        </w:rPr>
        <w:t>税收优惠</w:t>
      </w:r>
    </w:p>
    <w:p>
      <w:pPr>
        <w:pStyle w:val="38"/>
        <w:rPr>
          <w:rFonts w:eastAsiaTheme="minorEastAsia"/>
          <w:color w:val="auto"/>
          <w:highlight w:val="none"/>
        </w:rPr>
      </w:pPr>
      <w:r>
        <w:rPr>
          <w:rFonts w:hint="eastAsia" w:eastAsiaTheme="minorEastAsia"/>
          <w:color w:val="auto"/>
          <w:highlight w:val="none"/>
        </w:rPr>
        <w:t>1、根据《财政部、国家税务总局、国家发展改革委关于公布公共基础设施项目企业所得税优惠目录(2008年版)的通知》（财税[2008]116号）相关规定，国家重点扶持的公共基础设施项目（包括港口码头、机场、铁路、公路、城市公共交通、电力、水利等项目），自项目取得第一笔生产经营收入所属纳税年度起，第一年至第三年免征企业所得税，第四年至第六年减半征收企业所得税。新投产电站同时享受国家重点扶持的公共基础设施所得税“三免三减半”优惠政策。享受税收优惠的项目具体情况如下表：</w:t>
      </w:r>
    </w:p>
    <w:p>
      <w:pPr>
        <w:pStyle w:val="38"/>
        <w:rPr>
          <w:rFonts w:eastAsiaTheme="minorEastAsia"/>
          <w:color w:val="auto"/>
          <w:highlight w:val="none"/>
        </w:rPr>
      </w:pP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427"/>
        <w:gridCol w:w="2447"/>
        <w:gridCol w:w="2440"/>
        <w:gridCol w:w="1438"/>
        <w:gridCol w:w="1436"/>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lang w:bidi="ar"/>
              </w:rPr>
            </w:pPr>
            <w:r>
              <w:rPr>
                <w:rFonts w:hint="eastAsia" w:ascii="Times New Roman" w:hAnsi="Times New Roman" w:eastAsia="宋体" w:cs="Times New Roman"/>
                <w:color w:val="auto"/>
                <w:kern w:val="0"/>
                <w:sz w:val="16"/>
                <w:szCs w:val="15"/>
                <w:highlight w:val="none"/>
              </w:rPr>
              <w:t>序号</w:t>
            </w:r>
          </w:p>
        </w:tc>
        <w:tc>
          <w:tcPr>
            <w:tcW w:w="1494"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lang w:bidi="ar"/>
              </w:rPr>
            </w:pPr>
            <w:r>
              <w:rPr>
                <w:rFonts w:hint="eastAsia" w:ascii="Times New Roman" w:hAnsi="Times New Roman" w:eastAsia="宋体" w:cs="Times New Roman"/>
                <w:color w:val="auto"/>
                <w:kern w:val="0"/>
                <w:sz w:val="16"/>
                <w:szCs w:val="15"/>
                <w:highlight w:val="none"/>
              </w:rPr>
              <w:t>公司名称</w:t>
            </w:r>
          </w:p>
        </w:tc>
        <w:tc>
          <w:tcPr>
            <w:tcW w:w="1490"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lang w:bidi="ar"/>
              </w:rPr>
            </w:pPr>
            <w:r>
              <w:rPr>
                <w:rFonts w:hint="eastAsia" w:ascii="Times New Roman" w:hAnsi="Times New Roman" w:eastAsia="宋体" w:cs="Times New Roman"/>
                <w:color w:val="auto"/>
                <w:kern w:val="0"/>
                <w:sz w:val="16"/>
                <w:szCs w:val="15"/>
                <w:highlight w:val="none"/>
              </w:rPr>
              <w:t>项目名称</w:t>
            </w:r>
          </w:p>
        </w:tc>
        <w:tc>
          <w:tcPr>
            <w:tcW w:w="878"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lang w:bidi="ar"/>
              </w:rPr>
            </w:pPr>
            <w:r>
              <w:rPr>
                <w:rFonts w:hint="eastAsia" w:ascii="Times New Roman" w:hAnsi="Times New Roman" w:eastAsia="宋体" w:cs="Times New Roman"/>
                <w:color w:val="auto"/>
                <w:kern w:val="0"/>
                <w:sz w:val="16"/>
                <w:szCs w:val="15"/>
                <w:highlight w:val="none"/>
              </w:rPr>
              <w:t>免税年度</w:t>
            </w:r>
          </w:p>
        </w:tc>
        <w:tc>
          <w:tcPr>
            <w:tcW w:w="877"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lang w:bidi="ar"/>
              </w:rPr>
            </w:pPr>
            <w:r>
              <w:rPr>
                <w:rFonts w:hint="eastAsia" w:ascii="Times New Roman" w:hAnsi="Times New Roman" w:eastAsia="宋体" w:cs="Times New Roman"/>
                <w:color w:val="auto"/>
                <w:kern w:val="0"/>
                <w:sz w:val="16"/>
                <w:szCs w:val="15"/>
                <w:highlight w:val="none"/>
              </w:rPr>
              <w:t>减半征收年度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1</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海南州金元切吉风电有限公司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海南州金元切吉50MW风电项目</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2021年至2023年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2024年至2026年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共和美恒新能源有限公司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苏美达切吉50MW集中式风电项目</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2021年至2023年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2024年至2026年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3</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海西金元乌图美仁光伏发电有限公司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海西金元乌图美仁100兆瓦平价光伏项目</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2023年至2025年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2026年至2028年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4</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科尔沁右翼中旗易天光伏电力科技有限公司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天合科右中旗150MWp光伏储能综合治沙项目</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2022年至2024年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2025年至2027年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5</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乐昌市金扬新能源发电有限公司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乐昌市金扬100MW农光互补发电综合利用项目</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2020年至2022年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2023年至2025年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6</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连州市深亚新能源科技有限公司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连州市大路边镇30MW农光互补光伏发电项目</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2020年至2022年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2023年至2025年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7</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韶关玥阳新能源科技有限公司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乳源县玥阳20MW农光互补光伏发电综合利用项目</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2020年至2022年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2023年至2025年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8</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兴宁阳星太阳能发电有限公司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兴宁市阳星200MW农光互补光伏发电综合利用项目</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2020年至2022年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2023年至2025年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9</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阳春市巨阳新能源发电有限公司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阳春市巨阳新能源120MW渔光互补光伏发电综合利用项目</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2022年至2024年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2025年至2027年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10</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罗定市粤澳华融能源科技有限公司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罗定市100MW复合光伏发电项目</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2023年至2025年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2026年至2028年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11</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中电投贵州金元集团云南会泽新能源有限公司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会泽县田坝乡光伏扶贫电站</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2019年至2021年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2022年至2024年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12</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会泽华信绿色能源科技有限公司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会泽县30MW光伏扶贫项目</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2019年至2021年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2022年至2024年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13</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会泽华信绿色能源科技有限公司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会泽县者海镇阿依卡光伏扶贫电站</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2019年至2021年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2022年至2024年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14</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大姚瑞宏新能源开发有限公司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楚雄州大姚县仓街农光互补光伏发电项目</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2019年至2021年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2022年至2024年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15</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国家电投集团贵州金元威宁能源股份有限公司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迤那双营50MW农业光伏电站</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2020年至2022年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2023年至2025年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16</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国家电投集团贵州金元威宁能源股份有限公司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迤那水塘50MW农业光伏电站</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2020年至2022年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2023年至2025年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17</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国家电投集团贵州金元威宁能源股份有限公司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斗古瓦厂120MW农业光伏电站</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2020年至2022年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2023年至2025年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18</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国家电投集团贵州金元威宁能源股份有限公司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麻乍乐利60MW农业光伏电站</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2020年至2022年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2023年至2025年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19</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国家电投集团贵州金元威宁能源股份有限公司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麻乍箐口营60MW农业光伏电站</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2020年至2022年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2023年至2025年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国家电投集团贵州金元威宁能源股份有限公司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麻乍松木坎80MW农业光伏电站</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2020年至2022年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2023年至2025年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21</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国家电投集团贵州金元威宁能源股份有限公司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仙水窝100MW农业光伏电站</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2020年至2022年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2023年至2025年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22</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国家电投集团贵州金元威宁能源股份有限公司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么站二期60MW农业光伏电站</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2020年至2022年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2023年至2025年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23</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国家电投集团贵州金元威宁能源股份有限公司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么站五嘎80MW农业光伏电站</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2020年至2022年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2023年至2025年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24</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国家电投集团贵州金元威宁能源股份有限公司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么站新旧房40MW农业光伏电站</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2020年至2022年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2023年至2025年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25</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国家电投集团贵州金元威宁能源股份有限公司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金斗大坪子30MW农业光伏电站</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2020年至2022年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2023年至2025年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26</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国家电投集团贵州金元威宁能源股份有限公司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黑土河半坡50MW农业光伏电站</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2020年至2022年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2023年至2025年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27</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国家电投集团贵州金元威宁能源股份有限公司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黑土河发地口子40MW农业光伏电站</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2020年至2022年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2023年至2025年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28</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国家电投集团贵州金元威宁能源股份有限公司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黑土河小石板60MW农业光伏电站</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2020年至2022年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2023年至2025年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29</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国家电投集团贵州金元威宁能源股份有限公司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二塘梅花山50MW农业光伏电站</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2020年至2022年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2023年至2025年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30</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国家电投集团贵州金元威宁能源股份有限公司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石门簸箕寨40MW农业光伏电站</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2020年至2022年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2023年至2025年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31</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国家电投集团贵州金元威宁能源股份有限公司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小坝镇工业园区16.61MW屋顶光伏电站</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2020年至2022年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2023年至2025年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32</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国家电投集团贵州金元威宁能源股份有限公司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龙街海东梁子农业光伏电站</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2021年至2023年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2024年至2026年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33</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国家电投集团贵州金元威宁能源股份有限公司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龙街大寨农业光伏电站</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2021年至2023年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2024年至2026年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34</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国家电投集团贵州金元威宁能源股份有限公司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秀水得来洞农业光伏电站</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2021年至2023年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2024年至2026年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35</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国家电投集团贵州金元威宁能源股份有限公司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威宁县雪山杨家坪子70MW农业光伏电站</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2021年至2023年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2024年至2026年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36</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国家电投集团贵州金元威宁能源股份有限公司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威宁县五里岗夏家坪子50MW农业光伏电站</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2021年至2023年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2024年至2026年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37</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国家电投集团贵州金元威宁能源股份有限公司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威宁县龙街小米70MW农业光伏电站</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2021年至2023年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2024年至2026年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38</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国家电投集团贵州金元威宁能源股份有限公司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威宁县迤那水塘二期30MW农业光伏电站</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2021年至2023年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2024年至2026年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39</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赫章精工能源扶贫发展有限公司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赫章县文渊二期光伏电站项目</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2019年至2021年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2022年至2024年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40</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赫章威能新能源有限公司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赫章县铁匠双坪150MW农业光伏电站</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2021年至2023年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2024年至2026年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41</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赫章威能新能源有限公司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赫章县双坪福来厂50MW农业光伏电站</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2021年至2023年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2024年至2026年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42</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关岭威能新能源有限公司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关岭县永宁萝卜100MW农业光伏电站</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2021年至2023年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2024年至2026年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43</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纳雍威能新能源有限公司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纳雍县屯脚灰场50MW光伏电站</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2021年至2023年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2024年至2026年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44</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威宁新叶新能源科技有限公司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威宁县龙场农业光伏电站</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2020年至2022年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2023年至2025年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45</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赫章新叶新能源科技有限公司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赫章县哲庄农业光伏电站</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2020年至2022年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2023年至2025年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46</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六盘水行阳新能源发电有限公司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六枝老虎大坪100MW农业光伏电站项目</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2020年至2022年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2023年至2025年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47</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毕节徽阳新能源发电有限公司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纳雍县新房农业光伏电站</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2020年至2022年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2023年至2025年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48</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万荣县新佳新能源有限公司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万荣县稷王山50MW风力发电项目</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2021年至2023年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2024年至2026年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49</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淳化中略风力发电有限公司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陕西省淳化中略80MW风电项目</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2021年至2023年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2024年至2026年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50</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宝鸡鼎顺特光伏发电有限公司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宝鸡市金台区50兆瓦光伏发电项目</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2021年至2023年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2024年至2026年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691"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51</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黄龙县隆清光伏发电有限公司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黄龙县三岔镇10万千瓦平价上网光伏发电项目</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2021年至2023年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2024年至2026年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52</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洛南水发能源科技有限公司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洛南100MW（一期）光伏农业与光伏观光旅游综合利用示范项目</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2021年至2023年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2024年至2026年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53</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忻州市虎悦通新能源有限公司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虎悦通忻州市忻府区一期5万千瓦光伏发电项目</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2022年至2024年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2025年至2027年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54</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贵港市光荷新能源发电有限公司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覃塘古平水库40MW渔光互补光伏发电项目（一期）</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2019年至2021年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2022年至2024年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55</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贵港市光荷新能源发电有限公司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覃塘古平水库40MW渔光互补光伏发电项目（二期）</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2020年至2022年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2023年至2025年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56</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马山协合古零风力发电有限公司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马山协合杨圩风电场二期工程</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2020年至2022年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2023年至2025年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57</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钦州鑫奥光伏电力有限公司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广西钦州300WM光伏平价上网示范项目</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2022年至2024年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2025年至2027年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58</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东兴市浩阳新能源有限公司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广西东兴150MW渔光互补综合旅游示范项目</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2021年至2023年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2024年至2026年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59</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钦州金安新能源有限公司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广西钦州金安250MW平价光伏基地项目</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2022年至2024年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2025年至2027年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60</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贞丰兴源光伏科技有限公司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贵州黔西南州贞丰下布克光伏电站</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2019年至2021年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2022年至2024年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61</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兴义市金峰新能源有限公司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贵州兴义南兴屋顶分布式光伏电站</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2019年至2021年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2022年至2024年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62</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册亨协合风力发电有限公司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贵州册亨大顶柱风电站</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2019年至2021年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2022年至2024年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63</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兴仁市协合风力发电有限公司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贵州兴仁放马坪风电场</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2021年至2023年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2024年至2026年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64</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黔西南州义龙中弘绿色能源有限公司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贵州黔西南义龙新区新桥农业光伏电站</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2020年至2022年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2023年至2025年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65</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兴仁市亚玛顿新能源有限公司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贵州黔西南兴仁县鲁础营农业光伏电站</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2020年至2022年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2023年至2025年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66</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贵州黔西南金元新能源有限公司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贵州兴义牛头坡农业光伏电站</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2020年至2022年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2023年至2025年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67</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贵州黔西南金元新能源有限公司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贵州兴义白碗窑农业光伏电站</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2020年至2022年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2023年至2025年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68</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黔西南州弘冠新能源有限公司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贵州兴义义龙新区新桥荷花农业光伏电站</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2021年至2023年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2024年至2026年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69</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黔西南州中弘新能源有限公司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贵州黔西南义龙新区龙广安叉农业光伏电站</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2020年至2022年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2023年至2025年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70</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黔西南州亭阳新能源发电有限公司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贵州晴隆阳光安谷农业光伏电站</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2021年至2023年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2024年至2026年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71</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册亨县金元新能源有限公司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贵州黔西南册亨县大顶柱风光互补农业光伏电站</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2021年至2023年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2024年至2026年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72</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安龙县蔑帽新能源有限公司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贵州黔西南安龙县蔑帽坡农业光伏电站</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2021年至2023年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2024年至2026年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73</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贵州黔光照能源开发有限公司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贵州黔西南普安县楼下农业光伏电站</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2020年至2022年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2023年至2025年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74</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黔西南州丰阳新能源发电有限公司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贵州黔西南贞丰县者相农业光伏电站</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2020年至2022年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2023年至2025年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75</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黔西南州陇阳新能源发电有限公司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贵州黔西南晴隆县紫马农业光伏电站</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2020年至2022年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2023年至2025年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76</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平山堡岛新能源有限公司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平山堡岛新能源有限公司石家庄市平山县岗南镇100Mwp光伏发电项目</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2023年至2025年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2026年至2028年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77</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平山县北冀建能新能源开发有限责任公司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平山县北冀建能新能源开发有限责任公司200兆瓦农光互补光伏发电项目(一期100兆瓦)</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2023年至2025年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2026年至2028年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78</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上林协鑫光伏电力有限公司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上林县白圩镇40MW(三期)光伏发电项目</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2023年至2025年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2026年至2028年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79</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国家电投集团贵州金元威宁能源股份有限公司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威宁县海拉海元农业光伏电站项目</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2024年-2026年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2027年至2029年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80</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国家电投集团贵州金元威宁能源股份有限公司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威宁县玉龙长坡院子农业光伏电站项目</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2024年-2026年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2027年至2029年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81</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国家电投集团贵州金元威宁能源股份有限公司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威宁县盐仓大地坪子农业光伏电站项目</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2024年-2026年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2027年至2029年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82</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国家电投集团贵州金元威宁能源股份有限公司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威宁县盐仓全麻口子农业光伏电站项目</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2024年-2026年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2027年至2029年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83</w:t>
            </w:r>
          </w:p>
        </w:tc>
        <w:tc>
          <w:tcPr>
            <w:tcW w:w="1494"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国家电投集团贵州金元威宁能源股份有限公司</w:t>
            </w:r>
          </w:p>
        </w:tc>
        <w:tc>
          <w:tcPr>
            <w:tcW w:w="1490" w:type="pct"/>
            <w:shd w:val="clear" w:color="auto" w:fill="auto"/>
            <w:vAlign w:val="center"/>
          </w:tcPr>
          <w:p>
            <w:pPr>
              <w:spacing w:line="200" w:lineRule="atLeast"/>
              <w:jc w:val="both"/>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威宁县盐仓老鸦营农业光伏电站项目</w:t>
            </w:r>
          </w:p>
        </w:tc>
        <w:tc>
          <w:tcPr>
            <w:tcW w:w="878"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2024年-2026年</w:t>
            </w:r>
          </w:p>
        </w:tc>
        <w:tc>
          <w:tcPr>
            <w:tcW w:w="877" w:type="pct"/>
            <w:shd w:val="clear" w:color="auto" w:fill="auto"/>
            <w:vAlign w:val="center"/>
          </w:tcPr>
          <w:p>
            <w:pPr>
              <w:spacing w:line="200" w:lineRule="atLeast"/>
              <w:jc w:val="left"/>
              <w:rPr>
                <w:rFonts w:ascii="Times New Roman" w:hAnsi="Times New Roman" w:eastAsia="宋体" w:cs="Times New Roman"/>
                <w:color w:val="auto"/>
                <w:kern w:val="0"/>
                <w:sz w:val="16"/>
                <w:szCs w:val="15"/>
                <w:highlight w:val="none"/>
              </w:rPr>
            </w:pPr>
            <w:r>
              <w:rPr>
                <w:rFonts w:ascii="Times New Roman" w:hAnsi="Times New Roman" w:eastAsia="宋体" w:cs="Times New Roman"/>
                <w:color w:val="auto"/>
                <w:kern w:val="0"/>
                <w:sz w:val="16"/>
                <w:szCs w:val="15"/>
                <w:highlight w:val="none"/>
              </w:rPr>
              <w:t>2027年至2029年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1" w:type="pct"/>
            <w:shd w:val="clear" w:color="auto" w:fill="auto"/>
            <w:vAlign w:val="center"/>
          </w:tcPr>
          <w:p>
            <w:pPr>
              <w:spacing w:line="200" w:lineRule="atLeast"/>
              <w:jc w:val="center"/>
              <w:rPr>
                <w:rFonts w:ascii="Times New Roman" w:hAnsi="Times New Roman" w:eastAsia="宋体" w:cs="Times New Roman"/>
                <w:color w:val="auto"/>
                <w:kern w:val="0"/>
                <w:sz w:val="16"/>
                <w:szCs w:val="15"/>
                <w:highlight w:val="none"/>
              </w:rPr>
            </w:pPr>
            <w:r>
              <w:rPr>
                <w:rFonts w:hint="eastAsia" w:ascii="Times New Roman" w:hAnsi="Times New Roman" w:eastAsia="宋体" w:cs="Times New Roman"/>
                <w:color w:val="auto"/>
                <w:kern w:val="0"/>
                <w:sz w:val="16"/>
                <w:szCs w:val="15"/>
                <w:highlight w:val="none"/>
              </w:rPr>
              <w:t>8</w:t>
            </w:r>
            <w:r>
              <w:rPr>
                <w:rFonts w:ascii="Times New Roman" w:hAnsi="Times New Roman" w:eastAsia="宋体" w:cs="Times New Roman"/>
                <w:color w:val="auto"/>
                <w:kern w:val="0"/>
                <w:sz w:val="16"/>
                <w:szCs w:val="15"/>
                <w:highlight w:val="none"/>
              </w:rPr>
              <w:t>4</w:t>
            </w:r>
          </w:p>
        </w:tc>
        <w:tc>
          <w:tcPr>
            <w:tcW w:w="1494" w:type="pct"/>
            <w:shd w:val="clear" w:color="auto" w:fill="auto"/>
            <w:vAlign w:val="center"/>
          </w:tcPr>
          <w:p>
            <w:pPr>
              <w:adjustRightInd w:val="0"/>
              <w:snapToGrid w:val="0"/>
              <w:spacing w:line="200" w:lineRule="atLeast"/>
              <w:ind w:firstLine="2"/>
              <w:jc w:val="both"/>
              <w:rPr>
                <w:rFonts w:ascii="Times New Roman" w:hAnsi="Times New Roman" w:eastAsia="宋体" w:cs="Times New Roman"/>
                <w:color w:val="auto"/>
                <w:kern w:val="0"/>
                <w:sz w:val="16"/>
                <w:szCs w:val="15"/>
                <w:highlight w:val="none"/>
              </w:rPr>
            </w:pPr>
            <w:r>
              <w:rPr>
                <w:rFonts w:hint="eastAsia" w:ascii="Times New Roman" w:hAnsi="Times New Roman" w:eastAsia="宋体" w:cs="Times New Roman"/>
                <w:color w:val="auto"/>
                <w:kern w:val="0"/>
                <w:sz w:val="16"/>
                <w:szCs w:val="15"/>
                <w:highlight w:val="none"/>
              </w:rPr>
              <w:t>连州市中曼新能源有限公司</w:t>
            </w:r>
          </w:p>
        </w:tc>
        <w:tc>
          <w:tcPr>
            <w:tcW w:w="1490" w:type="pct"/>
            <w:shd w:val="clear" w:color="auto" w:fill="auto"/>
            <w:vAlign w:val="center"/>
          </w:tcPr>
          <w:p>
            <w:pPr>
              <w:adjustRightInd w:val="0"/>
              <w:snapToGrid w:val="0"/>
              <w:spacing w:line="200" w:lineRule="atLeast"/>
              <w:ind w:firstLine="2"/>
              <w:jc w:val="both"/>
              <w:rPr>
                <w:rFonts w:ascii="Times New Roman" w:hAnsi="Times New Roman" w:eastAsia="宋体" w:cs="Times New Roman"/>
                <w:color w:val="auto"/>
                <w:kern w:val="0"/>
                <w:sz w:val="16"/>
                <w:szCs w:val="15"/>
                <w:highlight w:val="none"/>
              </w:rPr>
            </w:pPr>
            <w:r>
              <w:rPr>
                <w:rFonts w:hint="eastAsia" w:ascii="Times New Roman" w:hAnsi="Times New Roman" w:eastAsia="宋体" w:cs="Times New Roman"/>
                <w:color w:val="auto"/>
                <w:kern w:val="0"/>
                <w:sz w:val="16"/>
                <w:szCs w:val="15"/>
                <w:highlight w:val="none"/>
              </w:rPr>
              <w:t>连州市西江镇、龙坪镇、九陂镇210MW农光互补光伏电站项目</w:t>
            </w:r>
          </w:p>
        </w:tc>
        <w:tc>
          <w:tcPr>
            <w:tcW w:w="878" w:type="pct"/>
            <w:shd w:val="clear" w:color="auto" w:fill="auto"/>
            <w:vAlign w:val="center"/>
          </w:tcPr>
          <w:p>
            <w:pPr>
              <w:adjustRightInd w:val="0"/>
              <w:snapToGrid w:val="0"/>
              <w:spacing w:line="200" w:lineRule="atLeast"/>
              <w:ind w:firstLine="2"/>
              <w:jc w:val="left"/>
              <w:rPr>
                <w:rFonts w:ascii="Times New Roman" w:hAnsi="Times New Roman" w:eastAsia="宋体" w:cs="Times New Roman"/>
                <w:color w:val="auto"/>
                <w:kern w:val="0"/>
                <w:sz w:val="16"/>
                <w:szCs w:val="15"/>
                <w:highlight w:val="none"/>
              </w:rPr>
            </w:pPr>
            <w:r>
              <w:rPr>
                <w:rFonts w:hint="eastAsia" w:ascii="Times New Roman" w:hAnsi="Times New Roman" w:eastAsia="宋体" w:cs="Times New Roman"/>
                <w:color w:val="auto"/>
                <w:kern w:val="0"/>
                <w:sz w:val="16"/>
                <w:szCs w:val="15"/>
                <w:highlight w:val="none"/>
              </w:rPr>
              <w:t>2023年至2025年</w:t>
            </w:r>
          </w:p>
        </w:tc>
        <w:tc>
          <w:tcPr>
            <w:tcW w:w="877" w:type="pct"/>
            <w:shd w:val="clear" w:color="auto" w:fill="auto"/>
            <w:vAlign w:val="center"/>
          </w:tcPr>
          <w:p>
            <w:pPr>
              <w:adjustRightInd w:val="0"/>
              <w:snapToGrid w:val="0"/>
              <w:spacing w:line="200" w:lineRule="atLeast"/>
              <w:ind w:firstLine="2"/>
              <w:jc w:val="left"/>
              <w:rPr>
                <w:rFonts w:ascii="Times New Roman" w:hAnsi="Times New Roman" w:eastAsia="宋体" w:cs="Times New Roman"/>
                <w:color w:val="auto"/>
                <w:kern w:val="0"/>
                <w:sz w:val="16"/>
                <w:szCs w:val="15"/>
                <w:highlight w:val="none"/>
              </w:rPr>
            </w:pPr>
            <w:r>
              <w:rPr>
                <w:rFonts w:hint="eastAsia" w:ascii="Times New Roman" w:hAnsi="Times New Roman" w:eastAsia="宋体" w:cs="Times New Roman"/>
                <w:color w:val="auto"/>
                <w:kern w:val="0"/>
                <w:sz w:val="16"/>
                <w:szCs w:val="15"/>
                <w:highlight w:val="none"/>
              </w:rPr>
              <w:t>2026年至2028年</w:t>
            </w:r>
          </w:p>
        </w:tc>
      </w:tr>
    </w:tbl>
    <w:p>
      <w:pPr>
        <w:pStyle w:val="38"/>
        <w:rPr>
          <w:rFonts w:eastAsiaTheme="minorEastAsia"/>
          <w:color w:val="auto"/>
          <w:highlight w:val="none"/>
        </w:rPr>
      </w:pPr>
    </w:p>
    <w:p>
      <w:pPr>
        <w:widowControl w:val="0"/>
        <w:numPr>
          <w:ilvl w:val="0"/>
          <w:numId w:val="26"/>
        </w:numPr>
        <w:tabs>
          <w:tab w:val="left" w:pos="0"/>
        </w:tabs>
        <w:adjustRightInd w:val="0"/>
        <w:snapToGrid w:val="0"/>
        <w:ind w:left="714"/>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根据《财政部 税务总局关于海南自由贸易港企业所得税优惠政策的通知》(财税〔2020〕31号)的相关规定，注册在海南自由贸易港(以下简称自贸港)并实质性运营的鼓励类产业企业，减按15%的税率征收企业所得税。享受税收优惠的项目具体情况如下表：</w:t>
      </w:r>
    </w:p>
    <w:p>
      <w:pPr>
        <w:widowControl w:val="0"/>
        <w:tabs>
          <w:tab w:val="left" w:pos="0"/>
        </w:tabs>
        <w:adjustRightInd w:val="0"/>
        <w:snapToGrid w:val="0"/>
        <w:jc w:val="both"/>
        <w:rPr>
          <w:rFonts w:ascii="Times New Roman" w:hAnsi="Times New Roman" w:eastAsia="宋体" w:cs="Times New Roman"/>
          <w:color w:val="auto"/>
          <w:highlight w:val="none"/>
        </w:rPr>
      </w:pP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658"/>
        <w:gridCol w:w="1952"/>
        <w:gridCol w:w="2789"/>
        <w:gridCol w:w="1638"/>
        <w:gridCol w:w="1151"/>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402" w:type="pct"/>
            <w:shd w:val="clear" w:color="auto" w:fill="auto"/>
            <w:vAlign w:val="center"/>
          </w:tcPr>
          <w:p>
            <w:pPr>
              <w:spacing w:line="200" w:lineRule="atLeast"/>
              <w:jc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rPr>
              <w:t>序号</w:t>
            </w:r>
          </w:p>
        </w:tc>
        <w:tc>
          <w:tcPr>
            <w:tcW w:w="1192" w:type="pct"/>
            <w:shd w:val="clear" w:color="auto" w:fill="auto"/>
            <w:vAlign w:val="center"/>
          </w:tcPr>
          <w:p>
            <w:pPr>
              <w:spacing w:line="200" w:lineRule="atLeast"/>
              <w:jc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rPr>
              <w:t>公司名称</w:t>
            </w:r>
          </w:p>
        </w:tc>
        <w:tc>
          <w:tcPr>
            <w:tcW w:w="1703" w:type="pct"/>
            <w:shd w:val="clear" w:color="auto" w:fill="auto"/>
            <w:vAlign w:val="center"/>
          </w:tcPr>
          <w:p>
            <w:pPr>
              <w:spacing w:line="200" w:lineRule="atLeast"/>
              <w:jc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rPr>
              <w:t>项目名称</w:t>
            </w:r>
          </w:p>
        </w:tc>
        <w:tc>
          <w:tcPr>
            <w:tcW w:w="1000" w:type="pct"/>
            <w:shd w:val="clear" w:color="auto" w:fill="auto"/>
            <w:vAlign w:val="center"/>
          </w:tcPr>
          <w:p>
            <w:pPr>
              <w:spacing w:line="200" w:lineRule="atLeast"/>
              <w:jc w:val="center"/>
              <w:rPr>
                <w:rFonts w:ascii="Times New Roman" w:hAnsi="Times New Roman" w:eastAsia="宋体" w:cs="Times New Roman"/>
                <w:color w:val="auto"/>
                <w:kern w:val="0"/>
                <w:sz w:val="16"/>
                <w:szCs w:val="16"/>
                <w:highlight w:val="none"/>
              </w:rPr>
            </w:pPr>
            <w:r>
              <w:rPr>
                <w:rFonts w:hint="eastAsia" w:ascii="Times New Roman" w:hAnsi="Times New Roman" w:eastAsia="宋体" w:cs="Times New Roman"/>
                <w:color w:val="auto"/>
                <w:kern w:val="0"/>
                <w:sz w:val="16"/>
                <w:szCs w:val="16"/>
                <w:highlight w:val="none"/>
              </w:rPr>
              <w:t>享受优惠年度</w:t>
            </w:r>
          </w:p>
        </w:tc>
        <w:tc>
          <w:tcPr>
            <w:tcW w:w="703" w:type="pct"/>
            <w:shd w:val="clear" w:color="auto" w:fill="auto"/>
            <w:vAlign w:val="center"/>
          </w:tcPr>
          <w:p>
            <w:pPr>
              <w:spacing w:line="200" w:lineRule="atLeast"/>
              <w:jc w:val="center"/>
              <w:rPr>
                <w:rFonts w:ascii="Times New Roman" w:hAnsi="Times New Roman" w:eastAsia="宋体" w:cs="Times New Roman"/>
                <w:color w:val="auto"/>
                <w:kern w:val="0"/>
                <w:sz w:val="16"/>
                <w:szCs w:val="16"/>
                <w:highlight w:val="none"/>
              </w:rPr>
            </w:pPr>
            <w:r>
              <w:rPr>
                <w:rFonts w:hint="eastAsia" w:ascii="Times New Roman" w:hAnsi="Times New Roman" w:eastAsia="宋体" w:cs="Times New Roman"/>
                <w:color w:val="auto"/>
                <w:kern w:val="0"/>
                <w:sz w:val="16"/>
                <w:szCs w:val="16"/>
                <w:highlight w:val="none"/>
              </w:rPr>
              <w:t>优惠税率</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02" w:type="pct"/>
            <w:shd w:val="clear" w:color="auto" w:fill="auto"/>
            <w:vAlign w:val="center"/>
          </w:tcPr>
          <w:p>
            <w:pPr>
              <w:spacing w:line="200" w:lineRule="atLeast"/>
              <w:jc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rPr>
              <w:t>1</w:t>
            </w:r>
          </w:p>
        </w:tc>
        <w:tc>
          <w:tcPr>
            <w:tcW w:w="1192" w:type="pct"/>
            <w:shd w:val="clear" w:color="auto" w:fill="auto"/>
            <w:vAlign w:val="center"/>
          </w:tcPr>
          <w:p>
            <w:pPr>
              <w:spacing w:line="200" w:lineRule="atLeast"/>
              <w:jc w:val="both"/>
              <w:rPr>
                <w:rFonts w:ascii="Times New Roman" w:hAnsi="Times New Roman" w:eastAsia="宋体" w:cs="Times New Roman"/>
                <w:color w:val="auto"/>
                <w:kern w:val="0"/>
                <w:sz w:val="16"/>
                <w:szCs w:val="16"/>
                <w:highlight w:val="none"/>
              </w:rPr>
            </w:pPr>
            <w:r>
              <w:rPr>
                <w:rFonts w:hint="eastAsia" w:ascii="Times New Roman" w:hAnsi="Times New Roman" w:eastAsia="宋体" w:cs="Times New Roman"/>
                <w:color w:val="auto"/>
                <w:kern w:val="0"/>
                <w:sz w:val="16"/>
                <w:szCs w:val="16"/>
                <w:highlight w:val="none"/>
              </w:rPr>
              <w:t>海南意晟新能源有限公司</w:t>
            </w:r>
          </w:p>
        </w:tc>
        <w:tc>
          <w:tcPr>
            <w:tcW w:w="1703" w:type="pct"/>
            <w:shd w:val="clear" w:color="auto" w:fill="auto"/>
            <w:vAlign w:val="center"/>
          </w:tcPr>
          <w:p>
            <w:pPr>
              <w:spacing w:line="200" w:lineRule="atLeast"/>
              <w:jc w:val="both"/>
              <w:rPr>
                <w:rFonts w:ascii="Times New Roman" w:hAnsi="Times New Roman" w:eastAsia="宋体" w:cs="Times New Roman"/>
                <w:color w:val="auto"/>
                <w:kern w:val="0"/>
                <w:sz w:val="16"/>
                <w:szCs w:val="16"/>
                <w:highlight w:val="none"/>
              </w:rPr>
            </w:pPr>
            <w:r>
              <w:rPr>
                <w:rFonts w:hint="eastAsia" w:ascii="Times New Roman" w:hAnsi="Times New Roman" w:eastAsia="宋体" w:cs="Times New Roman"/>
                <w:color w:val="auto"/>
                <w:kern w:val="0"/>
                <w:sz w:val="16"/>
                <w:szCs w:val="16"/>
                <w:highlight w:val="none"/>
              </w:rPr>
              <w:t>海南意晟东方25兆瓦光伏发电综合农业开发项目</w:t>
            </w:r>
          </w:p>
        </w:tc>
        <w:tc>
          <w:tcPr>
            <w:tcW w:w="1000" w:type="pct"/>
            <w:shd w:val="clear" w:color="auto" w:fill="auto"/>
            <w:vAlign w:val="center"/>
          </w:tcPr>
          <w:p>
            <w:pPr>
              <w:spacing w:line="200" w:lineRule="atLeast"/>
              <w:jc w:val="center"/>
              <w:rPr>
                <w:rFonts w:ascii="Times New Roman" w:hAnsi="Times New Roman" w:eastAsia="宋体" w:cs="Times New Roman"/>
                <w:color w:val="auto"/>
                <w:kern w:val="0"/>
                <w:sz w:val="16"/>
                <w:szCs w:val="16"/>
                <w:highlight w:val="none"/>
              </w:rPr>
            </w:pPr>
            <w:r>
              <w:rPr>
                <w:rFonts w:hint="eastAsia" w:ascii="Times New Roman" w:hAnsi="Times New Roman" w:eastAsia="宋体" w:cs="Times New Roman"/>
                <w:color w:val="auto"/>
                <w:kern w:val="0"/>
                <w:sz w:val="16"/>
                <w:szCs w:val="16"/>
                <w:highlight w:val="none"/>
              </w:rPr>
              <w:t>2</w:t>
            </w:r>
            <w:r>
              <w:rPr>
                <w:rFonts w:ascii="Times New Roman" w:hAnsi="Times New Roman" w:eastAsia="宋体" w:cs="Times New Roman"/>
                <w:color w:val="auto"/>
                <w:kern w:val="0"/>
                <w:sz w:val="16"/>
                <w:szCs w:val="16"/>
                <w:highlight w:val="none"/>
              </w:rPr>
              <w:t>021</w:t>
            </w:r>
            <w:r>
              <w:rPr>
                <w:rFonts w:hint="eastAsia" w:ascii="Times New Roman" w:hAnsi="Times New Roman" w:eastAsia="宋体" w:cs="Times New Roman"/>
                <w:color w:val="auto"/>
                <w:kern w:val="0"/>
                <w:sz w:val="16"/>
                <w:szCs w:val="16"/>
                <w:highlight w:val="none"/>
              </w:rPr>
              <w:t>年2</w:t>
            </w:r>
            <w:r>
              <w:rPr>
                <w:rFonts w:ascii="Times New Roman" w:hAnsi="Times New Roman" w:eastAsia="宋体" w:cs="Times New Roman"/>
                <w:color w:val="auto"/>
                <w:kern w:val="0"/>
                <w:sz w:val="16"/>
                <w:szCs w:val="16"/>
                <w:highlight w:val="none"/>
              </w:rPr>
              <w:t>024</w:t>
            </w:r>
            <w:r>
              <w:rPr>
                <w:rFonts w:hint="eastAsia" w:ascii="Times New Roman" w:hAnsi="Times New Roman" w:eastAsia="宋体" w:cs="Times New Roman"/>
                <w:color w:val="auto"/>
                <w:kern w:val="0"/>
                <w:sz w:val="16"/>
                <w:szCs w:val="16"/>
                <w:highlight w:val="none"/>
              </w:rPr>
              <w:t>年</w:t>
            </w:r>
          </w:p>
        </w:tc>
        <w:tc>
          <w:tcPr>
            <w:tcW w:w="703" w:type="pct"/>
            <w:shd w:val="clear" w:color="auto" w:fill="auto"/>
            <w:vAlign w:val="center"/>
          </w:tcPr>
          <w:p>
            <w:pPr>
              <w:spacing w:line="200" w:lineRule="atLeast"/>
              <w:jc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rPr>
              <w:t>15%</w:t>
            </w:r>
          </w:p>
        </w:tc>
      </w:tr>
    </w:tbl>
    <w:p>
      <w:pPr>
        <w:ind w:left="709"/>
        <w:jc w:val="both"/>
        <w:rPr>
          <w:rFonts w:ascii="Times New Roman" w:hAnsi="Times New Roman" w:eastAsia="宋体" w:cs="Times New Roman"/>
          <w:color w:val="auto"/>
          <w:highlight w:val="none"/>
        </w:rPr>
      </w:pPr>
    </w:p>
    <w:p>
      <w:pPr>
        <w:ind w:left="709"/>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3、根据《国务院关于实施西部大开发若干政策措施的通知》（国发[2000]33号）、《财政部、海关总署、国家税务总局关于深入实施西部大开发战略有关税收政策问题的通知》（财税[2011]58号）、《财政部 税务总局 国家发展改革委关于延续西部大开发企业所得税政策的公告》（财政部公告2020年第23号）的规定以及各地税务局相关文件，本公司所属部分子公司享受西部大开发优惠政策。享受税收优惠的项目具体情况如下表：</w:t>
      </w:r>
    </w:p>
    <w:p>
      <w:pPr>
        <w:rPr>
          <w:color w:val="auto"/>
          <w:highlight w:val="none"/>
        </w:rPr>
      </w:pPr>
    </w:p>
    <w:tbl>
      <w:tblPr>
        <w:tblStyle w:val="49"/>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911"/>
        <w:gridCol w:w="5653"/>
        <w:gridCol w:w="1624"/>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911"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序号</w:t>
            </w:r>
          </w:p>
        </w:tc>
        <w:tc>
          <w:tcPr>
            <w:tcW w:w="5653"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hint="eastAsia" w:ascii="宋体" w:hAnsi="宋体" w:eastAsia="宋体" w:cs="宋体"/>
                <w:color w:val="auto"/>
                <w:kern w:val="0"/>
                <w:sz w:val="16"/>
                <w:szCs w:val="16"/>
                <w:highlight w:val="none"/>
                <w:lang w:bidi="ar"/>
              </w:rPr>
              <w:t>单位名称</w:t>
            </w:r>
          </w:p>
        </w:tc>
        <w:tc>
          <w:tcPr>
            <w:tcW w:w="1624"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2024年优惠税率</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911"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w:t>
            </w:r>
          </w:p>
        </w:tc>
        <w:tc>
          <w:tcPr>
            <w:tcW w:w="5653" w:type="dxa"/>
            <w:shd w:val="clear" w:color="auto" w:fill="auto"/>
            <w:vAlign w:val="center"/>
          </w:tcPr>
          <w:p>
            <w:pPr>
              <w:spacing w:line="200" w:lineRule="atLeast"/>
              <w:jc w:val="both"/>
              <w:textAlignment w:val="center"/>
              <w:rPr>
                <w:rFonts w:ascii="Times New Roman" w:hAnsi="Times New Roman" w:eastAsia="宋体" w:cs="Times New Roman"/>
                <w:color w:val="auto"/>
                <w:kern w:val="0"/>
                <w:sz w:val="16"/>
                <w:szCs w:val="16"/>
                <w:highlight w:val="none"/>
              </w:rPr>
            </w:pPr>
            <w:r>
              <w:rPr>
                <w:rFonts w:hint="eastAsia" w:ascii="宋体" w:hAnsi="宋体" w:eastAsia="宋体" w:cs="宋体"/>
                <w:color w:val="auto"/>
                <w:kern w:val="0"/>
                <w:sz w:val="16"/>
                <w:szCs w:val="16"/>
                <w:highlight w:val="none"/>
                <w:lang w:bidi="ar"/>
              </w:rPr>
              <w:t>海南州金元切吉风电有限公司</w:t>
            </w:r>
          </w:p>
        </w:tc>
        <w:tc>
          <w:tcPr>
            <w:tcW w:w="1624"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911"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2</w:t>
            </w:r>
          </w:p>
        </w:tc>
        <w:tc>
          <w:tcPr>
            <w:tcW w:w="5653" w:type="dxa"/>
            <w:shd w:val="clear" w:color="auto" w:fill="auto"/>
            <w:vAlign w:val="center"/>
          </w:tcPr>
          <w:p>
            <w:pPr>
              <w:spacing w:line="200" w:lineRule="atLeast"/>
              <w:jc w:val="both"/>
              <w:textAlignment w:val="center"/>
              <w:rPr>
                <w:rFonts w:ascii="Times New Roman" w:hAnsi="Times New Roman" w:eastAsia="宋体" w:cs="Times New Roman"/>
                <w:color w:val="auto"/>
                <w:kern w:val="0"/>
                <w:sz w:val="16"/>
                <w:szCs w:val="16"/>
                <w:highlight w:val="none"/>
              </w:rPr>
            </w:pPr>
            <w:r>
              <w:rPr>
                <w:rFonts w:hint="eastAsia" w:ascii="宋体" w:hAnsi="宋体" w:eastAsia="宋体" w:cs="宋体"/>
                <w:color w:val="auto"/>
                <w:kern w:val="0"/>
                <w:sz w:val="16"/>
                <w:szCs w:val="16"/>
                <w:highlight w:val="none"/>
                <w:lang w:bidi="ar"/>
              </w:rPr>
              <w:t>共和美恒新能源有限公司</w:t>
            </w:r>
          </w:p>
        </w:tc>
        <w:tc>
          <w:tcPr>
            <w:tcW w:w="1624"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911"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3</w:t>
            </w:r>
          </w:p>
        </w:tc>
        <w:tc>
          <w:tcPr>
            <w:tcW w:w="5653" w:type="dxa"/>
            <w:shd w:val="clear" w:color="auto" w:fill="auto"/>
            <w:vAlign w:val="center"/>
          </w:tcPr>
          <w:p>
            <w:pPr>
              <w:spacing w:line="200" w:lineRule="atLeast"/>
              <w:jc w:val="both"/>
              <w:textAlignment w:val="center"/>
              <w:rPr>
                <w:rFonts w:ascii="Times New Roman" w:hAnsi="Times New Roman" w:eastAsia="宋体" w:cs="Times New Roman"/>
                <w:color w:val="auto"/>
                <w:kern w:val="0"/>
                <w:sz w:val="16"/>
                <w:szCs w:val="16"/>
                <w:highlight w:val="none"/>
              </w:rPr>
            </w:pPr>
            <w:r>
              <w:rPr>
                <w:rFonts w:hint="eastAsia" w:ascii="宋体" w:hAnsi="宋体" w:eastAsia="宋体" w:cs="宋体"/>
                <w:color w:val="auto"/>
                <w:kern w:val="0"/>
                <w:sz w:val="16"/>
                <w:szCs w:val="16"/>
                <w:highlight w:val="none"/>
                <w:lang w:bidi="ar"/>
              </w:rPr>
              <w:t>中电投贵州金元集团云南会泽新能源有限公司</w:t>
            </w:r>
          </w:p>
        </w:tc>
        <w:tc>
          <w:tcPr>
            <w:tcW w:w="1624"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911"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4</w:t>
            </w:r>
          </w:p>
        </w:tc>
        <w:tc>
          <w:tcPr>
            <w:tcW w:w="5653" w:type="dxa"/>
            <w:shd w:val="clear" w:color="auto" w:fill="auto"/>
            <w:vAlign w:val="center"/>
          </w:tcPr>
          <w:p>
            <w:pPr>
              <w:spacing w:line="200" w:lineRule="atLeast"/>
              <w:jc w:val="both"/>
              <w:textAlignment w:val="center"/>
              <w:rPr>
                <w:rFonts w:ascii="Times New Roman" w:hAnsi="Times New Roman" w:eastAsia="宋体" w:cs="Times New Roman"/>
                <w:color w:val="auto"/>
                <w:kern w:val="0"/>
                <w:sz w:val="16"/>
                <w:szCs w:val="16"/>
                <w:highlight w:val="none"/>
              </w:rPr>
            </w:pPr>
            <w:r>
              <w:rPr>
                <w:rFonts w:hint="eastAsia" w:ascii="宋体" w:hAnsi="宋体" w:eastAsia="宋体" w:cs="宋体"/>
                <w:color w:val="auto"/>
                <w:kern w:val="0"/>
                <w:sz w:val="16"/>
                <w:szCs w:val="16"/>
                <w:highlight w:val="none"/>
                <w:lang w:bidi="ar"/>
              </w:rPr>
              <w:t>会泽华信绿色能源科技有限公司</w:t>
            </w:r>
          </w:p>
        </w:tc>
        <w:tc>
          <w:tcPr>
            <w:tcW w:w="1624"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911"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5</w:t>
            </w:r>
          </w:p>
        </w:tc>
        <w:tc>
          <w:tcPr>
            <w:tcW w:w="5653" w:type="dxa"/>
            <w:shd w:val="clear" w:color="auto" w:fill="auto"/>
            <w:vAlign w:val="center"/>
          </w:tcPr>
          <w:p>
            <w:pPr>
              <w:spacing w:line="200" w:lineRule="atLeast"/>
              <w:jc w:val="both"/>
              <w:textAlignment w:val="center"/>
              <w:rPr>
                <w:rFonts w:ascii="Times New Roman" w:hAnsi="Times New Roman" w:eastAsia="宋体" w:cs="Times New Roman"/>
                <w:color w:val="auto"/>
                <w:kern w:val="0"/>
                <w:sz w:val="16"/>
                <w:szCs w:val="16"/>
                <w:highlight w:val="none"/>
              </w:rPr>
            </w:pPr>
            <w:r>
              <w:rPr>
                <w:rFonts w:hint="eastAsia" w:ascii="宋体" w:hAnsi="宋体" w:eastAsia="宋体" w:cs="宋体"/>
                <w:color w:val="auto"/>
                <w:kern w:val="0"/>
                <w:sz w:val="16"/>
                <w:szCs w:val="16"/>
                <w:highlight w:val="none"/>
                <w:lang w:bidi="ar"/>
              </w:rPr>
              <w:t>大姚瑞宏新能源开发有限公司</w:t>
            </w:r>
          </w:p>
        </w:tc>
        <w:tc>
          <w:tcPr>
            <w:tcW w:w="1624"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911"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6</w:t>
            </w:r>
          </w:p>
        </w:tc>
        <w:tc>
          <w:tcPr>
            <w:tcW w:w="5653" w:type="dxa"/>
            <w:shd w:val="clear" w:color="auto" w:fill="auto"/>
            <w:vAlign w:val="center"/>
          </w:tcPr>
          <w:p>
            <w:pPr>
              <w:spacing w:line="200" w:lineRule="atLeast"/>
              <w:jc w:val="both"/>
              <w:textAlignment w:val="center"/>
              <w:rPr>
                <w:rFonts w:ascii="Times New Roman" w:hAnsi="Times New Roman" w:eastAsia="宋体" w:cs="Times New Roman"/>
                <w:color w:val="auto"/>
                <w:kern w:val="0"/>
                <w:sz w:val="16"/>
                <w:szCs w:val="16"/>
                <w:highlight w:val="none"/>
              </w:rPr>
            </w:pPr>
            <w:r>
              <w:rPr>
                <w:rFonts w:hint="eastAsia" w:ascii="宋体" w:hAnsi="宋体" w:eastAsia="宋体" w:cs="宋体"/>
                <w:color w:val="auto"/>
                <w:kern w:val="0"/>
                <w:sz w:val="16"/>
                <w:szCs w:val="16"/>
                <w:highlight w:val="none"/>
                <w:lang w:bidi="ar"/>
              </w:rPr>
              <w:t>永仁风光新能源科技有限责任公司</w:t>
            </w:r>
          </w:p>
        </w:tc>
        <w:tc>
          <w:tcPr>
            <w:tcW w:w="1624"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911"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7</w:t>
            </w:r>
          </w:p>
        </w:tc>
        <w:tc>
          <w:tcPr>
            <w:tcW w:w="5653" w:type="dxa"/>
            <w:shd w:val="clear" w:color="auto" w:fill="auto"/>
            <w:vAlign w:val="center"/>
          </w:tcPr>
          <w:p>
            <w:pPr>
              <w:spacing w:line="200" w:lineRule="atLeast"/>
              <w:jc w:val="both"/>
              <w:textAlignment w:val="center"/>
              <w:rPr>
                <w:rFonts w:ascii="Times New Roman" w:hAnsi="Times New Roman" w:eastAsia="宋体" w:cs="Times New Roman"/>
                <w:color w:val="auto"/>
                <w:kern w:val="0"/>
                <w:sz w:val="16"/>
                <w:szCs w:val="16"/>
                <w:highlight w:val="none"/>
              </w:rPr>
            </w:pPr>
            <w:r>
              <w:rPr>
                <w:rFonts w:hint="eastAsia" w:ascii="宋体" w:hAnsi="宋体" w:eastAsia="宋体" w:cs="宋体"/>
                <w:color w:val="auto"/>
                <w:kern w:val="0"/>
                <w:sz w:val="16"/>
                <w:szCs w:val="16"/>
                <w:highlight w:val="none"/>
                <w:lang w:bidi="ar"/>
              </w:rPr>
              <w:t>国家电投集团贵州金元威宁能源股份有限公司</w:t>
            </w:r>
          </w:p>
        </w:tc>
        <w:tc>
          <w:tcPr>
            <w:tcW w:w="1624"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911"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8</w:t>
            </w:r>
          </w:p>
        </w:tc>
        <w:tc>
          <w:tcPr>
            <w:tcW w:w="5653" w:type="dxa"/>
            <w:shd w:val="clear" w:color="auto" w:fill="auto"/>
            <w:vAlign w:val="center"/>
          </w:tcPr>
          <w:p>
            <w:pPr>
              <w:spacing w:line="200" w:lineRule="atLeast"/>
              <w:jc w:val="both"/>
              <w:textAlignment w:val="center"/>
              <w:rPr>
                <w:rFonts w:ascii="Times New Roman" w:hAnsi="Times New Roman" w:eastAsia="宋体" w:cs="Times New Roman"/>
                <w:color w:val="auto"/>
                <w:kern w:val="0"/>
                <w:sz w:val="16"/>
                <w:szCs w:val="16"/>
                <w:highlight w:val="none"/>
              </w:rPr>
            </w:pPr>
            <w:r>
              <w:rPr>
                <w:rFonts w:hint="eastAsia" w:ascii="宋体" w:hAnsi="宋体" w:eastAsia="宋体" w:cs="宋体"/>
                <w:color w:val="auto"/>
                <w:kern w:val="0"/>
                <w:sz w:val="16"/>
                <w:szCs w:val="16"/>
                <w:highlight w:val="none"/>
                <w:lang w:bidi="ar"/>
              </w:rPr>
              <w:t>赫章威能新能源有限公司</w:t>
            </w:r>
          </w:p>
        </w:tc>
        <w:tc>
          <w:tcPr>
            <w:tcW w:w="1624"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911"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9</w:t>
            </w:r>
          </w:p>
        </w:tc>
        <w:tc>
          <w:tcPr>
            <w:tcW w:w="5653" w:type="dxa"/>
            <w:shd w:val="clear" w:color="auto" w:fill="auto"/>
            <w:vAlign w:val="center"/>
          </w:tcPr>
          <w:p>
            <w:pPr>
              <w:spacing w:line="200" w:lineRule="atLeast"/>
              <w:jc w:val="both"/>
              <w:textAlignment w:val="center"/>
              <w:rPr>
                <w:rFonts w:ascii="Times New Roman" w:hAnsi="Times New Roman" w:eastAsia="宋体" w:cs="Times New Roman"/>
                <w:color w:val="auto"/>
                <w:kern w:val="0"/>
                <w:sz w:val="16"/>
                <w:szCs w:val="16"/>
                <w:highlight w:val="none"/>
              </w:rPr>
            </w:pPr>
            <w:r>
              <w:rPr>
                <w:rFonts w:hint="eastAsia" w:ascii="宋体" w:hAnsi="宋体" w:eastAsia="宋体" w:cs="宋体"/>
                <w:color w:val="auto"/>
                <w:kern w:val="0"/>
                <w:sz w:val="16"/>
                <w:szCs w:val="16"/>
                <w:highlight w:val="none"/>
                <w:lang w:bidi="ar"/>
              </w:rPr>
              <w:t>赫章精工能源扶贫发展有限公司</w:t>
            </w:r>
          </w:p>
        </w:tc>
        <w:tc>
          <w:tcPr>
            <w:tcW w:w="1624"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911"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10</w:t>
            </w:r>
          </w:p>
        </w:tc>
        <w:tc>
          <w:tcPr>
            <w:tcW w:w="5653" w:type="dxa"/>
            <w:shd w:val="clear" w:color="auto" w:fill="auto"/>
            <w:vAlign w:val="center"/>
          </w:tcPr>
          <w:p>
            <w:pPr>
              <w:spacing w:line="200" w:lineRule="atLeast"/>
              <w:jc w:val="both"/>
              <w:textAlignment w:val="center"/>
              <w:rPr>
                <w:rFonts w:ascii="Times New Roman" w:hAnsi="Times New Roman" w:eastAsia="宋体" w:cs="Times New Roman"/>
                <w:color w:val="auto"/>
                <w:kern w:val="0"/>
                <w:sz w:val="16"/>
                <w:szCs w:val="16"/>
                <w:highlight w:val="none"/>
              </w:rPr>
            </w:pPr>
            <w:r>
              <w:rPr>
                <w:rFonts w:hint="eastAsia" w:ascii="宋体" w:hAnsi="宋体" w:eastAsia="宋体" w:cs="宋体"/>
                <w:color w:val="auto"/>
                <w:kern w:val="0"/>
                <w:sz w:val="16"/>
                <w:szCs w:val="16"/>
                <w:highlight w:val="none"/>
                <w:lang w:bidi="ar"/>
              </w:rPr>
              <w:t>毕节徽阳新能源发电有限公司</w:t>
            </w:r>
          </w:p>
        </w:tc>
        <w:tc>
          <w:tcPr>
            <w:tcW w:w="1624"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911"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11</w:t>
            </w:r>
          </w:p>
        </w:tc>
        <w:tc>
          <w:tcPr>
            <w:tcW w:w="5653" w:type="dxa"/>
            <w:shd w:val="clear" w:color="auto" w:fill="auto"/>
            <w:vAlign w:val="center"/>
          </w:tcPr>
          <w:p>
            <w:pPr>
              <w:spacing w:line="200" w:lineRule="atLeast"/>
              <w:jc w:val="both"/>
              <w:textAlignment w:val="center"/>
              <w:rPr>
                <w:rFonts w:ascii="Times New Roman" w:hAnsi="Times New Roman" w:eastAsia="宋体" w:cs="Times New Roman"/>
                <w:color w:val="auto"/>
                <w:kern w:val="0"/>
                <w:sz w:val="16"/>
                <w:szCs w:val="16"/>
                <w:highlight w:val="none"/>
              </w:rPr>
            </w:pPr>
            <w:r>
              <w:rPr>
                <w:rFonts w:hint="eastAsia" w:ascii="宋体" w:hAnsi="宋体" w:eastAsia="宋体" w:cs="宋体"/>
                <w:color w:val="auto"/>
                <w:kern w:val="0"/>
                <w:sz w:val="16"/>
                <w:szCs w:val="16"/>
                <w:highlight w:val="none"/>
                <w:lang w:bidi="ar"/>
              </w:rPr>
              <w:t>赫章新叶新能源科技有限公司</w:t>
            </w:r>
          </w:p>
        </w:tc>
        <w:tc>
          <w:tcPr>
            <w:tcW w:w="1624"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911"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12</w:t>
            </w:r>
          </w:p>
        </w:tc>
        <w:tc>
          <w:tcPr>
            <w:tcW w:w="5653" w:type="dxa"/>
            <w:shd w:val="clear" w:color="auto" w:fill="auto"/>
            <w:vAlign w:val="center"/>
          </w:tcPr>
          <w:p>
            <w:pPr>
              <w:spacing w:line="200" w:lineRule="atLeast"/>
              <w:jc w:val="both"/>
              <w:textAlignment w:val="center"/>
              <w:rPr>
                <w:rFonts w:ascii="Times New Roman" w:hAnsi="Times New Roman" w:eastAsia="宋体" w:cs="Times New Roman"/>
                <w:color w:val="auto"/>
                <w:kern w:val="0"/>
                <w:sz w:val="16"/>
                <w:szCs w:val="16"/>
                <w:highlight w:val="none"/>
              </w:rPr>
            </w:pPr>
            <w:r>
              <w:rPr>
                <w:rFonts w:hint="eastAsia" w:ascii="宋体" w:hAnsi="宋体" w:eastAsia="宋体" w:cs="宋体"/>
                <w:color w:val="auto"/>
                <w:kern w:val="0"/>
                <w:sz w:val="16"/>
                <w:szCs w:val="16"/>
                <w:highlight w:val="none"/>
                <w:lang w:bidi="ar"/>
              </w:rPr>
              <w:t>威宁新叶新能源科技有限公司</w:t>
            </w:r>
          </w:p>
        </w:tc>
        <w:tc>
          <w:tcPr>
            <w:tcW w:w="1624"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911"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13</w:t>
            </w:r>
          </w:p>
        </w:tc>
        <w:tc>
          <w:tcPr>
            <w:tcW w:w="5653" w:type="dxa"/>
            <w:shd w:val="clear" w:color="auto" w:fill="auto"/>
            <w:vAlign w:val="center"/>
          </w:tcPr>
          <w:p>
            <w:pPr>
              <w:spacing w:line="200" w:lineRule="atLeast"/>
              <w:jc w:val="both"/>
              <w:textAlignment w:val="center"/>
              <w:rPr>
                <w:rFonts w:ascii="Times New Roman" w:hAnsi="Times New Roman" w:eastAsia="宋体" w:cs="Times New Roman"/>
                <w:color w:val="auto"/>
                <w:kern w:val="0"/>
                <w:sz w:val="16"/>
                <w:szCs w:val="16"/>
                <w:highlight w:val="none"/>
              </w:rPr>
            </w:pPr>
            <w:r>
              <w:rPr>
                <w:rFonts w:hint="eastAsia" w:ascii="宋体" w:hAnsi="宋体" w:eastAsia="宋体" w:cs="宋体"/>
                <w:color w:val="auto"/>
                <w:kern w:val="0"/>
                <w:sz w:val="16"/>
                <w:szCs w:val="16"/>
                <w:highlight w:val="none"/>
                <w:lang w:bidi="ar"/>
              </w:rPr>
              <w:t>六盘水行阳新能源发电有限公司</w:t>
            </w:r>
          </w:p>
        </w:tc>
        <w:tc>
          <w:tcPr>
            <w:tcW w:w="1624"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911"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14</w:t>
            </w:r>
          </w:p>
        </w:tc>
        <w:tc>
          <w:tcPr>
            <w:tcW w:w="5653" w:type="dxa"/>
            <w:shd w:val="clear" w:color="auto" w:fill="auto"/>
            <w:vAlign w:val="center"/>
          </w:tcPr>
          <w:p>
            <w:pPr>
              <w:spacing w:line="200" w:lineRule="atLeast"/>
              <w:jc w:val="both"/>
              <w:textAlignment w:val="center"/>
              <w:rPr>
                <w:rFonts w:ascii="Times New Roman" w:hAnsi="Times New Roman" w:eastAsia="宋体" w:cs="Times New Roman"/>
                <w:color w:val="auto"/>
                <w:kern w:val="0"/>
                <w:sz w:val="16"/>
                <w:szCs w:val="16"/>
                <w:highlight w:val="none"/>
              </w:rPr>
            </w:pPr>
            <w:r>
              <w:rPr>
                <w:rFonts w:hint="eastAsia" w:ascii="宋体" w:hAnsi="宋体" w:eastAsia="宋体" w:cs="宋体"/>
                <w:color w:val="auto"/>
                <w:kern w:val="0"/>
                <w:sz w:val="16"/>
                <w:szCs w:val="16"/>
                <w:highlight w:val="none"/>
                <w:lang w:bidi="ar"/>
              </w:rPr>
              <w:t>关岭威能新能源有限公司</w:t>
            </w:r>
          </w:p>
        </w:tc>
        <w:tc>
          <w:tcPr>
            <w:tcW w:w="1624"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911"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15</w:t>
            </w:r>
          </w:p>
        </w:tc>
        <w:tc>
          <w:tcPr>
            <w:tcW w:w="5653" w:type="dxa"/>
            <w:shd w:val="clear" w:color="auto" w:fill="auto"/>
            <w:vAlign w:val="center"/>
          </w:tcPr>
          <w:p>
            <w:pPr>
              <w:spacing w:line="200" w:lineRule="atLeast"/>
              <w:jc w:val="both"/>
              <w:textAlignment w:val="center"/>
              <w:rPr>
                <w:rFonts w:ascii="Times New Roman" w:hAnsi="Times New Roman" w:eastAsia="宋体" w:cs="Times New Roman"/>
                <w:color w:val="auto"/>
                <w:kern w:val="0"/>
                <w:sz w:val="16"/>
                <w:szCs w:val="16"/>
                <w:highlight w:val="none"/>
              </w:rPr>
            </w:pPr>
            <w:r>
              <w:rPr>
                <w:rFonts w:hint="eastAsia" w:ascii="宋体" w:hAnsi="宋体" w:eastAsia="宋体" w:cs="宋体"/>
                <w:color w:val="auto"/>
                <w:kern w:val="0"/>
                <w:sz w:val="16"/>
                <w:szCs w:val="16"/>
                <w:highlight w:val="none"/>
                <w:lang w:bidi="ar"/>
              </w:rPr>
              <w:t>纳雍威能新能源有限公司</w:t>
            </w:r>
          </w:p>
        </w:tc>
        <w:tc>
          <w:tcPr>
            <w:tcW w:w="1624"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911"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16</w:t>
            </w:r>
          </w:p>
        </w:tc>
        <w:tc>
          <w:tcPr>
            <w:tcW w:w="5653" w:type="dxa"/>
            <w:shd w:val="clear" w:color="auto" w:fill="auto"/>
            <w:vAlign w:val="center"/>
          </w:tcPr>
          <w:p>
            <w:pPr>
              <w:spacing w:line="200" w:lineRule="atLeast"/>
              <w:jc w:val="both"/>
              <w:textAlignment w:val="center"/>
              <w:rPr>
                <w:rFonts w:ascii="Times New Roman" w:hAnsi="Times New Roman" w:eastAsia="宋体" w:cs="Times New Roman"/>
                <w:color w:val="auto"/>
                <w:kern w:val="0"/>
                <w:sz w:val="16"/>
                <w:szCs w:val="16"/>
                <w:highlight w:val="none"/>
              </w:rPr>
            </w:pPr>
            <w:r>
              <w:rPr>
                <w:rFonts w:hint="eastAsia" w:ascii="宋体" w:hAnsi="宋体" w:eastAsia="宋体" w:cs="宋体"/>
                <w:color w:val="auto"/>
                <w:kern w:val="0"/>
                <w:sz w:val="16"/>
                <w:szCs w:val="16"/>
                <w:highlight w:val="none"/>
                <w:lang w:bidi="ar"/>
              </w:rPr>
              <w:t>黄龙县隆清光伏发电有限公司</w:t>
            </w:r>
          </w:p>
        </w:tc>
        <w:tc>
          <w:tcPr>
            <w:tcW w:w="1624"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911"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17</w:t>
            </w:r>
          </w:p>
        </w:tc>
        <w:tc>
          <w:tcPr>
            <w:tcW w:w="5653" w:type="dxa"/>
            <w:shd w:val="clear" w:color="auto" w:fill="auto"/>
            <w:vAlign w:val="center"/>
          </w:tcPr>
          <w:p>
            <w:pPr>
              <w:spacing w:line="200" w:lineRule="atLeast"/>
              <w:jc w:val="both"/>
              <w:textAlignment w:val="center"/>
              <w:rPr>
                <w:rFonts w:ascii="Times New Roman" w:hAnsi="Times New Roman" w:eastAsia="宋体" w:cs="Times New Roman"/>
                <w:color w:val="auto"/>
                <w:kern w:val="0"/>
                <w:sz w:val="16"/>
                <w:szCs w:val="16"/>
                <w:highlight w:val="none"/>
              </w:rPr>
            </w:pPr>
            <w:r>
              <w:rPr>
                <w:rFonts w:hint="eastAsia" w:ascii="宋体" w:hAnsi="宋体" w:eastAsia="宋体" w:cs="宋体"/>
                <w:color w:val="auto"/>
                <w:kern w:val="0"/>
                <w:sz w:val="16"/>
                <w:szCs w:val="16"/>
                <w:highlight w:val="none"/>
                <w:lang w:bidi="ar"/>
              </w:rPr>
              <w:t>神木顺利新能源有限公司</w:t>
            </w:r>
          </w:p>
        </w:tc>
        <w:tc>
          <w:tcPr>
            <w:tcW w:w="1624"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911"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18</w:t>
            </w:r>
          </w:p>
        </w:tc>
        <w:tc>
          <w:tcPr>
            <w:tcW w:w="5653" w:type="dxa"/>
            <w:shd w:val="clear" w:color="auto" w:fill="auto"/>
            <w:vAlign w:val="center"/>
          </w:tcPr>
          <w:p>
            <w:pPr>
              <w:spacing w:line="200" w:lineRule="atLeast"/>
              <w:jc w:val="both"/>
              <w:textAlignment w:val="center"/>
              <w:rPr>
                <w:rFonts w:ascii="Times New Roman" w:hAnsi="Times New Roman" w:eastAsia="宋体" w:cs="Times New Roman"/>
                <w:color w:val="auto"/>
                <w:kern w:val="0"/>
                <w:sz w:val="16"/>
                <w:szCs w:val="16"/>
                <w:highlight w:val="none"/>
              </w:rPr>
            </w:pPr>
            <w:r>
              <w:rPr>
                <w:rFonts w:hint="eastAsia" w:ascii="宋体" w:hAnsi="宋体" w:eastAsia="宋体" w:cs="宋体"/>
                <w:color w:val="auto"/>
                <w:kern w:val="0"/>
                <w:sz w:val="16"/>
                <w:szCs w:val="16"/>
                <w:highlight w:val="none"/>
                <w:lang w:bidi="ar"/>
              </w:rPr>
              <w:t>淳化中略风力发电有限公司</w:t>
            </w:r>
          </w:p>
        </w:tc>
        <w:tc>
          <w:tcPr>
            <w:tcW w:w="1624"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911"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19</w:t>
            </w:r>
          </w:p>
        </w:tc>
        <w:tc>
          <w:tcPr>
            <w:tcW w:w="5653" w:type="dxa"/>
            <w:shd w:val="clear" w:color="auto" w:fill="auto"/>
            <w:vAlign w:val="center"/>
          </w:tcPr>
          <w:p>
            <w:pPr>
              <w:spacing w:line="200" w:lineRule="atLeast"/>
              <w:jc w:val="both"/>
              <w:textAlignment w:val="center"/>
              <w:rPr>
                <w:rFonts w:ascii="Times New Roman" w:hAnsi="Times New Roman" w:eastAsia="宋体" w:cs="Times New Roman"/>
                <w:color w:val="auto"/>
                <w:kern w:val="0"/>
                <w:sz w:val="16"/>
                <w:szCs w:val="16"/>
                <w:highlight w:val="none"/>
              </w:rPr>
            </w:pPr>
            <w:r>
              <w:rPr>
                <w:rFonts w:hint="eastAsia" w:ascii="宋体" w:hAnsi="宋体" w:eastAsia="宋体" w:cs="宋体"/>
                <w:color w:val="auto"/>
                <w:kern w:val="0"/>
                <w:sz w:val="16"/>
                <w:szCs w:val="16"/>
                <w:highlight w:val="none"/>
                <w:lang w:bidi="ar"/>
              </w:rPr>
              <w:t>洛南水发能源科技有限公司</w:t>
            </w:r>
          </w:p>
        </w:tc>
        <w:tc>
          <w:tcPr>
            <w:tcW w:w="1624"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911"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20</w:t>
            </w:r>
          </w:p>
        </w:tc>
        <w:tc>
          <w:tcPr>
            <w:tcW w:w="5653" w:type="dxa"/>
            <w:shd w:val="clear" w:color="auto" w:fill="auto"/>
            <w:vAlign w:val="center"/>
          </w:tcPr>
          <w:p>
            <w:pPr>
              <w:spacing w:line="200" w:lineRule="atLeast"/>
              <w:jc w:val="both"/>
              <w:textAlignment w:val="center"/>
              <w:rPr>
                <w:rFonts w:ascii="Times New Roman" w:hAnsi="Times New Roman" w:eastAsia="宋体" w:cs="Times New Roman"/>
                <w:color w:val="auto"/>
                <w:kern w:val="0"/>
                <w:sz w:val="16"/>
                <w:szCs w:val="16"/>
                <w:highlight w:val="none"/>
              </w:rPr>
            </w:pPr>
            <w:r>
              <w:rPr>
                <w:rFonts w:hint="eastAsia" w:ascii="宋体" w:hAnsi="宋体" w:eastAsia="宋体" w:cs="宋体"/>
                <w:color w:val="auto"/>
                <w:kern w:val="0"/>
                <w:sz w:val="16"/>
                <w:szCs w:val="16"/>
                <w:highlight w:val="none"/>
                <w:lang w:bidi="ar"/>
              </w:rPr>
              <w:t>宝鸡鼎顺特光伏发电有限公司</w:t>
            </w:r>
          </w:p>
        </w:tc>
        <w:tc>
          <w:tcPr>
            <w:tcW w:w="1624"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911"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21</w:t>
            </w:r>
          </w:p>
        </w:tc>
        <w:tc>
          <w:tcPr>
            <w:tcW w:w="5653" w:type="dxa"/>
            <w:shd w:val="clear" w:color="auto" w:fill="auto"/>
            <w:vAlign w:val="center"/>
          </w:tcPr>
          <w:p>
            <w:pPr>
              <w:spacing w:line="200" w:lineRule="atLeast"/>
              <w:jc w:val="both"/>
              <w:textAlignment w:val="center"/>
              <w:rPr>
                <w:rFonts w:ascii="Times New Roman" w:hAnsi="Times New Roman" w:eastAsia="宋体" w:cs="Times New Roman"/>
                <w:color w:val="auto"/>
                <w:kern w:val="0"/>
                <w:sz w:val="16"/>
                <w:szCs w:val="16"/>
                <w:highlight w:val="none"/>
              </w:rPr>
            </w:pPr>
            <w:r>
              <w:rPr>
                <w:rFonts w:hint="eastAsia" w:ascii="宋体" w:hAnsi="宋体" w:eastAsia="宋体" w:cs="宋体"/>
                <w:color w:val="auto"/>
                <w:kern w:val="0"/>
                <w:sz w:val="16"/>
                <w:szCs w:val="16"/>
                <w:highlight w:val="none"/>
                <w:lang w:bidi="ar"/>
              </w:rPr>
              <w:t>马山协合古零风力发电有限公司</w:t>
            </w:r>
          </w:p>
        </w:tc>
        <w:tc>
          <w:tcPr>
            <w:tcW w:w="1624"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911"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22</w:t>
            </w:r>
          </w:p>
        </w:tc>
        <w:tc>
          <w:tcPr>
            <w:tcW w:w="5653" w:type="dxa"/>
            <w:shd w:val="clear" w:color="auto" w:fill="auto"/>
            <w:vAlign w:val="center"/>
          </w:tcPr>
          <w:p>
            <w:pPr>
              <w:spacing w:line="200" w:lineRule="atLeast"/>
              <w:jc w:val="both"/>
              <w:textAlignment w:val="center"/>
              <w:rPr>
                <w:rFonts w:ascii="Times New Roman" w:hAnsi="Times New Roman" w:eastAsia="宋体" w:cs="Times New Roman"/>
                <w:color w:val="auto"/>
                <w:kern w:val="0"/>
                <w:sz w:val="16"/>
                <w:szCs w:val="16"/>
                <w:highlight w:val="none"/>
              </w:rPr>
            </w:pPr>
            <w:r>
              <w:rPr>
                <w:rFonts w:hint="eastAsia" w:ascii="宋体" w:hAnsi="宋体" w:eastAsia="宋体" w:cs="宋体"/>
                <w:color w:val="auto"/>
                <w:kern w:val="0"/>
                <w:sz w:val="16"/>
                <w:szCs w:val="16"/>
                <w:highlight w:val="none"/>
                <w:lang w:bidi="ar"/>
              </w:rPr>
              <w:t>东兴市浩阳新能源有限公司</w:t>
            </w:r>
          </w:p>
        </w:tc>
        <w:tc>
          <w:tcPr>
            <w:tcW w:w="1624"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911"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23</w:t>
            </w:r>
          </w:p>
        </w:tc>
        <w:tc>
          <w:tcPr>
            <w:tcW w:w="5653" w:type="dxa"/>
            <w:shd w:val="clear" w:color="auto" w:fill="auto"/>
            <w:vAlign w:val="center"/>
          </w:tcPr>
          <w:p>
            <w:pPr>
              <w:spacing w:line="200" w:lineRule="atLeast"/>
              <w:jc w:val="both"/>
              <w:textAlignment w:val="center"/>
              <w:rPr>
                <w:rFonts w:ascii="Times New Roman" w:hAnsi="Times New Roman" w:eastAsia="宋体" w:cs="Times New Roman"/>
                <w:color w:val="auto"/>
                <w:kern w:val="0"/>
                <w:sz w:val="16"/>
                <w:szCs w:val="16"/>
                <w:highlight w:val="none"/>
              </w:rPr>
            </w:pPr>
            <w:r>
              <w:rPr>
                <w:rFonts w:hint="eastAsia" w:ascii="宋体" w:hAnsi="宋体" w:eastAsia="宋体" w:cs="宋体"/>
                <w:color w:val="auto"/>
                <w:kern w:val="0"/>
                <w:sz w:val="16"/>
                <w:szCs w:val="16"/>
                <w:highlight w:val="none"/>
                <w:lang w:bidi="ar"/>
              </w:rPr>
              <w:t>上林协鑫光伏电力有限公司</w:t>
            </w:r>
          </w:p>
        </w:tc>
        <w:tc>
          <w:tcPr>
            <w:tcW w:w="1624"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911"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24</w:t>
            </w:r>
          </w:p>
        </w:tc>
        <w:tc>
          <w:tcPr>
            <w:tcW w:w="5653" w:type="dxa"/>
            <w:shd w:val="clear" w:color="auto" w:fill="auto"/>
            <w:vAlign w:val="center"/>
          </w:tcPr>
          <w:p>
            <w:pPr>
              <w:spacing w:line="200" w:lineRule="atLeast"/>
              <w:jc w:val="both"/>
              <w:textAlignment w:val="center"/>
              <w:rPr>
                <w:rFonts w:ascii="Times New Roman" w:hAnsi="Times New Roman" w:eastAsia="宋体" w:cs="Times New Roman"/>
                <w:color w:val="auto"/>
                <w:kern w:val="0"/>
                <w:sz w:val="16"/>
                <w:szCs w:val="16"/>
                <w:highlight w:val="none"/>
              </w:rPr>
            </w:pPr>
            <w:r>
              <w:rPr>
                <w:rFonts w:hint="eastAsia" w:ascii="宋体" w:hAnsi="宋体" w:eastAsia="宋体" w:cs="宋体"/>
                <w:color w:val="auto"/>
                <w:kern w:val="0"/>
                <w:sz w:val="16"/>
                <w:szCs w:val="16"/>
                <w:highlight w:val="none"/>
                <w:lang w:bidi="ar"/>
              </w:rPr>
              <w:t>贵港市光荷新能源发电有限公司</w:t>
            </w:r>
          </w:p>
        </w:tc>
        <w:tc>
          <w:tcPr>
            <w:tcW w:w="1624"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911"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25</w:t>
            </w:r>
          </w:p>
        </w:tc>
        <w:tc>
          <w:tcPr>
            <w:tcW w:w="5653" w:type="dxa"/>
            <w:shd w:val="clear" w:color="auto" w:fill="auto"/>
            <w:vAlign w:val="center"/>
          </w:tcPr>
          <w:p>
            <w:pPr>
              <w:spacing w:line="200" w:lineRule="atLeast"/>
              <w:jc w:val="both"/>
              <w:textAlignment w:val="center"/>
              <w:rPr>
                <w:rFonts w:ascii="Times New Roman" w:hAnsi="Times New Roman" w:eastAsia="宋体" w:cs="Times New Roman"/>
                <w:color w:val="auto"/>
                <w:kern w:val="0"/>
                <w:sz w:val="16"/>
                <w:szCs w:val="16"/>
                <w:highlight w:val="none"/>
              </w:rPr>
            </w:pPr>
            <w:r>
              <w:rPr>
                <w:rFonts w:hint="eastAsia" w:ascii="宋体" w:hAnsi="宋体" w:eastAsia="宋体" w:cs="宋体"/>
                <w:color w:val="auto"/>
                <w:kern w:val="0"/>
                <w:sz w:val="16"/>
                <w:szCs w:val="16"/>
                <w:highlight w:val="none"/>
                <w:lang w:bidi="ar"/>
              </w:rPr>
              <w:t>钦州鑫金光伏电力有限公司</w:t>
            </w:r>
          </w:p>
        </w:tc>
        <w:tc>
          <w:tcPr>
            <w:tcW w:w="1624"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911"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26</w:t>
            </w:r>
          </w:p>
        </w:tc>
        <w:tc>
          <w:tcPr>
            <w:tcW w:w="5653" w:type="dxa"/>
            <w:shd w:val="clear" w:color="auto" w:fill="auto"/>
            <w:vAlign w:val="center"/>
          </w:tcPr>
          <w:p>
            <w:pPr>
              <w:spacing w:line="200" w:lineRule="atLeast"/>
              <w:jc w:val="both"/>
              <w:textAlignment w:val="center"/>
              <w:rPr>
                <w:rFonts w:ascii="Times New Roman" w:hAnsi="Times New Roman" w:eastAsia="宋体" w:cs="Times New Roman"/>
                <w:color w:val="auto"/>
                <w:kern w:val="0"/>
                <w:sz w:val="16"/>
                <w:szCs w:val="16"/>
                <w:highlight w:val="none"/>
              </w:rPr>
            </w:pPr>
            <w:r>
              <w:rPr>
                <w:rFonts w:hint="eastAsia" w:ascii="宋体" w:hAnsi="宋体" w:eastAsia="宋体" w:cs="宋体"/>
                <w:color w:val="auto"/>
                <w:kern w:val="0"/>
                <w:sz w:val="16"/>
                <w:szCs w:val="16"/>
                <w:highlight w:val="none"/>
                <w:lang w:bidi="ar"/>
              </w:rPr>
              <w:t>钦州金安新能源有限公司</w:t>
            </w:r>
          </w:p>
        </w:tc>
        <w:tc>
          <w:tcPr>
            <w:tcW w:w="1624"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911"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27</w:t>
            </w:r>
          </w:p>
        </w:tc>
        <w:tc>
          <w:tcPr>
            <w:tcW w:w="5653" w:type="dxa"/>
            <w:shd w:val="clear" w:color="auto" w:fill="auto"/>
            <w:vAlign w:val="center"/>
          </w:tcPr>
          <w:p>
            <w:pPr>
              <w:spacing w:line="200" w:lineRule="atLeast"/>
              <w:jc w:val="both"/>
              <w:textAlignment w:val="center"/>
              <w:rPr>
                <w:rFonts w:ascii="Times New Roman" w:hAnsi="Times New Roman" w:eastAsia="宋体" w:cs="Times New Roman"/>
                <w:color w:val="auto"/>
                <w:kern w:val="0"/>
                <w:sz w:val="16"/>
                <w:szCs w:val="16"/>
                <w:highlight w:val="none"/>
              </w:rPr>
            </w:pPr>
            <w:r>
              <w:rPr>
                <w:rFonts w:hint="eastAsia" w:ascii="宋体" w:hAnsi="宋体" w:eastAsia="宋体" w:cs="宋体"/>
                <w:color w:val="auto"/>
                <w:kern w:val="0"/>
                <w:sz w:val="16"/>
                <w:szCs w:val="16"/>
                <w:highlight w:val="none"/>
                <w:lang w:bidi="ar"/>
              </w:rPr>
              <w:t>钦州鑫奥光伏电力有限公司</w:t>
            </w:r>
          </w:p>
        </w:tc>
        <w:tc>
          <w:tcPr>
            <w:tcW w:w="1624"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911"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28</w:t>
            </w:r>
          </w:p>
        </w:tc>
        <w:tc>
          <w:tcPr>
            <w:tcW w:w="5653" w:type="dxa"/>
            <w:shd w:val="clear" w:color="auto" w:fill="auto"/>
            <w:vAlign w:val="center"/>
          </w:tcPr>
          <w:p>
            <w:pPr>
              <w:spacing w:line="200" w:lineRule="atLeast"/>
              <w:jc w:val="both"/>
              <w:textAlignment w:val="center"/>
              <w:rPr>
                <w:rFonts w:ascii="Times New Roman" w:hAnsi="Times New Roman" w:eastAsia="宋体" w:cs="Times New Roman"/>
                <w:color w:val="auto"/>
                <w:kern w:val="0"/>
                <w:sz w:val="16"/>
                <w:szCs w:val="16"/>
                <w:highlight w:val="none"/>
              </w:rPr>
            </w:pPr>
            <w:r>
              <w:rPr>
                <w:rFonts w:hint="eastAsia" w:ascii="宋体" w:hAnsi="宋体" w:eastAsia="宋体" w:cs="宋体"/>
                <w:color w:val="auto"/>
                <w:kern w:val="0"/>
                <w:sz w:val="16"/>
                <w:szCs w:val="16"/>
                <w:highlight w:val="none"/>
                <w:lang w:bidi="ar"/>
              </w:rPr>
              <w:t>上林县鑫安光伏电力有限公司</w:t>
            </w:r>
          </w:p>
        </w:tc>
        <w:tc>
          <w:tcPr>
            <w:tcW w:w="1624"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911"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29</w:t>
            </w:r>
          </w:p>
        </w:tc>
        <w:tc>
          <w:tcPr>
            <w:tcW w:w="5653" w:type="dxa"/>
            <w:shd w:val="clear" w:color="auto" w:fill="auto"/>
            <w:vAlign w:val="center"/>
          </w:tcPr>
          <w:p>
            <w:pPr>
              <w:spacing w:line="200" w:lineRule="atLeast"/>
              <w:jc w:val="both"/>
              <w:textAlignment w:val="center"/>
              <w:rPr>
                <w:rFonts w:ascii="Times New Roman" w:hAnsi="Times New Roman" w:eastAsia="宋体" w:cs="Times New Roman"/>
                <w:color w:val="auto"/>
                <w:kern w:val="0"/>
                <w:sz w:val="16"/>
                <w:szCs w:val="16"/>
                <w:highlight w:val="none"/>
              </w:rPr>
            </w:pPr>
            <w:r>
              <w:rPr>
                <w:rFonts w:hint="eastAsia" w:ascii="宋体" w:hAnsi="宋体" w:eastAsia="宋体" w:cs="宋体"/>
                <w:color w:val="auto"/>
                <w:kern w:val="0"/>
                <w:sz w:val="16"/>
                <w:szCs w:val="16"/>
                <w:highlight w:val="none"/>
                <w:lang w:bidi="ar"/>
              </w:rPr>
              <w:t>册亨协合风力发电有限公司</w:t>
            </w:r>
          </w:p>
        </w:tc>
        <w:tc>
          <w:tcPr>
            <w:tcW w:w="1624"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911"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30</w:t>
            </w:r>
          </w:p>
        </w:tc>
        <w:tc>
          <w:tcPr>
            <w:tcW w:w="5653" w:type="dxa"/>
            <w:shd w:val="clear" w:color="auto" w:fill="auto"/>
            <w:vAlign w:val="center"/>
          </w:tcPr>
          <w:p>
            <w:pPr>
              <w:spacing w:line="200" w:lineRule="atLeast"/>
              <w:jc w:val="both"/>
              <w:textAlignment w:val="center"/>
              <w:rPr>
                <w:rFonts w:ascii="Times New Roman" w:hAnsi="Times New Roman" w:eastAsia="宋体" w:cs="Times New Roman"/>
                <w:color w:val="auto"/>
                <w:kern w:val="0"/>
                <w:sz w:val="16"/>
                <w:szCs w:val="16"/>
                <w:highlight w:val="none"/>
              </w:rPr>
            </w:pPr>
            <w:r>
              <w:rPr>
                <w:rFonts w:hint="eastAsia" w:ascii="宋体" w:hAnsi="宋体" w:eastAsia="宋体" w:cs="宋体"/>
                <w:color w:val="auto"/>
                <w:kern w:val="0"/>
                <w:sz w:val="16"/>
                <w:szCs w:val="16"/>
                <w:highlight w:val="none"/>
                <w:lang w:bidi="ar"/>
              </w:rPr>
              <w:t>兴仁市协合风力发电有限公司</w:t>
            </w:r>
          </w:p>
        </w:tc>
        <w:tc>
          <w:tcPr>
            <w:tcW w:w="1624"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911"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31</w:t>
            </w:r>
          </w:p>
        </w:tc>
        <w:tc>
          <w:tcPr>
            <w:tcW w:w="5653" w:type="dxa"/>
            <w:shd w:val="clear" w:color="auto" w:fill="auto"/>
            <w:vAlign w:val="center"/>
          </w:tcPr>
          <w:p>
            <w:pPr>
              <w:spacing w:line="200" w:lineRule="atLeast"/>
              <w:jc w:val="both"/>
              <w:textAlignment w:val="center"/>
              <w:rPr>
                <w:rFonts w:ascii="Times New Roman" w:hAnsi="Times New Roman" w:eastAsia="宋体" w:cs="Times New Roman"/>
                <w:color w:val="auto"/>
                <w:kern w:val="0"/>
                <w:sz w:val="16"/>
                <w:szCs w:val="16"/>
                <w:highlight w:val="none"/>
              </w:rPr>
            </w:pPr>
            <w:r>
              <w:rPr>
                <w:rFonts w:hint="eastAsia" w:ascii="宋体" w:hAnsi="宋体" w:eastAsia="宋体" w:cs="宋体"/>
                <w:color w:val="auto"/>
                <w:kern w:val="0"/>
                <w:sz w:val="16"/>
                <w:szCs w:val="16"/>
                <w:highlight w:val="none"/>
                <w:lang w:bidi="ar"/>
              </w:rPr>
              <w:t>兴义市金峰新能源有限公司</w:t>
            </w:r>
          </w:p>
        </w:tc>
        <w:tc>
          <w:tcPr>
            <w:tcW w:w="1624"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911"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32</w:t>
            </w:r>
          </w:p>
        </w:tc>
        <w:tc>
          <w:tcPr>
            <w:tcW w:w="5653" w:type="dxa"/>
            <w:shd w:val="clear" w:color="auto" w:fill="auto"/>
            <w:vAlign w:val="center"/>
          </w:tcPr>
          <w:p>
            <w:pPr>
              <w:spacing w:line="200" w:lineRule="atLeast"/>
              <w:jc w:val="both"/>
              <w:textAlignment w:val="center"/>
              <w:rPr>
                <w:rFonts w:ascii="Times New Roman" w:hAnsi="Times New Roman" w:eastAsia="宋体" w:cs="Times New Roman"/>
                <w:color w:val="auto"/>
                <w:kern w:val="0"/>
                <w:sz w:val="16"/>
                <w:szCs w:val="16"/>
                <w:highlight w:val="none"/>
              </w:rPr>
            </w:pPr>
            <w:r>
              <w:rPr>
                <w:rFonts w:hint="eastAsia" w:ascii="宋体" w:hAnsi="宋体" w:eastAsia="宋体" w:cs="宋体"/>
                <w:color w:val="auto"/>
                <w:kern w:val="0"/>
                <w:sz w:val="16"/>
                <w:szCs w:val="16"/>
                <w:highlight w:val="none"/>
                <w:lang w:bidi="ar"/>
              </w:rPr>
              <w:t>贞丰兴源光伏科技有限公司</w:t>
            </w:r>
          </w:p>
        </w:tc>
        <w:tc>
          <w:tcPr>
            <w:tcW w:w="1624"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911"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33</w:t>
            </w:r>
          </w:p>
        </w:tc>
        <w:tc>
          <w:tcPr>
            <w:tcW w:w="5653" w:type="dxa"/>
            <w:shd w:val="clear" w:color="auto" w:fill="auto"/>
            <w:vAlign w:val="center"/>
          </w:tcPr>
          <w:p>
            <w:pPr>
              <w:spacing w:line="200" w:lineRule="atLeast"/>
              <w:jc w:val="both"/>
              <w:textAlignment w:val="center"/>
              <w:rPr>
                <w:rFonts w:ascii="Times New Roman" w:hAnsi="Times New Roman" w:eastAsia="宋体" w:cs="Times New Roman"/>
                <w:color w:val="auto"/>
                <w:kern w:val="0"/>
                <w:sz w:val="16"/>
                <w:szCs w:val="16"/>
                <w:highlight w:val="none"/>
              </w:rPr>
            </w:pPr>
            <w:r>
              <w:rPr>
                <w:rFonts w:hint="eastAsia" w:ascii="宋体" w:hAnsi="宋体" w:eastAsia="宋体" w:cs="宋体"/>
                <w:color w:val="auto"/>
                <w:kern w:val="0"/>
                <w:sz w:val="16"/>
                <w:szCs w:val="16"/>
                <w:highlight w:val="none"/>
                <w:lang w:bidi="ar"/>
              </w:rPr>
              <w:t>黔西南州义龙中弘绿色能源有限公司</w:t>
            </w:r>
          </w:p>
        </w:tc>
        <w:tc>
          <w:tcPr>
            <w:tcW w:w="1624"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911"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34</w:t>
            </w:r>
          </w:p>
        </w:tc>
        <w:tc>
          <w:tcPr>
            <w:tcW w:w="5653" w:type="dxa"/>
            <w:shd w:val="clear" w:color="auto" w:fill="auto"/>
            <w:vAlign w:val="center"/>
          </w:tcPr>
          <w:p>
            <w:pPr>
              <w:spacing w:line="200" w:lineRule="atLeast"/>
              <w:jc w:val="both"/>
              <w:textAlignment w:val="center"/>
              <w:rPr>
                <w:rFonts w:ascii="Times New Roman" w:hAnsi="Times New Roman" w:eastAsia="宋体" w:cs="Times New Roman"/>
                <w:color w:val="auto"/>
                <w:kern w:val="0"/>
                <w:sz w:val="16"/>
                <w:szCs w:val="16"/>
                <w:highlight w:val="none"/>
              </w:rPr>
            </w:pPr>
            <w:r>
              <w:rPr>
                <w:rFonts w:hint="eastAsia" w:ascii="宋体" w:hAnsi="宋体" w:eastAsia="宋体" w:cs="宋体"/>
                <w:color w:val="auto"/>
                <w:kern w:val="0"/>
                <w:sz w:val="16"/>
                <w:szCs w:val="16"/>
                <w:highlight w:val="none"/>
                <w:lang w:bidi="ar"/>
              </w:rPr>
              <w:t>兴仁市亚玛顿新能源有限公司</w:t>
            </w:r>
          </w:p>
        </w:tc>
        <w:tc>
          <w:tcPr>
            <w:tcW w:w="1624"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911"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35</w:t>
            </w:r>
          </w:p>
        </w:tc>
        <w:tc>
          <w:tcPr>
            <w:tcW w:w="5653" w:type="dxa"/>
            <w:shd w:val="clear" w:color="auto" w:fill="auto"/>
            <w:vAlign w:val="center"/>
          </w:tcPr>
          <w:p>
            <w:pPr>
              <w:spacing w:line="200" w:lineRule="atLeast"/>
              <w:jc w:val="both"/>
              <w:textAlignment w:val="center"/>
              <w:rPr>
                <w:rFonts w:ascii="Times New Roman" w:hAnsi="Times New Roman" w:eastAsia="宋体" w:cs="Times New Roman"/>
                <w:color w:val="auto"/>
                <w:kern w:val="0"/>
                <w:sz w:val="16"/>
                <w:szCs w:val="16"/>
                <w:highlight w:val="none"/>
              </w:rPr>
            </w:pPr>
            <w:r>
              <w:rPr>
                <w:rFonts w:hint="eastAsia" w:ascii="宋体" w:hAnsi="宋体" w:eastAsia="宋体" w:cs="宋体"/>
                <w:color w:val="auto"/>
                <w:kern w:val="0"/>
                <w:sz w:val="16"/>
                <w:szCs w:val="16"/>
                <w:highlight w:val="none"/>
                <w:lang w:bidi="ar"/>
              </w:rPr>
              <w:t>贵州黔光照能源开发有限公司</w:t>
            </w:r>
          </w:p>
        </w:tc>
        <w:tc>
          <w:tcPr>
            <w:tcW w:w="1624"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911"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36</w:t>
            </w:r>
          </w:p>
        </w:tc>
        <w:tc>
          <w:tcPr>
            <w:tcW w:w="5653" w:type="dxa"/>
            <w:shd w:val="clear" w:color="auto" w:fill="auto"/>
            <w:vAlign w:val="center"/>
          </w:tcPr>
          <w:p>
            <w:pPr>
              <w:spacing w:line="200" w:lineRule="atLeast"/>
              <w:jc w:val="both"/>
              <w:textAlignment w:val="center"/>
              <w:rPr>
                <w:rFonts w:ascii="Times New Roman" w:hAnsi="Times New Roman" w:eastAsia="宋体" w:cs="Times New Roman"/>
                <w:color w:val="auto"/>
                <w:kern w:val="0"/>
                <w:sz w:val="16"/>
                <w:szCs w:val="16"/>
                <w:highlight w:val="none"/>
              </w:rPr>
            </w:pPr>
            <w:r>
              <w:rPr>
                <w:rFonts w:hint="eastAsia" w:ascii="宋体" w:hAnsi="宋体" w:eastAsia="宋体" w:cs="宋体"/>
                <w:color w:val="auto"/>
                <w:kern w:val="0"/>
                <w:sz w:val="16"/>
                <w:szCs w:val="16"/>
                <w:highlight w:val="none"/>
                <w:lang w:bidi="ar"/>
              </w:rPr>
              <w:t>黔西南州陇阳新能源发电有限公司</w:t>
            </w:r>
          </w:p>
        </w:tc>
        <w:tc>
          <w:tcPr>
            <w:tcW w:w="1624"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911"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37</w:t>
            </w:r>
          </w:p>
        </w:tc>
        <w:tc>
          <w:tcPr>
            <w:tcW w:w="5653" w:type="dxa"/>
            <w:shd w:val="clear" w:color="auto" w:fill="auto"/>
            <w:vAlign w:val="center"/>
          </w:tcPr>
          <w:p>
            <w:pPr>
              <w:spacing w:line="200" w:lineRule="atLeast"/>
              <w:jc w:val="both"/>
              <w:textAlignment w:val="center"/>
              <w:rPr>
                <w:rFonts w:ascii="Times New Roman" w:hAnsi="Times New Roman" w:eastAsia="宋体" w:cs="Times New Roman"/>
                <w:color w:val="auto"/>
                <w:kern w:val="0"/>
                <w:sz w:val="16"/>
                <w:szCs w:val="16"/>
                <w:highlight w:val="none"/>
              </w:rPr>
            </w:pPr>
            <w:r>
              <w:rPr>
                <w:rFonts w:hint="eastAsia" w:ascii="宋体" w:hAnsi="宋体" w:eastAsia="宋体" w:cs="宋体"/>
                <w:color w:val="auto"/>
                <w:kern w:val="0"/>
                <w:sz w:val="16"/>
                <w:szCs w:val="16"/>
                <w:highlight w:val="none"/>
                <w:lang w:bidi="ar"/>
              </w:rPr>
              <w:t>安龙县蔑帽新能源有限公司</w:t>
            </w:r>
          </w:p>
        </w:tc>
        <w:tc>
          <w:tcPr>
            <w:tcW w:w="1624"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911"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38</w:t>
            </w:r>
          </w:p>
        </w:tc>
        <w:tc>
          <w:tcPr>
            <w:tcW w:w="5653" w:type="dxa"/>
            <w:shd w:val="clear" w:color="auto" w:fill="auto"/>
            <w:vAlign w:val="center"/>
          </w:tcPr>
          <w:p>
            <w:pPr>
              <w:spacing w:line="200" w:lineRule="atLeast"/>
              <w:jc w:val="both"/>
              <w:textAlignment w:val="center"/>
              <w:rPr>
                <w:rFonts w:ascii="Times New Roman" w:hAnsi="Times New Roman" w:eastAsia="宋体" w:cs="Times New Roman"/>
                <w:color w:val="auto"/>
                <w:kern w:val="0"/>
                <w:sz w:val="16"/>
                <w:szCs w:val="16"/>
                <w:highlight w:val="none"/>
              </w:rPr>
            </w:pPr>
            <w:r>
              <w:rPr>
                <w:rFonts w:hint="eastAsia" w:ascii="宋体" w:hAnsi="宋体" w:eastAsia="宋体" w:cs="宋体"/>
                <w:color w:val="auto"/>
                <w:kern w:val="0"/>
                <w:sz w:val="16"/>
                <w:szCs w:val="16"/>
                <w:highlight w:val="none"/>
                <w:lang w:bidi="ar"/>
              </w:rPr>
              <w:t>册亨县金元新能源有限公司</w:t>
            </w:r>
          </w:p>
        </w:tc>
        <w:tc>
          <w:tcPr>
            <w:tcW w:w="1624"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911"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39</w:t>
            </w:r>
          </w:p>
        </w:tc>
        <w:tc>
          <w:tcPr>
            <w:tcW w:w="5653" w:type="dxa"/>
            <w:shd w:val="clear" w:color="auto" w:fill="auto"/>
            <w:vAlign w:val="center"/>
          </w:tcPr>
          <w:p>
            <w:pPr>
              <w:spacing w:line="200" w:lineRule="atLeast"/>
              <w:jc w:val="both"/>
              <w:textAlignment w:val="center"/>
              <w:rPr>
                <w:rFonts w:ascii="Times New Roman" w:hAnsi="Times New Roman" w:eastAsia="宋体" w:cs="Times New Roman"/>
                <w:color w:val="auto"/>
                <w:kern w:val="0"/>
                <w:sz w:val="16"/>
                <w:szCs w:val="16"/>
                <w:highlight w:val="none"/>
              </w:rPr>
            </w:pPr>
            <w:r>
              <w:rPr>
                <w:rFonts w:hint="eastAsia" w:ascii="宋体" w:hAnsi="宋体" w:eastAsia="宋体" w:cs="宋体"/>
                <w:color w:val="auto"/>
                <w:kern w:val="0"/>
                <w:sz w:val="16"/>
                <w:szCs w:val="16"/>
                <w:highlight w:val="none"/>
                <w:lang w:bidi="ar"/>
              </w:rPr>
              <w:t>黔西南州亭阳新能源发电有限公司</w:t>
            </w:r>
          </w:p>
        </w:tc>
        <w:tc>
          <w:tcPr>
            <w:tcW w:w="1624"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911"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40</w:t>
            </w:r>
          </w:p>
        </w:tc>
        <w:tc>
          <w:tcPr>
            <w:tcW w:w="5653" w:type="dxa"/>
            <w:shd w:val="clear" w:color="auto" w:fill="auto"/>
            <w:vAlign w:val="center"/>
          </w:tcPr>
          <w:p>
            <w:pPr>
              <w:spacing w:line="200" w:lineRule="atLeast"/>
              <w:jc w:val="both"/>
              <w:textAlignment w:val="center"/>
              <w:rPr>
                <w:rFonts w:ascii="Times New Roman" w:hAnsi="Times New Roman" w:eastAsia="宋体" w:cs="Times New Roman"/>
                <w:color w:val="auto"/>
                <w:kern w:val="0"/>
                <w:sz w:val="16"/>
                <w:szCs w:val="16"/>
                <w:highlight w:val="none"/>
              </w:rPr>
            </w:pPr>
            <w:r>
              <w:rPr>
                <w:rFonts w:hint="eastAsia" w:ascii="宋体" w:hAnsi="宋体" w:eastAsia="宋体" w:cs="宋体"/>
                <w:color w:val="auto"/>
                <w:kern w:val="0"/>
                <w:sz w:val="16"/>
                <w:szCs w:val="16"/>
                <w:highlight w:val="none"/>
                <w:lang w:bidi="ar"/>
              </w:rPr>
              <w:t>黔西南州丰阳新能源发电有限公司</w:t>
            </w:r>
          </w:p>
        </w:tc>
        <w:tc>
          <w:tcPr>
            <w:tcW w:w="1624"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911"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41</w:t>
            </w:r>
          </w:p>
        </w:tc>
        <w:tc>
          <w:tcPr>
            <w:tcW w:w="5653" w:type="dxa"/>
            <w:shd w:val="clear" w:color="auto" w:fill="auto"/>
            <w:vAlign w:val="center"/>
          </w:tcPr>
          <w:p>
            <w:pPr>
              <w:spacing w:line="200" w:lineRule="atLeast"/>
              <w:jc w:val="both"/>
              <w:textAlignment w:val="center"/>
              <w:rPr>
                <w:rFonts w:ascii="Times New Roman" w:hAnsi="Times New Roman" w:eastAsia="宋体" w:cs="Times New Roman"/>
                <w:color w:val="auto"/>
                <w:kern w:val="0"/>
                <w:sz w:val="16"/>
                <w:szCs w:val="16"/>
                <w:highlight w:val="none"/>
              </w:rPr>
            </w:pPr>
            <w:r>
              <w:rPr>
                <w:rFonts w:hint="eastAsia" w:ascii="宋体" w:hAnsi="宋体" w:eastAsia="宋体" w:cs="宋体"/>
                <w:color w:val="auto"/>
                <w:kern w:val="0"/>
                <w:sz w:val="16"/>
                <w:szCs w:val="16"/>
                <w:highlight w:val="none"/>
                <w:lang w:bidi="ar"/>
              </w:rPr>
              <w:t>贵州黔西南金元新能源有限公司</w:t>
            </w:r>
          </w:p>
        </w:tc>
        <w:tc>
          <w:tcPr>
            <w:tcW w:w="1624"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911"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42</w:t>
            </w:r>
          </w:p>
        </w:tc>
        <w:tc>
          <w:tcPr>
            <w:tcW w:w="5653" w:type="dxa"/>
            <w:shd w:val="clear" w:color="auto" w:fill="auto"/>
            <w:vAlign w:val="center"/>
          </w:tcPr>
          <w:p>
            <w:pPr>
              <w:spacing w:line="200" w:lineRule="atLeast"/>
              <w:jc w:val="both"/>
              <w:textAlignment w:val="center"/>
              <w:rPr>
                <w:rFonts w:ascii="Times New Roman" w:hAnsi="Times New Roman" w:eastAsia="宋体" w:cs="Times New Roman"/>
                <w:color w:val="auto"/>
                <w:kern w:val="0"/>
                <w:sz w:val="16"/>
                <w:szCs w:val="16"/>
                <w:highlight w:val="none"/>
              </w:rPr>
            </w:pPr>
            <w:r>
              <w:rPr>
                <w:rFonts w:hint="eastAsia" w:ascii="宋体" w:hAnsi="宋体" w:eastAsia="宋体" w:cs="宋体"/>
                <w:color w:val="auto"/>
                <w:kern w:val="0"/>
                <w:sz w:val="16"/>
                <w:szCs w:val="16"/>
                <w:highlight w:val="none"/>
                <w:lang w:bidi="ar"/>
              </w:rPr>
              <w:t>黔西南州弘冠新能源有限公司</w:t>
            </w:r>
          </w:p>
        </w:tc>
        <w:tc>
          <w:tcPr>
            <w:tcW w:w="1624"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911"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43</w:t>
            </w:r>
          </w:p>
        </w:tc>
        <w:tc>
          <w:tcPr>
            <w:tcW w:w="5653" w:type="dxa"/>
            <w:shd w:val="clear" w:color="auto" w:fill="auto"/>
            <w:vAlign w:val="center"/>
          </w:tcPr>
          <w:p>
            <w:pPr>
              <w:spacing w:line="200" w:lineRule="atLeast"/>
              <w:jc w:val="both"/>
              <w:textAlignment w:val="center"/>
              <w:rPr>
                <w:rFonts w:ascii="Times New Roman" w:hAnsi="Times New Roman" w:eastAsia="宋体" w:cs="Times New Roman"/>
                <w:color w:val="auto"/>
                <w:kern w:val="0"/>
                <w:sz w:val="16"/>
                <w:szCs w:val="16"/>
                <w:highlight w:val="none"/>
              </w:rPr>
            </w:pPr>
            <w:r>
              <w:rPr>
                <w:rFonts w:hint="eastAsia" w:ascii="宋体" w:hAnsi="宋体" w:eastAsia="宋体" w:cs="宋体"/>
                <w:color w:val="auto"/>
                <w:kern w:val="0"/>
                <w:sz w:val="16"/>
                <w:szCs w:val="16"/>
                <w:highlight w:val="none"/>
                <w:lang w:bidi="ar"/>
              </w:rPr>
              <w:t>黔西南州中弘新能源有限公司</w:t>
            </w:r>
          </w:p>
        </w:tc>
        <w:tc>
          <w:tcPr>
            <w:tcW w:w="1624" w:type="dxa"/>
            <w:shd w:val="clear" w:color="auto" w:fill="auto"/>
            <w:vAlign w:val="center"/>
          </w:tcPr>
          <w:p>
            <w:pPr>
              <w:spacing w:line="200" w:lineRule="atLeast"/>
              <w:jc w:val="center"/>
              <w:textAlignment w:val="center"/>
              <w:rPr>
                <w:rFonts w:ascii="Times New Roman" w:hAnsi="Times New Roman" w:eastAsia="宋体" w:cs="Times New Roman"/>
                <w:color w:val="auto"/>
                <w:kern w:val="0"/>
                <w:sz w:val="16"/>
                <w:szCs w:val="16"/>
                <w:highlight w:val="none"/>
              </w:rPr>
            </w:pPr>
            <w:r>
              <w:rPr>
                <w:rFonts w:ascii="Times New Roman" w:hAnsi="Times New Roman" w:eastAsia="宋体" w:cs="Times New Roman"/>
                <w:color w:val="auto"/>
                <w:kern w:val="0"/>
                <w:sz w:val="16"/>
                <w:szCs w:val="16"/>
                <w:highlight w:val="none"/>
                <w:lang w:bidi="ar"/>
              </w:rPr>
              <w:t>15%</w:t>
            </w:r>
          </w:p>
        </w:tc>
      </w:tr>
    </w:tbl>
    <w:p>
      <w:pPr>
        <w:pStyle w:val="38"/>
        <w:rPr>
          <w:rFonts w:eastAsiaTheme="minorEastAsia"/>
          <w:color w:val="auto"/>
          <w:highlight w:val="none"/>
        </w:rPr>
      </w:pPr>
    </w:p>
    <w:p>
      <w:pPr>
        <w:pStyle w:val="38"/>
        <w:rPr>
          <w:color w:val="auto"/>
          <w:highlight w:val="none"/>
        </w:rPr>
        <w:sectPr>
          <w:headerReference r:id="rId24" w:type="first"/>
          <w:headerReference r:id="rId22" w:type="default"/>
          <w:footerReference r:id="rId25" w:type="default"/>
          <w:headerReference r:id="rId23" w:type="even"/>
          <w:pgSz w:w="11907" w:h="16839"/>
          <w:pgMar w:top="1440" w:right="1797" w:bottom="1440" w:left="1797" w:header="680" w:footer="992" w:gutter="0"/>
          <w:pgNumType w:start="1"/>
          <w:cols w:space="425" w:num="1"/>
          <w:docGrid w:linePitch="312" w:charSpace="0"/>
        </w:sectPr>
      </w:pPr>
    </w:p>
    <w:p>
      <w:pPr>
        <w:pStyle w:val="43"/>
        <w:rPr>
          <w:color w:val="auto"/>
          <w:highlight w:val="none"/>
        </w:rPr>
      </w:pPr>
      <w:r>
        <w:rPr>
          <w:color w:val="auto"/>
          <w:highlight w:val="none"/>
        </w:rPr>
        <w:t>企业合并及合并财务报表</w:t>
      </w:r>
    </w:p>
    <w:p>
      <w:pPr>
        <w:pStyle w:val="38"/>
        <w:rPr>
          <w:color w:val="auto"/>
          <w:highlight w:val="none"/>
        </w:rPr>
      </w:pPr>
      <w:r>
        <w:rPr>
          <w:color w:val="auto"/>
          <w:highlight w:val="none"/>
        </w:rPr>
        <w:t>（本节下列表式数据中的金额单位，除非特别注明外均为人民币万元。）</w:t>
      </w:r>
    </w:p>
    <w:p>
      <w:pPr>
        <w:pStyle w:val="37"/>
        <w:rPr>
          <w:color w:val="auto"/>
          <w:highlight w:val="none"/>
        </w:rPr>
      </w:pPr>
      <w:r>
        <w:rPr>
          <w:color w:val="auto"/>
          <w:highlight w:val="none"/>
        </w:rPr>
        <w:t>子</w:t>
      </w:r>
      <w:r>
        <w:rPr>
          <w:rFonts w:hint="eastAsia"/>
          <w:color w:val="auto"/>
          <w:highlight w:val="none"/>
        </w:rPr>
        <w:t>企业</w:t>
      </w:r>
      <w:r>
        <w:rPr>
          <w:color w:val="auto"/>
          <w:highlight w:val="none"/>
        </w:rPr>
        <w:t>情况</w:t>
      </w:r>
    </w:p>
    <w:p>
      <w:pPr>
        <w:pStyle w:val="38"/>
        <w:rPr>
          <w:rFonts w:asciiTheme="minorHAnsi" w:hAnsiTheme="minorHAnsi" w:eastAsiaTheme="minorEastAsia" w:cstheme="minorBidi"/>
          <w:color w:val="auto"/>
          <w:highlight w:val="none"/>
        </w:rPr>
      </w:pPr>
      <w:r>
        <w:rPr>
          <w:rFonts w:eastAsiaTheme="minorEastAsia"/>
          <w:color w:val="auto"/>
          <w:highlight w:val="none"/>
        </w:rPr>
        <w:fldChar w:fldCharType="begin"/>
      </w:r>
      <w:r>
        <w:rPr>
          <w:rFonts w:eastAsiaTheme="minorEastAsia"/>
          <w:color w:val="auto"/>
          <w:highlight w:val="none"/>
        </w:rPr>
        <w:instrText xml:space="preserve"> LINK Excel.SheetMacroEnabled.12 "D:\\tonylee\\立信\\新附注排版工具\\2015央企年报格式\\中央企业财务报表和报表附注20160818V4.xlsm" "企业合并及合并财务报表!企业合并及合并财务报表1" \f 4 \h \* MERGEFORMAT </w:instrText>
      </w:r>
      <w:r>
        <w:rPr>
          <w:rFonts w:eastAsiaTheme="minorEastAsia"/>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387"/>
        <w:gridCol w:w="4121"/>
        <w:gridCol w:w="438"/>
        <w:gridCol w:w="582"/>
        <w:gridCol w:w="1019"/>
        <w:gridCol w:w="1019"/>
        <w:gridCol w:w="1230"/>
        <w:gridCol w:w="962"/>
        <w:gridCol w:w="727"/>
        <w:gridCol w:w="727"/>
        <w:gridCol w:w="804"/>
        <w:gridCol w:w="962"/>
        <w:gridCol w:w="630"/>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387"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序号</w:t>
            </w:r>
          </w:p>
        </w:tc>
        <w:tc>
          <w:tcPr>
            <w:tcW w:w="4121"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企业名称</w:t>
            </w:r>
          </w:p>
        </w:tc>
        <w:tc>
          <w:tcPr>
            <w:tcW w:w="438"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级次</w:t>
            </w:r>
          </w:p>
        </w:tc>
        <w:tc>
          <w:tcPr>
            <w:tcW w:w="58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企业类型</w:t>
            </w:r>
          </w:p>
        </w:tc>
        <w:tc>
          <w:tcPr>
            <w:tcW w:w="1019"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注册地</w:t>
            </w:r>
          </w:p>
        </w:tc>
        <w:tc>
          <w:tcPr>
            <w:tcW w:w="1019"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主要经营地</w:t>
            </w:r>
          </w:p>
        </w:tc>
        <w:tc>
          <w:tcPr>
            <w:tcW w:w="123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业务性质</w:t>
            </w:r>
          </w:p>
        </w:tc>
        <w:tc>
          <w:tcPr>
            <w:tcW w:w="96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实收资本</w:t>
            </w:r>
          </w:p>
        </w:tc>
        <w:tc>
          <w:tcPr>
            <w:tcW w:w="727"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认缴持股比例（%）</w:t>
            </w:r>
          </w:p>
        </w:tc>
        <w:tc>
          <w:tcPr>
            <w:tcW w:w="727"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实缴持股比例（%）</w:t>
            </w:r>
          </w:p>
        </w:tc>
        <w:tc>
          <w:tcPr>
            <w:tcW w:w="804"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享有的表决权（%）</w:t>
            </w:r>
          </w:p>
        </w:tc>
        <w:tc>
          <w:tcPr>
            <w:tcW w:w="96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投资额</w:t>
            </w:r>
          </w:p>
        </w:tc>
        <w:tc>
          <w:tcPr>
            <w:tcW w:w="63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取得方式</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87"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w:t>
            </w:r>
          </w:p>
        </w:tc>
        <w:tc>
          <w:tcPr>
            <w:tcW w:w="412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国家电投集团贵州金元威宁能源股份有限公司</w:t>
            </w:r>
          </w:p>
        </w:tc>
        <w:tc>
          <w:tcPr>
            <w:tcW w:w="438"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w:t>
            </w:r>
          </w:p>
        </w:tc>
        <w:tc>
          <w:tcPr>
            <w:tcW w:w="58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w:t>
            </w:r>
          </w:p>
        </w:tc>
        <w:tc>
          <w:tcPr>
            <w:tcW w:w="1019"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贵州毕节</w:t>
            </w:r>
          </w:p>
        </w:tc>
        <w:tc>
          <w:tcPr>
            <w:tcW w:w="1019"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贵州毕节</w:t>
            </w:r>
          </w:p>
        </w:tc>
        <w:tc>
          <w:tcPr>
            <w:tcW w:w="123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新能源发电</w:t>
            </w:r>
          </w:p>
        </w:tc>
        <w:tc>
          <w:tcPr>
            <w:tcW w:w="9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495,919.51</w:t>
            </w:r>
          </w:p>
        </w:tc>
        <w:tc>
          <w:tcPr>
            <w:tcW w:w="72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35.61</w:t>
            </w:r>
          </w:p>
        </w:tc>
        <w:tc>
          <w:tcPr>
            <w:tcW w:w="72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35.61</w:t>
            </w:r>
          </w:p>
        </w:tc>
        <w:tc>
          <w:tcPr>
            <w:tcW w:w="80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60.53</w:t>
            </w:r>
          </w:p>
        </w:tc>
        <w:tc>
          <w:tcPr>
            <w:tcW w:w="9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334,151.03</w:t>
            </w:r>
          </w:p>
        </w:tc>
        <w:tc>
          <w:tcPr>
            <w:tcW w:w="63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87"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w:t>
            </w:r>
          </w:p>
        </w:tc>
        <w:tc>
          <w:tcPr>
            <w:tcW w:w="412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贵州西电电力股份有限公司</w:t>
            </w:r>
          </w:p>
        </w:tc>
        <w:tc>
          <w:tcPr>
            <w:tcW w:w="438"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w:t>
            </w:r>
          </w:p>
        </w:tc>
        <w:tc>
          <w:tcPr>
            <w:tcW w:w="58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w:t>
            </w:r>
          </w:p>
        </w:tc>
        <w:tc>
          <w:tcPr>
            <w:tcW w:w="1019"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贵州贵阳</w:t>
            </w:r>
          </w:p>
        </w:tc>
        <w:tc>
          <w:tcPr>
            <w:tcW w:w="1019"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贵州贵阳</w:t>
            </w:r>
          </w:p>
        </w:tc>
        <w:tc>
          <w:tcPr>
            <w:tcW w:w="123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火电</w:t>
            </w:r>
          </w:p>
        </w:tc>
        <w:tc>
          <w:tcPr>
            <w:tcW w:w="9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270,697.41</w:t>
            </w:r>
          </w:p>
        </w:tc>
        <w:tc>
          <w:tcPr>
            <w:tcW w:w="72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67.56</w:t>
            </w:r>
          </w:p>
        </w:tc>
        <w:tc>
          <w:tcPr>
            <w:tcW w:w="72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67.56</w:t>
            </w:r>
          </w:p>
        </w:tc>
        <w:tc>
          <w:tcPr>
            <w:tcW w:w="80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67.56</w:t>
            </w:r>
          </w:p>
        </w:tc>
        <w:tc>
          <w:tcPr>
            <w:tcW w:w="9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310,763.16</w:t>
            </w:r>
          </w:p>
        </w:tc>
        <w:tc>
          <w:tcPr>
            <w:tcW w:w="63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87"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w:t>
            </w:r>
          </w:p>
        </w:tc>
        <w:tc>
          <w:tcPr>
            <w:tcW w:w="412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贵州西能电力建设有限公司</w:t>
            </w:r>
          </w:p>
        </w:tc>
        <w:tc>
          <w:tcPr>
            <w:tcW w:w="438"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w:t>
            </w:r>
          </w:p>
        </w:tc>
        <w:tc>
          <w:tcPr>
            <w:tcW w:w="58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w:t>
            </w:r>
          </w:p>
        </w:tc>
        <w:tc>
          <w:tcPr>
            <w:tcW w:w="1019"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贵州贵阳</w:t>
            </w:r>
          </w:p>
        </w:tc>
        <w:tc>
          <w:tcPr>
            <w:tcW w:w="1019"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贵州贵阳</w:t>
            </w:r>
          </w:p>
        </w:tc>
        <w:tc>
          <w:tcPr>
            <w:tcW w:w="123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施工</w:t>
            </w:r>
          </w:p>
        </w:tc>
        <w:tc>
          <w:tcPr>
            <w:tcW w:w="9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109,652.00</w:t>
            </w:r>
          </w:p>
        </w:tc>
        <w:tc>
          <w:tcPr>
            <w:tcW w:w="72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100.00</w:t>
            </w:r>
          </w:p>
        </w:tc>
        <w:tc>
          <w:tcPr>
            <w:tcW w:w="72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100.00</w:t>
            </w:r>
          </w:p>
        </w:tc>
        <w:tc>
          <w:tcPr>
            <w:tcW w:w="80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100.00</w:t>
            </w:r>
          </w:p>
        </w:tc>
        <w:tc>
          <w:tcPr>
            <w:tcW w:w="9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67,458.07</w:t>
            </w:r>
          </w:p>
        </w:tc>
        <w:tc>
          <w:tcPr>
            <w:tcW w:w="63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87"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w:t>
            </w:r>
          </w:p>
        </w:tc>
        <w:tc>
          <w:tcPr>
            <w:tcW w:w="412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贵州中水能源股份有限公司</w:t>
            </w:r>
          </w:p>
        </w:tc>
        <w:tc>
          <w:tcPr>
            <w:tcW w:w="438"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w:t>
            </w:r>
          </w:p>
        </w:tc>
        <w:tc>
          <w:tcPr>
            <w:tcW w:w="58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w:t>
            </w:r>
          </w:p>
        </w:tc>
        <w:tc>
          <w:tcPr>
            <w:tcW w:w="1019"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贵州贵阳</w:t>
            </w:r>
          </w:p>
        </w:tc>
        <w:tc>
          <w:tcPr>
            <w:tcW w:w="1019"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贵州贵阳</w:t>
            </w:r>
          </w:p>
        </w:tc>
        <w:tc>
          <w:tcPr>
            <w:tcW w:w="123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水电</w:t>
            </w:r>
          </w:p>
        </w:tc>
        <w:tc>
          <w:tcPr>
            <w:tcW w:w="9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261,766.37</w:t>
            </w:r>
          </w:p>
        </w:tc>
        <w:tc>
          <w:tcPr>
            <w:tcW w:w="72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96.73</w:t>
            </w:r>
          </w:p>
        </w:tc>
        <w:tc>
          <w:tcPr>
            <w:tcW w:w="72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96.73</w:t>
            </w:r>
          </w:p>
        </w:tc>
        <w:tc>
          <w:tcPr>
            <w:tcW w:w="80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96.73</w:t>
            </w:r>
          </w:p>
        </w:tc>
        <w:tc>
          <w:tcPr>
            <w:tcW w:w="9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332,804.50</w:t>
            </w:r>
          </w:p>
        </w:tc>
        <w:tc>
          <w:tcPr>
            <w:tcW w:w="63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87"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w:t>
            </w:r>
          </w:p>
        </w:tc>
        <w:tc>
          <w:tcPr>
            <w:tcW w:w="412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贵州金元智慧能源有限公司</w:t>
            </w:r>
          </w:p>
        </w:tc>
        <w:tc>
          <w:tcPr>
            <w:tcW w:w="438"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w:t>
            </w:r>
          </w:p>
        </w:tc>
        <w:tc>
          <w:tcPr>
            <w:tcW w:w="58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w:t>
            </w:r>
          </w:p>
        </w:tc>
        <w:tc>
          <w:tcPr>
            <w:tcW w:w="1019"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贵州贵阳</w:t>
            </w:r>
          </w:p>
        </w:tc>
        <w:tc>
          <w:tcPr>
            <w:tcW w:w="1019"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贵州贵阳</w:t>
            </w:r>
          </w:p>
        </w:tc>
        <w:tc>
          <w:tcPr>
            <w:tcW w:w="123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电力产品购销</w:t>
            </w:r>
          </w:p>
        </w:tc>
        <w:tc>
          <w:tcPr>
            <w:tcW w:w="9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21,000.00</w:t>
            </w:r>
          </w:p>
        </w:tc>
        <w:tc>
          <w:tcPr>
            <w:tcW w:w="72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100.00</w:t>
            </w:r>
          </w:p>
        </w:tc>
        <w:tc>
          <w:tcPr>
            <w:tcW w:w="72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100.00</w:t>
            </w:r>
          </w:p>
        </w:tc>
        <w:tc>
          <w:tcPr>
            <w:tcW w:w="80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100.00</w:t>
            </w:r>
          </w:p>
        </w:tc>
        <w:tc>
          <w:tcPr>
            <w:tcW w:w="9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21,000.00</w:t>
            </w:r>
          </w:p>
        </w:tc>
        <w:tc>
          <w:tcPr>
            <w:tcW w:w="63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87"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w:t>
            </w:r>
          </w:p>
        </w:tc>
        <w:tc>
          <w:tcPr>
            <w:tcW w:w="412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贵州元龙综合能源产业服务有限公司</w:t>
            </w:r>
          </w:p>
        </w:tc>
        <w:tc>
          <w:tcPr>
            <w:tcW w:w="438"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w:t>
            </w:r>
          </w:p>
        </w:tc>
        <w:tc>
          <w:tcPr>
            <w:tcW w:w="58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w:t>
            </w:r>
          </w:p>
        </w:tc>
        <w:tc>
          <w:tcPr>
            <w:tcW w:w="1019"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贵州贵阳</w:t>
            </w:r>
          </w:p>
        </w:tc>
        <w:tc>
          <w:tcPr>
            <w:tcW w:w="1019"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贵州贵阳</w:t>
            </w:r>
          </w:p>
        </w:tc>
        <w:tc>
          <w:tcPr>
            <w:tcW w:w="123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综合服务</w:t>
            </w:r>
          </w:p>
        </w:tc>
        <w:tc>
          <w:tcPr>
            <w:tcW w:w="9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108,560.00</w:t>
            </w:r>
          </w:p>
        </w:tc>
        <w:tc>
          <w:tcPr>
            <w:tcW w:w="72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100.00</w:t>
            </w:r>
          </w:p>
        </w:tc>
        <w:tc>
          <w:tcPr>
            <w:tcW w:w="72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100.00</w:t>
            </w:r>
          </w:p>
        </w:tc>
        <w:tc>
          <w:tcPr>
            <w:tcW w:w="80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100.00</w:t>
            </w:r>
          </w:p>
        </w:tc>
        <w:tc>
          <w:tcPr>
            <w:tcW w:w="9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97,437.26</w:t>
            </w:r>
          </w:p>
        </w:tc>
        <w:tc>
          <w:tcPr>
            <w:tcW w:w="63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87"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7</w:t>
            </w:r>
          </w:p>
        </w:tc>
        <w:tc>
          <w:tcPr>
            <w:tcW w:w="412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贵州金元绿链物流开发有限公司</w:t>
            </w:r>
          </w:p>
        </w:tc>
        <w:tc>
          <w:tcPr>
            <w:tcW w:w="438"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w:t>
            </w:r>
          </w:p>
        </w:tc>
        <w:tc>
          <w:tcPr>
            <w:tcW w:w="58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w:t>
            </w:r>
          </w:p>
        </w:tc>
        <w:tc>
          <w:tcPr>
            <w:tcW w:w="1019"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贵州贵阳</w:t>
            </w:r>
          </w:p>
        </w:tc>
        <w:tc>
          <w:tcPr>
            <w:tcW w:w="1019"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贵州贵阳</w:t>
            </w:r>
          </w:p>
        </w:tc>
        <w:tc>
          <w:tcPr>
            <w:tcW w:w="123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综合服务</w:t>
            </w:r>
          </w:p>
        </w:tc>
        <w:tc>
          <w:tcPr>
            <w:tcW w:w="9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100,000.00</w:t>
            </w:r>
          </w:p>
        </w:tc>
        <w:tc>
          <w:tcPr>
            <w:tcW w:w="72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70.00</w:t>
            </w:r>
          </w:p>
        </w:tc>
        <w:tc>
          <w:tcPr>
            <w:tcW w:w="72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70.00</w:t>
            </w:r>
          </w:p>
        </w:tc>
        <w:tc>
          <w:tcPr>
            <w:tcW w:w="80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70.00</w:t>
            </w:r>
          </w:p>
        </w:tc>
        <w:tc>
          <w:tcPr>
            <w:tcW w:w="9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70,000.00</w:t>
            </w:r>
          </w:p>
        </w:tc>
        <w:tc>
          <w:tcPr>
            <w:tcW w:w="63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87"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8</w:t>
            </w:r>
          </w:p>
        </w:tc>
        <w:tc>
          <w:tcPr>
            <w:tcW w:w="412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国家电投集团贵州金元绥阳产业有限公司</w:t>
            </w:r>
          </w:p>
        </w:tc>
        <w:tc>
          <w:tcPr>
            <w:tcW w:w="438"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w:t>
            </w:r>
          </w:p>
        </w:tc>
        <w:tc>
          <w:tcPr>
            <w:tcW w:w="58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w:t>
            </w:r>
          </w:p>
        </w:tc>
        <w:tc>
          <w:tcPr>
            <w:tcW w:w="1019"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贵州遵义</w:t>
            </w:r>
          </w:p>
        </w:tc>
        <w:tc>
          <w:tcPr>
            <w:tcW w:w="1019"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贵州遵义</w:t>
            </w:r>
          </w:p>
        </w:tc>
        <w:tc>
          <w:tcPr>
            <w:tcW w:w="123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制造业</w:t>
            </w:r>
          </w:p>
        </w:tc>
        <w:tc>
          <w:tcPr>
            <w:tcW w:w="9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451,000.00</w:t>
            </w:r>
          </w:p>
        </w:tc>
        <w:tc>
          <w:tcPr>
            <w:tcW w:w="72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100.00</w:t>
            </w:r>
          </w:p>
        </w:tc>
        <w:tc>
          <w:tcPr>
            <w:tcW w:w="72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100.00</w:t>
            </w:r>
          </w:p>
        </w:tc>
        <w:tc>
          <w:tcPr>
            <w:tcW w:w="80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100.00</w:t>
            </w:r>
          </w:p>
        </w:tc>
        <w:tc>
          <w:tcPr>
            <w:tcW w:w="9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370,078.60</w:t>
            </w:r>
          </w:p>
        </w:tc>
        <w:tc>
          <w:tcPr>
            <w:tcW w:w="63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87"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w:t>
            </w:r>
          </w:p>
        </w:tc>
        <w:tc>
          <w:tcPr>
            <w:tcW w:w="412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融和东能（嘉兴）新能源投资合伙企业（有限合伙）</w:t>
            </w:r>
          </w:p>
        </w:tc>
        <w:tc>
          <w:tcPr>
            <w:tcW w:w="438"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w:t>
            </w:r>
          </w:p>
        </w:tc>
        <w:tc>
          <w:tcPr>
            <w:tcW w:w="58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w:t>
            </w:r>
          </w:p>
        </w:tc>
        <w:tc>
          <w:tcPr>
            <w:tcW w:w="1019"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浙江嘉兴</w:t>
            </w:r>
          </w:p>
        </w:tc>
        <w:tc>
          <w:tcPr>
            <w:tcW w:w="1019"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浙江嘉兴</w:t>
            </w:r>
          </w:p>
        </w:tc>
        <w:tc>
          <w:tcPr>
            <w:tcW w:w="123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投资管理</w:t>
            </w:r>
          </w:p>
        </w:tc>
        <w:tc>
          <w:tcPr>
            <w:tcW w:w="9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130,000.00</w:t>
            </w:r>
          </w:p>
        </w:tc>
        <w:tc>
          <w:tcPr>
            <w:tcW w:w="72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99.92</w:t>
            </w:r>
          </w:p>
        </w:tc>
        <w:tc>
          <w:tcPr>
            <w:tcW w:w="72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99.92</w:t>
            </w:r>
          </w:p>
        </w:tc>
        <w:tc>
          <w:tcPr>
            <w:tcW w:w="80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99.92</w:t>
            </w:r>
          </w:p>
        </w:tc>
        <w:tc>
          <w:tcPr>
            <w:tcW w:w="9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136,065.54</w:t>
            </w:r>
          </w:p>
        </w:tc>
        <w:tc>
          <w:tcPr>
            <w:tcW w:w="63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87"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w:t>
            </w:r>
          </w:p>
        </w:tc>
        <w:tc>
          <w:tcPr>
            <w:tcW w:w="412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贵州能发新能源开发有限公司</w:t>
            </w:r>
          </w:p>
        </w:tc>
        <w:tc>
          <w:tcPr>
            <w:tcW w:w="438"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w:t>
            </w:r>
          </w:p>
        </w:tc>
        <w:tc>
          <w:tcPr>
            <w:tcW w:w="58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w:t>
            </w:r>
          </w:p>
        </w:tc>
        <w:tc>
          <w:tcPr>
            <w:tcW w:w="1019"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贵州贵阳</w:t>
            </w:r>
          </w:p>
        </w:tc>
        <w:tc>
          <w:tcPr>
            <w:tcW w:w="1019"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贵州贵阳</w:t>
            </w:r>
          </w:p>
        </w:tc>
        <w:tc>
          <w:tcPr>
            <w:tcW w:w="123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煤炭</w:t>
            </w:r>
          </w:p>
        </w:tc>
        <w:tc>
          <w:tcPr>
            <w:tcW w:w="9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3,000.00</w:t>
            </w:r>
          </w:p>
        </w:tc>
        <w:tc>
          <w:tcPr>
            <w:tcW w:w="72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100.00</w:t>
            </w:r>
          </w:p>
        </w:tc>
        <w:tc>
          <w:tcPr>
            <w:tcW w:w="72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100.00</w:t>
            </w:r>
          </w:p>
        </w:tc>
        <w:tc>
          <w:tcPr>
            <w:tcW w:w="80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100.00</w:t>
            </w:r>
          </w:p>
        </w:tc>
        <w:tc>
          <w:tcPr>
            <w:tcW w:w="9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3,000.00</w:t>
            </w:r>
          </w:p>
        </w:tc>
        <w:tc>
          <w:tcPr>
            <w:tcW w:w="63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w:t>
            </w:r>
          </w:p>
        </w:tc>
      </w:tr>
    </w:tbl>
    <w:p>
      <w:pPr>
        <w:pStyle w:val="38"/>
        <w:rPr>
          <w:rFonts w:eastAsiaTheme="minorEastAsia"/>
          <w:color w:val="auto"/>
          <w:highlight w:val="none"/>
        </w:rPr>
      </w:pPr>
      <w:r>
        <w:rPr>
          <w:rFonts w:eastAsiaTheme="minorEastAsia"/>
          <w:color w:val="auto"/>
          <w:highlight w:val="none"/>
        </w:rPr>
        <w:fldChar w:fldCharType="end"/>
      </w:r>
    </w:p>
    <w:p>
      <w:pPr>
        <w:pStyle w:val="38"/>
        <w:rPr>
          <w:color w:val="auto"/>
          <w:highlight w:val="none"/>
        </w:rPr>
      </w:pPr>
      <w:r>
        <w:rPr>
          <w:rFonts w:hint="eastAsia"/>
          <w:color w:val="auto"/>
          <w:highlight w:val="none"/>
        </w:rPr>
        <w:t>注</w:t>
      </w:r>
      <w:r>
        <w:rPr>
          <w:color w:val="auto"/>
          <w:highlight w:val="none"/>
        </w:rPr>
        <w:t>：企业类型：1</w:t>
      </w:r>
      <w:r>
        <w:rPr>
          <w:rFonts w:hint="eastAsia"/>
          <w:color w:val="auto"/>
          <w:highlight w:val="none"/>
        </w:rPr>
        <w:t>、</w:t>
      </w:r>
      <w:r>
        <w:rPr>
          <w:color w:val="auto"/>
          <w:highlight w:val="none"/>
        </w:rPr>
        <w:t>境内非金融子企业，2</w:t>
      </w:r>
      <w:r>
        <w:rPr>
          <w:rFonts w:hint="eastAsia"/>
          <w:color w:val="auto"/>
          <w:highlight w:val="none"/>
        </w:rPr>
        <w:t>、</w:t>
      </w:r>
      <w:r>
        <w:rPr>
          <w:color w:val="auto"/>
          <w:highlight w:val="none"/>
        </w:rPr>
        <w:t>境内金融子企业，3</w:t>
      </w:r>
      <w:r>
        <w:rPr>
          <w:rFonts w:hint="eastAsia"/>
          <w:color w:val="auto"/>
          <w:highlight w:val="none"/>
        </w:rPr>
        <w:t>、</w:t>
      </w:r>
      <w:r>
        <w:rPr>
          <w:color w:val="auto"/>
          <w:highlight w:val="none"/>
        </w:rPr>
        <w:t>境外子企业，4</w:t>
      </w:r>
      <w:r>
        <w:rPr>
          <w:rFonts w:hint="eastAsia"/>
          <w:color w:val="auto"/>
          <w:highlight w:val="none"/>
        </w:rPr>
        <w:t>、</w:t>
      </w:r>
      <w:r>
        <w:rPr>
          <w:color w:val="auto"/>
          <w:highlight w:val="none"/>
        </w:rPr>
        <w:t>事业单位，5</w:t>
      </w:r>
      <w:r>
        <w:rPr>
          <w:rFonts w:hint="eastAsia"/>
          <w:color w:val="auto"/>
          <w:highlight w:val="none"/>
        </w:rPr>
        <w:t>、</w:t>
      </w:r>
      <w:r>
        <w:rPr>
          <w:color w:val="auto"/>
          <w:highlight w:val="none"/>
        </w:rPr>
        <w:t>基建单位。</w:t>
      </w:r>
    </w:p>
    <w:p>
      <w:pPr>
        <w:pStyle w:val="38"/>
        <w:ind w:leftChars="340" w:firstLine="420" w:firstLineChars="200"/>
        <w:rPr>
          <w:color w:val="auto"/>
          <w:highlight w:val="none"/>
        </w:rPr>
      </w:pPr>
      <w:r>
        <w:rPr>
          <w:color w:val="auto"/>
          <w:highlight w:val="none"/>
        </w:rPr>
        <w:t>取得方式：1</w:t>
      </w:r>
      <w:r>
        <w:rPr>
          <w:rFonts w:hint="eastAsia"/>
          <w:color w:val="auto"/>
          <w:highlight w:val="none"/>
        </w:rPr>
        <w:t>、</w:t>
      </w:r>
      <w:r>
        <w:rPr>
          <w:color w:val="auto"/>
          <w:highlight w:val="none"/>
        </w:rPr>
        <w:t>投资设立</w:t>
      </w:r>
      <w:r>
        <w:rPr>
          <w:rFonts w:hint="eastAsia"/>
          <w:color w:val="auto"/>
          <w:highlight w:val="none"/>
        </w:rPr>
        <w:t>，</w:t>
      </w:r>
      <w:r>
        <w:rPr>
          <w:color w:val="auto"/>
          <w:highlight w:val="none"/>
        </w:rPr>
        <w:t>2</w:t>
      </w:r>
      <w:r>
        <w:rPr>
          <w:rFonts w:hint="eastAsia"/>
          <w:color w:val="auto"/>
          <w:highlight w:val="none"/>
        </w:rPr>
        <w:t>、</w:t>
      </w:r>
      <w:r>
        <w:rPr>
          <w:color w:val="auto"/>
          <w:highlight w:val="none"/>
        </w:rPr>
        <w:t>同一控制下</w:t>
      </w:r>
      <w:r>
        <w:rPr>
          <w:rFonts w:hint="eastAsia"/>
          <w:color w:val="auto"/>
          <w:highlight w:val="none"/>
        </w:rPr>
        <w:t>的</w:t>
      </w:r>
      <w:r>
        <w:rPr>
          <w:color w:val="auto"/>
          <w:highlight w:val="none"/>
        </w:rPr>
        <w:t>企业合并</w:t>
      </w:r>
      <w:r>
        <w:rPr>
          <w:rFonts w:hint="eastAsia"/>
          <w:color w:val="auto"/>
          <w:highlight w:val="none"/>
        </w:rPr>
        <w:t>，</w:t>
      </w:r>
      <w:r>
        <w:rPr>
          <w:color w:val="auto"/>
          <w:highlight w:val="none"/>
        </w:rPr>
        <w:t>3</w:t>
      </w:r>
      <w:r>
        <w:rPr>
          <w:rFonts w:hint="eastAsia"/>
          <w:color w:val="auto"/>
          <w:highlight w:val="none"/>
        </w:rPr>
        <w:t>、</w:t>
      </w:r>
      <w:r>
        <w:rPr>
          <w:color w:val="auto"/>
          <w:highlight w:val="none"/>
        </w:rPr>
        <w:t>非同一控制下</w:t>
      </w:r>
      <w:r>
        <w:rPr>
          <w:rFonts w:hint="eastAsia"/>
          <w:color w:val="auto"/>
          <w:highlight w:val="none"/>
        </w:rPr>
        <w:t>的</w:t>
      </w:r>
      <w:r>
        <w:rPr>
          <w:color w:val="auto"/>
          <w:highlight w:val="none"/>
        </w:rPr>
        <w:t>企业合并</w:t>
      </w:r>
      <w:r>
        <w:rPr>
          <w:rFonts w:hint="eastAsia"/>
          <w:color w:val="auto"/>
          <w:highlight w:val="none"/>
        </w:rPr>
        <w:t>，</w:t>
      </w:r>
      <w:r>
        <w:rPr>
          <w:color w:val="auto"/>
          <w:highlight w:val="none"/>
        </w:rPr>
        <w:t>4</w:t>
      </w:r>
      <w:r>
        <w:rPr>
          <w:rFonts w:hint="eastAsia"/>
          <w:color w:val="auto"/>
          <w:highlight w:val="none"/>
        </w:rPr>
        <w:t>、</w:t>
      </w:r>
      <w:r>
        <w:rPr>
          <w:color w:val="auto"/>
          <w:highlight w:val="none"/>
        </w:rPr>
        <w:t>其他。</w:t>
      </w:r>
    </w:p>
    <w:p>
      <w:pPr>
        <w:pStyle w:val="38"/>
        <w:ind w:leftChars="340" w:firstLine="420" w:firstLineChars="200"/>
        <w:rPr>
          <w:b/>
          <w:color w:val="auto"/>
          <w:highlight w:val="none"/>
        </w:rPr>
      </w:pPr>
      <w:r>
        <w:rPr>
          <w:color w:val="auto"/>
          <w:highlight w:val="none"/>
        </w:rPr>
        <w:t>级次</w:t>
      </w:r>
      <w:r>
        <w:rPr>
          <w:rFonts w:hint="eastAsia"/>
          <w:color w:val="auto"/>
          <w:highlight w:val="none"/>
        </w:rPr>
        <w:t>为在整个中央企业集团内的法人级次。</w:t>
      </w:r>
    </w:p>
    <w:p>
      <w:pPr>
        <w:pStyle w:val="38"/>
        <w:rPr>
          <w:rFonts w:eastAsiaTheme="minorEastAsia"/>
          <w:color w:val="auto"/>
          <w:highlight w:val="none"/>
        </w:rPr>
      </w:pPr>
    </w:p>
    <w:p>
      <w:pPr>
        <w:pStyle w:val="38"/>
        <w:rPr>
          <w:color w:val="auto"/>
          <w:highlight w:val="none"/>
        </w:rPr>
        <w:sectPr>
          <w:pgSz w:w="16839" w:h="11907" w:orient="landscape"/>
          <w:pgMar w:top="1797" w:right="1440" w:bottom="1797" w:left="1440" w:header="794" w:footer="992" w:gutter="0"/>
          <w:cols w:space="425" w:num="1"/>
          <w:docGrid w:linePitch="312" w:charSpace="0"/>
        </w:sectPr>
      </w:pPr>
    </w:p>
    <w:p>
      <w:pPr>
        <w:pStyle w:val="38"/>
        <w:rPr>
          <w:color w:val="auto"/>
          <w:highlight w:val="none"/>
        </w:rPr>
      </w:pPr>
      <w:r>
        <w:rPr>
          <w:rFonts w:hint="eastAsia"/>
          <w:color w:val="auto"/>
          <w:highlight w:val="none"/>
        </w:rPr>
        <w:t>子公司的持股比例不同于表决权比例的，差异原因如下：</w:t>
      </w:r>
    </w:p>
    <w:p>
      <w:pPr>
        <w:pStyle w:val="38"/>
        <w:rPr>
          <w:rFonts w:asciiTheme="minorHAnsi" w:hAnsiTheme="minorHAnsi" w:eastAsiaTheme="minorEastAsia" w:cstheme="minorBidi"/>
          <w:color w:val="auto"/>
          <w:highlight w:val="none"/>
        </w:rPr>
      </w:pPr>
      <w:r>
        <w:rPr>
          <w:rFonts w:eastAsiaTheme="minorEastAsia"/>
          <w:color w:val="auto"/>
          <w:highlight w:val="none"/>
        </w:rPr>
        <w:fldChar w:fldCharType="begin"/>
      </w:r>
      <w:r>
        <w:rPr>
          <w:rFonts w:eastAsiaTheme="minorEastAsia"/>
          <w:color w:val="auto"/>
          <w:highlight w:val="none"/>
        </w:rPr>
        <w:instrText xml:space="preserve"> LINK Excel.SheetMacroEnabled.12 "D:\\tonylee\\立信\\新附注排版工具\\2016央企年报格式\\中央企业财务报表和报表附注20170109V1.xlsm" "企业合并及合并财务报表!企业合并及合并财务报表1_1" \f 4 \h \* MERGEFORMAT </w:instrText>
      </w:r>
      <w:r>
        <w:rPr>
          <w:rFonts w:eastAsiaTheme="minorEastAsia"/>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757"/>
        <w:gridCol w:w="2743"/>
        <w:gridCol w:w="1829"/>
        <w:gridCol w:w="1829"/>
        <w:gridCol w:w="1030"/>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757"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序号</w:t>
            </w:r>
          </w:p>
        </w:tc>
        <w:tc>
          <w:tcPr>
            <w:tcW w:w="2743"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企业名称</w:t>
            </w:r>
          </w:p>
        </w:tc>
        <w:tc>
          <w:tcPr>
            <w:tcW w:w="1829"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认缴持股比例（%）</w:t>
            </w:r>
          </w:p>
        </w:tc>
        <w:tc>
          <w:tcPr>
            <w:tcW w:w="1829"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享有的表决权（%）</w:t>
            </w:r>
          </w:p>
        </w:tc>
        <w:tc>
          <w:tcPr>
            <w:tcW w:w="103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差异原因</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757"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w:t>
            </w:r>
          </w:p>
        </w:tc>
        <w:tc>
          <w:tcPr>
            <w:tcW w:w="274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国家电投集团贵州金元威宁能源股份有限公司</w:t>
            </w:r>
          </w:p>
        </w:tc>
        <w:tc>
          <w:tcPr>
            <w:tcW w:w="182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45.36</w:t>
            </w:r>
          </w:p>
        </w:tc>
        <w:tc>
          <w:tcPr>
            <w:tcW w:w="182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70.28</w:t>
            </w:r>
          </w:p>
        </w:tc>
        <w:tc>
          <w:tcPr>
            <w:tcW w:w="103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注1</w:t>
            </w:r>
          </w:p>
        </w:tc>
      </w:tr>
    </w:tbl>
    <w:p>
      <w:pPr>
        <w:pStyle w:val="38"/>
        <w:rPr>
          <w:color w:val="auto"/>
          <w:highlight w:val="none"/>
        </w:rPr>
      </w:pPr>
      <w:r>
        <w:rPr>
          <w:rFonts w:eastAsiaTheme="minorEastAsia"/>
          <w:color w:val="auto"/>
          <w:highlight w:val="none"/>
        </w:rPr>
        <w:fldChar w:fldCharType="end"/>
      </w:r>
      <w:r>
        <w:rPr>
          <w:rFonts w:hint="eastAsia" w:eastAsiaTheme="minorEastAsia"/>
          <w:color w:val="auto"/>
          <w:highlight w:val="none"/>
        </w:rPr>
        <w:t>注1：</w:t>
      </w:r>
      <w:r>
        <w:rPr>
          <w:rFonts w:hint="eastAsia"/>
          <w:color w:val="auto"/>
          <w:highlight w:val="none"/>
        </w:rPr>
        <w:t>截至2024年12月31日，贵州金元子公司中水能源对威宁能源持股比例为5.18%，贵州金元子公司融和东能对威宁持股比例为19.74%，故贵州金元对威宁能源享有的表决权比例为70.28%。</w:t>
      </w:r>
    </w:p>
    <w:p>
      <w:pPr>
        <w:pStyle w:val="38"/>
        <w:rPr>
          <w:rFonts w:eastAsiaTheme="minorEastAsia"/>
          <w:color w:val="auto"/>
          <w:highlight w:val="none"/>
        </w:rPr>
      </w:pPr>
    </w:p>
    <w:p>
      <w:pPr>
        <w:pStyle w:val="37"/>
        <w:rPr>
          <w:rFonts w:eastAsiaTheme="minorEastAsia"/>
          <w:color w:val="auto"/>
          <w:highlight w:val="none"/>
        </w:rPr>
      </w:pPr>
      <w:r>
        <w:rPr>
          <w:rFonts w:hint="eastAsia"/>
          <w:color w:val="auto"/>
          <w:highlight w:val="none"/>
        </w:rPr>
        <w:t>重要非全资子企业情况</w:t>
      </w:r>
    </w:p>
    <w:p>
      <w:pPr>
        <w:pStyle w:val="44"/>
        <w:rPr>
          <w:rFonts w:eastAsiaTheme="minorEastAsia"/>
          <w:color w:val="auto"/>
          <w:highlight w:val="none"/>
        </w:rPr>
      </w:pPr>
      <w:r>
        <w:rPr>
          <w:rFonts w:hint="eastAsia"/>
          <w:color w:val="auto"/>
          <w:highlight w:val="none"/>
        </w:rPr>
        <w:t>少数股东</w:t>
      </w:r>
    </w:p>
    <w:p>
      <w:pPr>
        <w:pStyle w:val="35"/>
        <w:rPr>
          <w:rFonts w:asciiTheme="minorHAnsi" w:hAnsiTheme="minorHAnsi" w:eastAsiaTheme="minorEastAsia" w:cstheme="minorBidi"/>
          <w:color w:val="auto"/>
          <w:highlight w:val="none"/>
        </w:rPr>
      </w:pPr>
      <w:r>
        <w:rPr>
          <w:color w:val="auto"/>
          <w:highlight w:val="none"/>
        </w:rPr>
        <w:fldChar w:fldCharType="begin"/>
      </w:r>
      <w:r>
        <w:rPr>
          <w:color w:val="auto"/>
          <w:highlight w:val="none"/>
        </w:rPr>
        <w:instrText xml:space="preserve"> LINK Excel.SheetMacroEnabled.12 "D:\\tonylee\\立信\\新附注排版工具\\2015央企年报格式\\中央企业财务报表和报表附注20160818V4.xlsm" "企业合并及合并财务报表!企业合并及合并财务报表4" \f 4 \h \* MERGEFORMAT </w:instrText>
      </w:r>
      <w:r>
        <w:rPr>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451"/>
        <w:gridCol w:w="2438"/>
        <w:gridCol w:w="1240"/>
        <w:gridCol w:w="1353"/>
        <w:gridCol w:w="1353"/>
        <w:gridCol w:w="1353"/>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451"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序号</w:t>
            </w:r>
          </w:p>
        </w:tc>
        <w:tc>
          <w:tcPr>
            <w:tcW w:w="2438"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企业名称</w:t>
            </w:r>
          </w:p>
        </w:tc>
        <w:tc>
          <w:tcPr>
            <w:tcW w:w="124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少数股东持股比例（%）</w:t>
            </w:r>
          </w:p>
        </w:tc>
        <w:tc>
          <w:tcPr>
            <w:tcW w:w="1353"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当期归属于少数股东的损益</w:t>
            </w:r>
          </w:p>
        </w:tc>
        <w:tc>
          <w:tcPr>
            <w:tcW w:w="1353"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当期向少数股东支付的股利</w:t>
            </w:r>
          </w:p>
        </w:tc>
        <w:tc>
          <w:tcPr>
            <w:tcW w:w="1353"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期末累计少数股东权益</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51"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w:t>
            </w:r>
          </w:p>
        </w:tc>
        <w:tc>
          <w:tcPr>
            <w:tcW w:w="243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国家电投集团贵州金元威宁能源股份有限公司</w:t>
            </w:r>
          </w:p>
        </w:tc>
        <w:tc>
          <w:tcPr>
            <w:tcW w:w="124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64.39</w:t>
            </w:r>
          </w:p>
        </w:tc>
        <w:tc>
          <w:tcPr>
            <w:tcW w:w="135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16,190.52</w:t>
            </w:r>
          </w:p>
        </w:tc>
        <w:tc>
          <w:tcPr>
            <w:tcW w:w="135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8,104.15</w:t>
            </w:r>
          </w:p>
        </w:tc>
        <w:tc>
          <w:tcPr>
            <w:tcW w:w="135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384,280.89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51"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w:t>
            </w:r>
          </w:p>
        </w:tc>
        <w:tc>
          <w:tcPr>
            <w:tcW w:w="243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贵州西电电力股份有限公司</w:t>
            </w:r>
          </w:p>
        </w:tc>
        <w:tc>
          <w:tcPr>
            <w:tcW w:w="124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32.44</w:t>
            </w:r>
          </w:p>
        </w:tc>
        <w:tc>
          <w:tcPr>
            <w:tcW w:w="135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3,650.89</w:t>
            </w:r>
          </w:p>
        </w:tc>
        <w:tc>
          <w:tcPr>
            <w:tcW w:w="135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w:t>
            </w:r>
          </w:p>
        </w:tc>
        <w:tc>
          <w:tcPr>
            <w:tcW w:w="135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148,422.76</w:t>
            </w:r>
          </w:p>
        </w:tc>
      </w:tr>
    </w:tbl>
    <w:p>
      <w:pPr>
        <w:pStyle w:val="35"/>
        <w:rPr>
          <w:color w:val="auto"/>
          <w:highlight w:val="none"/>
        </w:rPr>
      </w:pPr>
      <w:r>
        <w:rPr>
          <w:color w:val="auto"/>
          <w:highlight w:val="none"/>
        </w:rPr>
        <w:fldChar w:fldCharType="end"/>
      </w:r>
    </w:p>
    <w:p>
      <w:pPr>
        <w:pStyle w:val="44"/>
        <w:rPr>
          <w:rFonts w:eastAsiaTheme="minorEastAsia"/>
          <w:color w:val="auto"/>
          <w:highlight w:val="none"/>
        </w:rPr>
      </w:pPr>
      <w:r>
        <w:rPr>
          <w:rFonts w:hint="eastAsia"/>
          <w:color w:val="auto"/>
          <w:highlight w:val="none"/>
        </w:rPr>
        <w:t>主要财务信息</w:t>
      </w:r>
    </w:p>
    <w:p>
      <w:pPr>
        <w:pStyle w:val="35"/>
        <w:rPr>
          <w:rFonts w:asciiTheme="minorHAnsi" w:hAnsiTheme="minorHAnsi" w:eastAsiaTheme="minorEastAsia" w:cstheme="minorBidi"/>
          <w:color w:val="auto"/>
          <w:highlight w:val="none"/>
        </w:rPr>
      </w:pPr>
      <w:r>
        <w:rPr>
          <w:color w:val="auto"/>
          <w:highlight w:val="none"/>
        </w:rPr>
        <w:fldChar w:fldCharType="begin"/>
      </w:r>
      <w:r>
        <w:rPr>
          <w:color w:val="auto"/>
          <w:highlight w:val="none"/>
        </w:rPr>
        <w:instrText xml:space="preserve"> LINK Excel.SheetMacroEnabled.12 "D:\\tonylee\\立信\\新附注排版工具\\2015央企年报格式\\中央企业财务报表和报表附注20160818V4.xlsm" "企业合并及合并财务报表!企业合并及合并财务报表5" \f 4 \h \* MERGEFORMAT </w:instrText>
      </w:r>
      <w:r>
        <w:rPr>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2129"/>
        <w:gridCol w:w="1677"/>
        <w:gridCol w:w="1523"/>
        <w:gridCol w:w="1525"/>
        <w:gridCol w:w="1334"/>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2129"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项目</w:t>
            </w:r>
          </w:p>
        </w:tc>
        <w:tc>
          <w:tcPr>
            <w:tcW w:w="3200"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本期数</w:t>
            </w:r>
          </w:p>
        </w:tc>
        <w:tc>
          <w:tcPr>
            <w:tcW w:w="2859"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上期数</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2129"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677"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国家电投集团贵州金元威宁能源股份有限公司</w:t>
            </w:r>
          </w:p>
        </w:tc>
        <w:tc>
          <w:tcPr>
            <w:tcW w:w="1523"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贵州西电电力股份有限公司</w:t>
            </w:r>
          </w:p>
        </w:tc>
        <w:tc>
          <w:tcPr>
            <w:tcW w:w="152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国家电投集团贵州金元威宁能源股份有限公司</w:t>
            </w:r>
          </w:p>
        </w:tc>
        <w:tc>
          <w:tcPr>
            <w:tcW w:w="1334"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贵州西电电力股份有限公司</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129"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流动资产</w:t>
            </w:r>
          </w:p>
        </w:tc>
        <w:tc>
          <w:tcPr>
            <w:tcW w:w="167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524,492.79</w:t>
            </w:r>
          </w:p>
        </w:tc>
        <w:tc>
          <w:tcPr>
            <w:tcW w:w="152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700,944.92</w:t>
            </w:r>
          </w:p>
        </w:tc>
        <w:tc>
          <w:tcPr>
            <w:tcW w:w="152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463,053.57</w:t>
            </w:r>
          </w:p>
        </w:tc>
        <w:tc>
          <w:tcPr>
            <w:tcW w:w="133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771,655.59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129"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非流动资产</w:t>
            </w:r>
          </w:p>
        </w:tc>
        <w:tc>
          <w:tcPr>
            <w:tcW w:w="167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3,195,084.68</w:t>
            </w:r>
          </w:p>
        </w:tc>
        <w:tc>
          <w:tcPr>
            <w:tcW w:w="152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1,048,869.79</w:t>
            </w:r>
          </w:p>
        </w:tc>
        <w:tc>
          <w:tcPr>
            <w:tcW w:w="152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2,927,996.46</w:t>
            </w:r>
          </w:p>
        </w:tc>
        <w:tc>
          <w:tcPr>
            <w:tcW w:w="133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1,053,515.90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129"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资产合计</w:t>
            </w:r>
          </w:p>
        </w:tc>
        <w:tc>
          <w:tcPr>
            <w:tcW w:w="167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3,719,577.47</w:t>
            </w:r>
          </w:p>
        </w:tc>
        <w:tc>
          <w:tcPr>
            <w:tcW w:w="152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1,749,814.71</w:t>
            </w:r>
          </w:p>
        </w:tc>
        <w:tc>
          <w:tcPr>
            <w:tcW w:w="152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3,391,050.03</w:t>
            </w:r>
          </w:p>
        </w:tc>
        <w:tc>
          <w:tcPr>
            <w:tcW w:w="133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1,825,171.49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129"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流动负债</w:t>
            </w:r>
          </w:p>
        </w:tc>
        <w:tc>
          <w:tcPr>
            <w:tcW w:w="167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518,094.22</w:t>
            </w:r>
          </w:p>
        </w:tc>
        <w:tc>
          <w:tcPr>
            <w:tcW w:w="152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733,678.15</w:t>
            </w:r>
          </w:p>
        </w:tc>
        <w:tc>
          <w:tcPr>
            <w:tcW w:w="152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488,178.09</w:t>
            </w:r>
          </w:p>
        </w:tc>
        <w:tc>
          <w:tcPr>
            <w:tcW w:w="133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894,436.32</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129"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非流动负债</w:t>
            </w:r>
          </w:p>
        </w:tc>
        <w:tc>
          <w:tcPr>
            <w:tcW w:w="167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2,076,306.13</w:t>
            </w:r>
          </w:p>
        </w:tc>
        <w:tc>
          <w:tcPr>
            <w:tcW w:w="152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154,201.89</w:t>
            </w:r>
          </w:p>
        </w:tc>
        <w:tc>
          <w:tcPr>
            <w:tcW w:w="152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2,003,553.54</w:t>
            </w:r>
          </w:p>
        </w:tc>
        <w:tc>
          <w:tcPr>
            <w:tcW w:w="133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64,876.72</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129"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负债合计</w:t>
            </w:r>
          </w:p>
        </w:tc>
        <w:tc>
          <w:tcPr>
            <w:tcW w:w="167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2,594,400.34</w:t>
            </w:r>
          </w:p>
        </w:tc>
        <w:tc>
          <w:tcPr>
            <w:tcW w:w="152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887,880.04</w:t>
            </w:r>
          </w:p>
        </w:tc>
        <w:tc>
          <w:tcPr>
            <w:tcW w:w="152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2,491,731.63</w:t>
            </w:r>
          </w:p>
        </w:tc>
        <w:tc>
          <w:tcPr>
            <w:tcW w:w="133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959,313.04</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129"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营业收入</w:t>
            </w:r>
          </w:p>
        </w:tc>
        <w:tc>
          <w:tcPr>
            <w:tcW w:w="167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315,148.24</w:t>
            </w:r>
          </w:p>
        </w:tc>
        <w:tc>
          <w:tcPr>
            <w:tcW w:w="152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802,093.50</w:t>
            </w:r>
          </w:p>
        </w:tc>
        <w:tc>
          <w:tcPr>
            <w:tcW w:w="152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323,772.66</w:t>
            </w:r>
          </w:p>
        </w:tc>
        <w:tc>
          <w:tcPr>
            <w:tcW w:w="133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863,697.28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129"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净利润</w:t>
            </w:r>
          </w:p>
        </w:tc>
        <w:tc>
          <w:tcPr>
            <w:tcW w:w="167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64,697.57</w:t>
            </w:r>
          </w:p>
        </w:tc>
        <w:tc>
          <w:tcPr>
            <w:tcW w:w="152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31,378.01</w:t>
            </w:r>
          </w:p>
        </w:tc>
        <w:tc>
          <w:tcPr>
            <w:tcW w:w="152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65,515.68</w:t>
            </w:r>
          </w:p>
        </w:tc>
        <w:tc>
          <w:tcPr>
            <w:tcW w:w="133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115,440.43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129"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综合收益总额</w:t>
            </w:r>
          </w:p>
        </w:tc>
        <w:tc>
          <w:tcPr>
            <w:tcW w:w="167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64,697.57</w:t>
            </w:r>
          </w:p>
        </w:tc>
        <w:tc>
          <w:tcPr>
            <w:tcW w:w="152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31,378.01</w:t>
            </w:r>
          </w:p>
        </w:tc>
        <w:tc>
          <w:tcPr>
            <w:tcW w:w="152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65,515.68</w:t>
            </w:r>
          </w:p>
        </w:tc>
        <w:tc>
          <w:tcPr>
            <w:tcW w:w="133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115,495.44</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129"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经营活动现金流量</w:t>
            </w:r>
          </w:p>
        </w:tc>
        <w:tc>
          <w:tcPr>
            <w:tcW w:w="167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209,499.06</w:t>
            </w:r>
          </w:p>
        </w:tc>
        <w:tc>
          <w:tcPr>
            <w:tcW w:w="152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133,113.07</w:t>
            </w:r>
          </w:p>
        </w:tc>
        <w:tc>
          <w:tcPr>
            <w:tcW w:w="152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186,337.72</w:t>
            </w:r>
          </w:p>
        </w:tc>
        <w:tc>
          <w:tcPr>
            <w:tcW w:w="133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622,754.46</w:t>
            </w:r>
          </w:p>
        </w:tc>
      </w:tr>
    </w:tbl>
    <w:p>
      <w:pPr>
        <w:pStyle w:val="35"/>
        <w:rPr>
          <w:rFonts w:hint="eastAsia"/>
          <w:color w:val="auto"/>
          <w:highlight w:val="none"/>
        </w:rPr>
      </w:pPr>
      <w:r>
        <w:rPr>
          <w:color w:val="auto"/>
          <w:highlight w:val="none"/>
        </w:rPr>
        <w:fldChar w:fldCharType="end"/>
      </w:r>
    </w:p>
    <w:p>
      <w:pPr>
        <w:pStyle w:val="35"/>
        <w:rPr>
          <w:rFonts w:hint="eastAsia"/>
          <w:color w:val="auto"/>
          <w:highlight w:val="none"/>
        </w:rPr>
      </w:pPr>
    </w:p>
    <w:p>
      <w:pPr>
        <w:pStyle w:val="35"/>
        <w:rPr>
          <w:rFonts w:hint="eastAsia"/>
          <w:color w:val="auto"/>
          <w:highlight w:val="none"/>
        </w:rPr>
      </w:pPr>
    </w:p>
    <w:p>
      <w:pPr>
        <w:pStyle w:val="35"/>
        <w:rPr>
          <w:rFonts w:hint="eastAsia"/>
          <w:color w:val="auto"/>
          <w:highlight w:val="none"/>
        </w:rPr>
      </w:pPr>
    </w:p>
    <w:p>
      <w:pPr>
        <w:pStyle w:val="35"/>
        <w:rPr>
          <w:color w:val="auto"/>
          <w:highlight w:val="none"/>
        </w:rPr>
      </w:pPr>
    </w:p>
    <w:p>
      <w:pPr>
        <w:pStyle w:val="37"/>
        <w:rPr>
          <w:color w:val="auto"/>
          <w:highlight w:val="none"/>
        </w:rPr>
      </w:pPr>
      <w:r>
        <w:rPr>
          <w:color w:val="auto"/>
          <w:highlight w:val="none"/>
        </w:rPr>
        <w:t>本期不再纳入合并范围的原子公司</w:t>
      </w:r>
    </w:p>
    <w:p>
      <w:pPr>
        <w:pStyle w:val="44"/>
        <w:rPr>
          <w:color w:val="auto"/>
          <w:highlight w:val="none"/>
        </w:rPr>
      </w:pPr>
      <w:r>
        <w:rPr>
          <w:color w:val="auto"/>
          <w:highlight w:val="none"/>
        </w:rPr>
        <w:t>原子公司的基本情况</w:t>
      </w:r>
    </w:p>
    <w:p>
      <w:pPr>
        <w:pStyle w:val="35"/>
        <w:rPr>
          <w:rFonts w:asciiTheme="minorHAnsi" w:hAnsiTheme="minorHAnsi" w:eastAsiaTheme="minorEastAsia" w:cstheme="minorBidi"/>
          <w:color w:val="auto"/>
          <w:highlight w:val="none"/>
        </w:rPr>
      </w:pPr>
      <w:r>
        <w:rPr>
          <w:color w:val="auto"/>
          <w:highlight w:val="none"/>
        </w:rPr>
        <w:fldChar w:fldCharType="begin"/>
      </w:r>
      <w:r>
        <w:rPr>
          <w:color w:val="auto"/>
          <w:highlight w:val="none"/>
        </w:rPr>
        <w:instrText xml:space="preserve"> LINK Excel.SheetMacroEnabled.12 "D:\\tonylee\\立信\\新附注排版工具\\2015央企年报格式\\中央企业财务报表和报表附注20160818V4.xlsm" "企业合并及合并财务报表!企业合并及合并财务报表7" \f 4 \h \* MERGEFORMAT </w:instrText>
      </w:r>
      <w:r>
        <w:rPr>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604"/>
        <w:gridCol w:w="1659"/>
        <w:gridCol w:w="1131"/>
        <w:gridCol w:w="1131"/>
        <w:gridCol w:w="1268"/>
        <w:gridCol w:w="1268"/>
        <w:gridCol w:w="1127"/>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604"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序号</w:t>
            </w:r>
          </w:p>
        </w:tc>
        <w:tc>
          <w:tcPr>
            <w:tcW w:w="1659"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企业名称</w:t>
            </w:r>
          </w:p>
        </w:tc>
        <w:tc>
          <w:tcPr>
            <w:tcW w:w="113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注册地</w:t>
            </w:r>
          </w:p>
        </w:tc>
        <w:tc>
          <w:tcPr>
            <w:tcW w:w="113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业务性质</w:t>
            </w:r>
          </w:p>
        </w:tc>
        <w:tc>
          <w:tcPr>
            <w:tcW w:w="126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持股比例（%）</w:t>
            </w:r>
          </w:p>
        </w:tc>
        <w:tc>
          <w:tcPr>
            <w:tcW w:w="126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表决权比例（%）</w:t>
            </w:r>
          </w:p>
        </w:tc>
        <w:tc>
          <w:tcPr>
            <w:tcW w:w="112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本期不再成为子公司的原因</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604"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w:t>
            </w:r>
          </w:p>
        </w:tc>
        <w:tc>
          <w:tcPr>
            <w:tcW w:w="1659"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贵州能发电力燃料开发有限公司</w:t>
            </w:r>
          </w:p>
        </w:tc>
        <w:tc>
          <w:tcPr>
            <w:tcW w:w="1131"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贵州贵阳</w:t>
            </w:r>
          </w:p>
        </w:tc>
        <w:tc>
          <w:tcPr>
            <w:tcW w:w="1131"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煤炭</w:t>
            </w:r>
          </w:p>
        </w:tc>
        <w:tc>
          <w:tcPr>
            <w:tcW w:w="126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100.00</w:t>
            </w:r>
          </w:p>
        </w:tc>
        <w:tc>
          <w:tcPr>
            <w:tcW w:w="126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100.00</w:t>
            </w:r>
          </w:p>
        </w:tc>
        <w:tc>
          <w:tcPr>
            <w:tcW w:w="112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丧失控制权</w:t>
            </w:r>
          </w:p>
        </w:tc>
      </w:tr>
    </w:tbl>
    <w:p>
      <w:pPr>
        <w:pStyle w:val="35"/>
        <w:rPr>
          <w:color w:val="auto"/>
          <w:highlight w:val="none"/>
        </w:rPr>
      </w:pPr>
      <w:r>
        <w:rPr>
          <w:color w:val="auto"/>
          <w:highlight w:val="none"/>
        </w:rPr>
        <w:fldChar w:fldCharType="end"/>
      </w:r>
    </w:p>
    <w:p>
      <w:pPr>
        <w:pStyle w:val="44"/>
        <w:rPr>
          <w:color w:val="auto"/>
          <w:highlight w:val="none"/>
        </w:rPr>
      </w:pPr>
      <w:r>
        <w:rPr>
          <w:color w:val="auto"/>
          <w:highlight w:val="none"/>
        </w:rPr>
        <w:t>本</w:t>
      </w:r>
      <w:r>
        <w:rPr>
          <w:rFonts w:hint="eastAsia"/>
          <w:color w:val="auto"/>
          <w:highlight w:val="none"/>
        </w:rPr>
        <w:t>期</w:t>
      </w:r>
      <w:r>
        <w:rPr>
          <w:color w:val="auto"/>
          <w:highlight w:val="none"/>
        </w:rPr>
        <w:t>处置的子公司处置日的财务状况</w:t>
      </w:r>
    </w:p>
    <w:p>
      <w:pPr>
        <w:pStyle w:val="35"/>
        <w:rPr>
          <w:rFonts w:asciiTheme="minorHAnsi" w:hAnsiTheme="minorHAnsi" w:eastAsiaTheme="minorEastAsia" w:cstheme="minorBidi"/>
          <w:color w:val="auto"/>
          <w:highlight w:val="none"/>
        </w:rPr>
      </w:pPr>
      <w:r>
        <w:rPr>
          <w:color w:val="auto"/>
          <w:highlight w:val="none"/>
        </w:rPr>
        <w:fldChar w:fldCharType="begin"/>
      </w:r>
      <w:r>
        <w:rPr>
          <w:color w:val="auto"/>
          <w:highlight w:val="none"/>
        </w:rPr>
        <w:instrText xml:space="preserve"> LINK Excel.SheetMacroEnabled.12 "D:\\tonylee\\立信\\新附注排版工具\\2015央企年报格式\\中央企业财务报表和报表附注20160818V4.xlsm" "企业合并及合并财务报表!企业合并及合并财务报表8" \f 4 \h \* MERGEFORMAT </w:instrText>
      </w:r>
      <w:r>
        <w:rPr>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2008"/>
        <w:gridCol w:w="3543"/>
        <w:gridCol w:w="2637"/>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200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原子公司名称</w:t>
            </w:r>
          </w:p>
        </w:tc>
        <w:tc>
          <w:tcPr>
            <w:tcW w:w="6180"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贵州能发电力燃料开发有限公司</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08"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截止日期</w:t>
            </w:r>
          </w:p>
        </w:tc>
        <w:tc>
          <w:tcPr>
            <w:tcW w:w="3543"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处置日2024年12月31日</w:t>
            </w:r>
          </w:p>
        </w:tc>
        <w:tc>
          <w:tcPr>
            <w:tcW w:w="263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2023年12月31日</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08"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资产</w:t>
            </w:r>
          </w:p>
        </w:tc>
        <w:tc>
          <w:tcPr>
            <w:tcW w:w="354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235,663.67</w:t>
            </w:r>
          </w:p>
        </w:tc>
        <w:tc>
          <w:tcPr>
            <w:tcW w:w="263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503,287.30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08"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负债</w:t>
            </w:r>
          </w:p>
        </w:tc>
        <w:tc>
          <w:tcPr>
            <w:tcW w:w="354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390,208.42</w:t>
            </w:r>
          </w:p>
        </w:tc>
        <w:tc>
          <w:tcPr>
            <w:tcW w:w="263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961,828.09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08"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所有者权益</w:t>
            </w:r>
          </w:p>
        </w:tc>
        <w:tc>
          <w:tcPr>
            <w:tcW w:w="354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-154,544.75</w:t>
            </w:r>
          </w:p>
        </w:tc>
        <w:tc>
          <w:tcPr>
            <w:tcW w:w="263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-458,540.79</w:t>
            </w:r>
          </w:p>
        </w:tc>
      </w:tr>
    </w:tbl>
    <w:p>
      <w:pPr>
        <w:pStyle w:val="35"/>
        <w:rPr>
          <w:color w:val="auto"/>
          <w:highlight w:val="none"/>
        </w:rPr>
      </w:pPr>
      <w:r>
        <w:rPr>
          <w:color w:val="auto"/>
          <w:highlight w:val="none"/>
        </w:rPr>
        <w:fldChar w:fldCharType="end"/>
      </w:r>
    </w:p>
    <w:p>
      <w:pPr>
        <w:pStyle w:val="44"/>
        <w:rPr>
          <w:color w:val="auto"/>
          <w:highlight w:val="none"/>
        </w:rPr>
      </w:pPr>
      <w:r>
        <w:rPr>
          <w:color w:val="auto"/>
          <w:highlight w:val="none"/>
        </w:rPr>
        <w:t>本</w:t>
      </w:r>
      <w:r>
        <w:rPr>
          <w:rFonts w:hint="eastAsia"/>
          <w:color w:val="auto"/>
          <w:highlight w:val="none"/>
        </w:rPr>
        <w:t>期</w:t>
      </w:r>
      <w:r>
        <w:rPr>
          <w:color w:val="auto"/>
          <w:highlight w:val="none"/>
        </w:rPr>
        <w:t>处置的子公司本</w:t>
      </w:r>
      <w:r>
        <w:rPr>
          <w:rFonts w:hint="eastAsia"/>
          <w:color w:val="auto"/>
          <w:highlight w:val="none"/>
        </w:rPr>
        <w:t>期期</w:t>
      </w:r>
      <w:r>
        <w:rPr>
          <w:color w:val="auto"/>
          <w:highlight w:val="none"/>
        </w:rPr>
        <w:t>初至处置日的经营成果</w:t>
      </w:r>
    </w:p>
    <w:p>
      <w:pPr>
        <w:pStyle w:val="35"/>
        <w:rPr>
          <w:rFonts w:asciiTheme="minorHAnsi" w:hAnsiTheme="minorHAnsi" w:eastAsiaTheme="minorEastAsia" w:cstheme="minorBidi"/>
          <w:color w:val="auto"/>
          <w:highlight w:val="none"/>
        </w:rPr>
      </w:pPr>
      <w:r>
        <w:rPr>
          <w:color w:val="auto"/>
          <w:highlight w:val="none"/>
        </w:rPr>
        <w:fldChar w:fldCharType="begin"/>
      </w:r>
      <w:r>
        <w:rPr>
          <w:color w:val="auto"/>
          <w:highlight w:val="none"/>
        </w:rPr>
        <w:instrText xml:space="preserve"> LINK Excel.SheetMacroEnabled.12 "D:\\tonylee\\立信\\新附注排版工具\\2015央企年报格式\\中央企业财务报表和报表附注20160818V4.xlsm" "企业合并及合并财务报表!企业合并及合并财务报表9" \f 4 \h \* MERGEFORMAT </w:instrText>
      </w:r>
      <w:r>
        <w:rPr>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2405"/>
        <w:gridCol w:w="3935"/>
        <w:gridCol w:w="1848"/>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240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原子公司名称</w:t>
            </w:r>
          </w:p>
        </w:tc>
        <w:tc>
          <w:tcPr>
            <w:tcW w:w="5783"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贵州能发电力燃料开发有限公司</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0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期间</w:t>
            </w:r>
          </w:p>
        </w:tc>
        <w:tc>
          <w:tcPr>
            <w:tcW w:w="393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2024年1月1日-处置日</w:t>
            </w:r>
          </w:p>
        </w:tc>
        <w:tc>
          <w:tcPr>
            <w:tcW w:w="184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2023年度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0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营业收入</w:t>
            </w:r>
          </w:p>
        </w:tc>
        <w:tc>
          <w:tcPr>
            <w:tcW w:w="393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10,702.45</w:t>
            </w:r>
          </w:p>
        </w:tc>
        <w:tc>
          <w:tcPr>
            <w:tcW w:w="18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62,272.31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0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营业成本</w:t>
            </w:r>
          </w:p>
        </w:tc>
        <w:tc>
          <w:tcPr>
            <w:tcW w:w="393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119,390.62</w:t>
            </w:r>
          </w:p>
        </w:tc>
        <w:tc>
          <w:tcPr>
            <w:tcW w:w="18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47,179.65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0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营业利润</w:t>
            </w:r>
          </w:p>
        </w:tc>
        <w:tc>
          <w:tcPr>
            <w:tcW w:w="393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-191,526.96</w:t>
            </w:r>
          </w:p>
        </w:tc>
        <w:tc>
          <w:tcPr>
            <w:tcW w:w="18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-38,987.46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0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利润总额</w:t>
            </w:r>
          </w:p>
        </w:tc>
        <w:tc>
          <w:tcPr>
            <w:tcW w:w="393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-191,781.63</w:t>
            </w:r>
          </w:p>
        </w:tc>
        <w:tc>
          <w:tcPr>
            <w:tcW w:w="18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-39,042.20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0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净利润</w:t>
            </w:r>
          </w:p>
        </w:tc>
        <w:tc>
          <w:tcPr>
            <w:tcW w:w="393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-189,058.98</w:t>
            </w:r>
          </w:p>
        </w:tc>
        <w:tc>
          <w:tcPr>
            <w:tcW w:w="18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-40,368.43</w:t>
            </w:r>
          </w:p>
        </w:tc>
      </w:tr>
    </w:tbl>
    <w:p>
      <w:pPr>
        <w:pStyle w:val="35"/>
        <w:rPr>
          <w:color w:val="auto"/>
          <w:highlight w:val="none"/>
        </w:rPr>
      </w:pPr>
      <w:r>
        <w:rPr>
          <w:color w:val="auto"/>
          <w:highlight w:val="none"/>
        </w:rPr>
        <w:fldChar w:fldCharType="end"/>
      </w:r>
    </w:p>
    <w:p>
      <w:pPr>
        <w:pStyle w:val="43"/>
        <w:rPr>
          <w:rFonts w:eastAsiaTheme="minorEastAsia"/>
          <w:color w:val="auto"/>
          <w:highlight w:val="none"/>
        </w:rPr>
      </w:pPr>
      <w:r>
        <w:rPr>
          <w:rFonts w:hint="eastAsia" w:eastAsiaTheme="minorEastAsia"/>
          <w:color w:val="auto"/>
          <w:highlight w:val="none"/>
        </w:rPr>
        <w:t>合并</w:t>
      </w:r>
      <w:r>
        <w:rPr>
          <w:rFonts w:eastAsiaTheme="minorEastAsia"/>
          <w:color w:val="auto"/>
          <w:highlight w:val="none"/>
        </w:rPr>
        <w:t>财务报表</w:t>
      </w:r>
      <w:r>
        <w:rPr>
          <w:rFonts w:hint="eastAsia" w:eastAsiaTheme="minorEastAsia"/>
          <w:color w:val="auto"/>
          <w:highlight w:val="none"/>
        </w:rPr>
        <w:t>重要</w:t>
      </w:r>
      <w:r>
        <w:rPr>
          <w:rFonts w:eastAsiaTheme="minorEastAsia"/>
          <w:color w:val="auto"/>
          <w:highlight w:val="none"/>
        </w:rPr>
        <w:t>项目</w:t>
      </w:r>
      <w:r>
        <w:rPr>
          <w:rFonts w:hint="eastAsia" w:eastAsiaTheme="minorEastAsia"/>
          <w:color w:val="auto"/>
          <w:highlight w:val="none"/>
        </w:rPr>
        <w:t>的说明</w:t>
      </w:r>
    </w:p>
    <w:p>
      <w:pPr>
        <w:pStyle w:val="38"/>
        <w:rPr>
          <w:color w:val="auto"/>
          <w:highlight w:val="none"/>
        </w:rPr>
      </w:pPr>
      <w:r>
        <w:rPr>
          <w:rFonts w:hint="eastAsia"/>
          <w:color w:val="auto"/>
          <w:highlight w:val="none"/>
        </w:rPr>
        <w:t>（除另有注明外，所有金额均以人民币元为货币单位）</w:t>
      </w:r>
    </w:p>
    <w:p>
      <w:pPr>
        <w:pStyle w:val="37"/>
        <w:rPr>
          <w:rFonts w:eastAsiaTheme="minorEastAsia"/>
          <w:color w:val="auto"/>
          <w:highlight w:val="none"/>
        </w:rPr>
      </w:pPr>
      <w:r>
        <w:rPr>
          <w:rFonts w:eastAsiaTheme="minorEastAsia"/>
          <w:color w:val="auto"/>
          <w:highlight w:val="none"/>
        </w:rPr>
        <w:t>货币资金</w:t>
      </w:r>
    </w:p>
    <w:p>
      <w:pPr>
        <w:pStyle w:val="38"/>
        <w:rPr>
          <w:rFonts w:eastAsiaTheme="minorEastAsia"/>
          <w:bCs/>
          <w:color w:val="auto"/>
          <w:highlight w:val="none"/>
        </w:rPr>
      </w:pPr>
      <w:r>
        <w:rPr>
          <w:rFonts w:eastAsiaTheme="minorEastAsia"/>
          <w:b/>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!货币资金 \f 4 \h \* MERGEFORMAT </w:instrText>
      </w:r>
      <w:r>
        <w:rPr>
          <w:rFonts w:eastAsiaTheme="minorEastAsia"/>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3462"/>
        <w:gridCol w:w="2440"/>
        <w:gridCol w:w="2286"/>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3462"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2440"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c>
          <w:tcPr>
            <w:tcW w:w="2286"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46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库存现金</w:t>
            </w:r>
          </w:p>
        </w:tc>
        <w:tc>
          <w:tcPr>
            <w:tcW w:w="244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228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46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银行存款</w:t>
            </w:r>
          </w:p>
        </w:tc>
        <w:tc>
          <w:tcPr>
            <w:tcW w:w="244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1,412,627,196.98</w:t>
            </w:r>
          </w:p>
        </w:tc>
        <w:tc>
          <w:tcPr>
            <w:tcW w:w="228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895,717,263.20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46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其他货币资金</w:t>
            </w:r>
          </w:p>
        </w:tc>
        <w:tc>
          <w:tcPr>
            <w:tcW w:w="244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58,031,822.32</w:t>
            </w:r>
          </w:p>
        </w:tc>
        <w:tc>
          <w:tcPr>
            <w:tcW w:w="228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172,398,085.32</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462"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244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1,470,659,019.30</w:t>
            </w:r>
          </w:p>
        </w:tc>
        <w:tc>
          <w:tcPr>
            <w:tcW w:w="228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1,068,115,348.52</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46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其中：存放在境外的款项总额</w:t>
            </w:r>
          </w:p>
        </w:tc>
        <w:tc>
          <w:tcPr>
            <w:tcW w:w="244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228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46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存放财务公司款项</w:t>
            </w:r>
          </w:p>
        </w:tc>
        <w:tc>
          <w:tcPr>
            <w:tcW w:w="244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1,374,221,779.51</w:t>
            </w:r>
          </w:p>
        </w:tc>
        <w:tc>
          <w:tcPr>
            <w:tcW w:w="228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688,243,104.95</w:t>
            </w:r>
          </w:p>
        </w:tc>
      </w:tr>
    </w:tbl>
    <w:p>
      <w:pPr>
        <w:pStyle w:val="38"/>
        <w:rPr>
          <w:rFonts w:eastAsiaTheme="minorEastAsia"/>
          <w:color w:val="auto"/>
          <w:szCs w:val="24"/>
          <w:highlight w:val="none"/>
        </w:rPr>
      </w:pPr>
      <w:r>
        <w:rPr>
          <w:rFonts w:eastAsiaTheme="minorEastAsia"/>
          <w:color w:val="auto"/>
          <w:highlight w:val="none"/>
        </w:rPr>
        <w:fldChar w:fldCharType="end"/>
      </w:r>
      <w:r>
        <w:rPr>
          <w:rFonts w:hint="eastAsia"/>
          <w:color w:val="auto"/>
          <w:highlight w:val="none"/>
        </w:rPr>
        <w:t>受限制的货币资金明细如下</w:t>
      </w:r>
      <w:r>
        <w:rPr>
          <w:color w:val="auto"/>
          <w:highlight w:val="none"/>
        </w:rPr>
        <w:t>：</w:t>
      </w:r>
    </w:p>
    <w:p>
      <w:pPr>
        <w:pStyle w:val="38"/>
        <w:rPr>
          <w:rFonts w:eastAsiaTheme="minorEastAsia"/>
          <w:color w:val="auto"/>
          <w:highlight w:val="none"/>
        </w:rPr>
      </w:pPr>
      <w:r>
        <w:rPr>
          <w:rFonts w:eastAsiaTheme="minorEastAsia"/>
          <w:color w:val="auto"/>
          <w:szCs w:val="24"/>
          <w:highlight w:val="none"/>
        </w:rPr>
        <w:fldChar w:fldCharType="begin"/>
      </w:r>
      <w:r>
        <w:rPr>
          <w:rFonts w:eastAsiaTheme="minorEastAsia"/>
          <w:color w:val="auto"/>
          <w:highlight w:val="none"/>
        </w:rPr>
        <w:instrText xml:space="preserve"> LINK Excel.Sheet.12 E:\\雍\\附注排版\\2014年年报格式\\附注过渡表20150130V0910.xlsx </w:instrText>
      </w:r>
      <w:r>
        <w:rPr>
          <w:rFonts w:hint="eastAsia" w:eastAsiaTheme="minorEastAsia"/>
          <w:color w:val="auto"/>
          <w:highlight w:val="none"/>
        </w:rPr>
        <w:instrText xml:space="preserve">合并附注</w:instrText>
      </w:r>
      <w:r>
        <w:rPr>
          <w:rFonts w:eastAsiaTheme="minorEastAsia"/>
          <w:color w:val="auto"/>
          <w:highlight w:val="none"/>
        </w:rPr>
        <w:instrText xml:space="preserve">!货币资金1 \f 4 \h \* MERGEFORMAT </w:instrText>
      </w:r>
      <w:r>
        <w:rPr>
          <w:rFonts w:eastAsiaTheme="minorEastAsia"/>
          <w:color w:val="auto"/>
          <w:szCs w:val="24"/>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3498"/>
        <w:gridCol w:w="2345"/>
        <w:gridCol w:w="2345"/>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349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234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c>
          <w:tcPr>
            <w:tcW w:w="234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498"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银行承兑汇票保证金</w:t>
            </w:r>
          </w:p>
        </w:tc>
        <w:tc>
          <w:tcPr>
            <w:tcW w:w="23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23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8,691,882.52</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498"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信用证保证金</w:t>
            </w:r>
          </w:p>
        </w:tc>
        <w:tc>
          <w:tcPr>
            <w:tcW w:w="23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23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123,344,759.30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498"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履约保证金</w:t>
            </w:r>
          </w:p>
        </w:tc>
        <w:tc>
          <w:tcPr>
            <w:tcW w:w="23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48,792,857.54</w:t>
            </w:r>
          </w:p>
        </w:tc>
        <w:tc>
          <w:tcPr>
            <w:tcW w:w="23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29,969,242.37</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498"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司法冻结银行存款</w:t>
            </w:r>
          </w:p>
        </w:tc>
        <w:tc>
          <w:tcPr>
            <w:tcW w:w="23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5,036,036.16</w:t>
            </w:r>
          </w:p>
        </w:tc>
        <w:tc>
          <w:tcPr>
            <w:tcW w:w="23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10,392,201.13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498"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账户使用受限制</w:t>
            </w:r>
          </w:p>
        </w:tc>
        <w:tc>
          <w:tcPr>
            <w:tcW w:w="23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4,202,928.62</w:t>
            </w:r>
          </w:p>
        </w:tc>
        <w:tc>
          <w:tcPr>
            <w:tcW w:w="23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49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23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58,031,822.32</w:t>
            </w:r>
          </w:p>
        </w:tc>
        <w:tc>
          <w:tcPr>
            <w:tcW w:w="23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172,398,085.32</w:t>
            </w:r>
          </w:p>
        </w:tc>
      </w:tr>
    </w:tbl>
    <w:p>
      <w:pPr>
        <w:pStyle w:val="38"/>
        <w:rPr>
          <w:rFonts w:eastAsiaTheme="minorEastAsia"/>
          <w:color w:val="auto"/>
          <w:highlight w:val="none"/>
        </w:rPr>
      </w:pPr>
      <w:r>
        <w:rPr>
          <w:rFonts w:eastAsiaTheme="minorEastAsia"/>
          <w:color w:val="auto"/>
          <w:highlight w:val="none"/>
        </w:rPr>
        <w:fldChar w:fldCharType="end"/>
      </w:r>
    </w:p>
    <w:p>
      <w:pPr>
        <w:pStyle w:val="37"/>
        <w:rPr>
          <w:rFonts w:eastAsiaTheme="minorEastAsia"/>
          <w:color w:val="auto"/>
          <w:highlight w:val="none"/>
        </w:rPr>
      </w:pPr>
      <w:r>
        <w:rPr>
          <w:rFonts w:hint="eastAsia" w:eastAsiaTheme="minorEastAsia"/>
          <w:color w:val="auto"/>
          <w:highlight w:val="none"/>
        </w:rPr>
        <w:t>应收</w:t>
      </w:r>
      <w:r>
        <w:rPr>
          <w:rFonts w:eastAsiaTheme="minorEastAsia"/>
          <w:color w:val="auto"/>
          <w:highlight w:val="none"/>
        </w:rPr>
        <w:t>票据</w:t>
      </w:r>
    </w:p>
    <w:p>
      <w:pPr>
        <w:pStyle w:val="44"/>
        <w:numPr>
          <w:ilvl w:val="0"/>
          <w:numId w:val="0"/>
        </w:numPr>
        <w:ind w:left="1276"/>
        <w:rPr>
          <w:color w:val="auto"/>
          <w:highlight w:val="none"/>
        </w:rPr>
      </w:pPr>
      <w:r>
        <w:rPr>
          <w:color w:val="auto"/>
          <w:highlight w:val="none"/>
        </w:rPr>
        <w:t>应收票据分类</w:t>
      </w:r>
    </w:p>
    <w:p>
      <w:pPr>
        <w:pStyle w:val="35"/>
        <w:rPr>
          <w:rFonts w:asciiTheme="minorHAnsi" w:hAnsiTheme="minorHAnsi" w:eastAsiaTheme="minorEastAsia" w:cstheme="minorBidi"/>
          <w:color w:val="auto"/>
          <w:szCs w:val="22"/>
          <w:highlight w:val="none"/>
        </w:rPr>
      </w:pPr>
      <w:r>
        <w:rPr>
          <w:rFonts w:eastAsiaTheme="minorEastAsia"/>
          <w:color w:val="auto"/>
          <w:highlight w:val="none"/>
        </w:rPr>
        <w:fldChar w:fldCharType="begin"/>
      </w:r>
      <w:r>
        <w:rPr>
          <w:rFonts w:eastAsiaTheme="minorEastAsia"/>
          <w:color w:val="auto"/>
          <w:highlight w:val="none"/>
        </w:rPr>
        <w:instrText xml:space="preserve"> LINK Excel.SheetMacroEnabled.12 "D:\\vsWorkspace\\branches\\20180822\\StandardTemplateTool\\template\\SASAC\\Frame\\201812\\SASACFinancialReports.xlsm" "合并附注!应收票据" \f 4 \h \* MERGEFORMAT </w:instrText>
      </w:r>
      <w:r>
        <w:rPr>
          <w:rFonts w:eastAsiaTheme="minorEastAsia"/>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1018"/>
        <w:gridCol w:w="1442"/>
        <w:gridCol w:w="798"/>
        <w:gridCol w:w="1442"/>
        <w:gridCol w:w="1345"/>
        <w:gridCol w:w="798"/>
        <w:gridCol w:w="1345"/>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018"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种类</w:t>
            </w:r>
          </w:p>
        </w:tc>
        <w:tc>
          <w:tcPr>
            <w:tcW w:w="3682" w:type="dxa"/>
            <w:gridSpan w:val="3"/>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期末数</w:t>
            </w:r>
          </w:p>
        </w:tc>
        <w:tc>
          <w:tcPr>
            <w:tcW w:w="3488" w:type="dxa"/>
            <w:gridSpan w:val="3"/>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期初数</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018"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442"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账面余额</w:t>
            </w:r>
          </w:p>
        </w:tc>
        <w:tc>
          <w:tcPr>
            <w:tcW w:w="79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坏账准备</w:t>
            </w:r>
          </w:p>
        </w:tc>
        <w:tc>
          <w:tcPr>
            <w:tcW w:w="1442"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账面价值</w:t>
            </w:r>
          </w:p>
        </w:tc>
        <w:tc>
          <w:tcPr>
            <w:tcW w:w="134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账面余额</w:t>
            </w:r>
          </w:p>
        </w:tc>
        <w:tc>
          <w:tcPr>
            <w:tcW w:w="79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坏账准备</w:t>
            </w:r>
          </w:p>
        </w:tc>
        <w:tc>
          <w:tcPr>
            <w:tcW w:w="134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账面价值</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018"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银行承兑汇票</w:t>
            </w:r>
          </w:p>
        </w:tc>
        <w:tc>
          <w:tcPr>
            <w:tcW w:w="144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109,893,330.14</w:t>
            </w:r>
          </w:p>
        </w:tc>
        <w:tc>
          <w:tcPr>
            <w:tcW w:w="7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4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109,893,330.14</w:t>
            </w:r>
          </w:p>
        </w:tc>
        <w:tc>
          <w:tcPr>
            <w:tcW w:w="13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21,145,366.38</w:t>
            </w:r>
          </w:p>
        </w:tc>
        <w:tc>
          <w:tcPr>
            <w:tcW w:w="7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21,145,366.38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01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144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109,893,330.14</w:t>
            </w:r>
          </w:p>
        </w:tc>
        <w:tc>
          <w:tcPr>
            <w:tcW w:w="7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4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109,893,330.14</w:t>
            </w:r>
          </w:p>
        </w:tc>
        <w:tc>
          <w:tcPr>
            <w:tcW w:w="13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21,145,366.38</w:t>
            </w:r>
          </w:p>
        </w:tc>
        <w:tc>
          <w:tcPr>
            <w:tcW w:w="7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21,145,366.38</w:t>
            </w:r>
          </w:p>
        </w:tc>
      </w:tr>
    </w:tbl>
    <w:p>
      <w:pPr>
        <w:pStyle w:val="35"/>
        <w:rPr>
          <w:rFonts w:hint="eastAsia"/>
          <w:color w:val="auto"/>
          <w:highlight w:val="none"/>
        </w:rPr>
      </w:pPr>
      <w:r>
        <w:rPr>
          <w:rFonts w:eastAsiaTheme="minorEastAsia"/>
          <w:color w:val="auto"/>
          <w:highlight w:val="none"/>
        </w:rPr>
        <w:fldChar w:fldCharType="end"/>
      </w:r>
    </w:p>
    <w:p>
      <w:pPr>
        <w:pStyle w:val="37"/>
        <w:rPr>
          <w:color w:val="auto"/>
          <w:highlight w:val="none"/>
        </w:rPr>
      </w:pPr>
      <w:r>
        <w:rPr>
          <w:color w:val="auto"/>
          <w:highlight w:val="none"/>
        </w:rPr>
        <w:t>应收账款</w:t>
      </w:r>
    </w:p>
    <w:p>
      <w:pPr>
        <w:pStyle w:val="44"/>
        <w:rPr>
          <w:color w:val="auto"/>
          <w:highlight w:val="none"/>
        </w:rPr>
      </w:pPr>
      <w:r>
        <w:rPr>
          <w:rFonts w:hint="eastAsia"/>
          <w:color w:val="auto"/>
          <w:highlight w:val="none"/>
        </w:rPr>
        <w:t>按账龄</w:t>
      </w:r>
      <w:r>
        <w:rPr>
          <w:color w:val="auto"/>
          <w:highlight w:val="none"/>
        </w:rPr>
        <w:t>披露应收账款</w:t>
      </w:r>
    </w:p>
    <w:p>
      <w:pPr>
        <w:pStyle w:val="38"/>
        <w:rPr>
          <w:rFonts w:asciiTheme="minorHAnsi" w:hAnsiTheme="minorHAnsi" w:eastAsiaTheme="minorEastAsia" w:cstheme="minorBidi"/>
          <w:color w:val="auto"/>
          <w:highlight w:val="none"/>
        </w:rPr>
      </w:pPr>
      <w:r>
        <w:rPr>
          <w:color w:val="auto"/>
          <w:highlight w:val="none"/>
        </w:rPr>
        <w:fldChar w:fldCharType="begin"/>
      </w:r>
      <w:r>
        <w:rPr>
          <w:color w:val="auto"/>
          <w:highlight w:val="none"/>
        </w:rPr>
        <w:instrText xml:space="preserve"> LINK Excel.Sheet.12 "D:\\vsWorkspace\\branches\\20190430\\StandardTemplateTool\\template\\SASAC\\Frame\\202212\\SASACFinancialReports.xlsx" "应收账款!应收账款" \f 4 \h \* MERGEFORMAT </w:instrText>
      </w:r>
      <w:r>
        <w:rPr>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2324"/>
        <w:gridCol w:w="1587"/>
        <w:gridCol w:w="1345"/>
        <w:gridCol w:w="1587"/>
        <w:gridCol w:w="1345"/>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2324"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账龄</w:t>
            </w:r>
          </w:p>
        </w:tc>
        <w:tc>
          <w:tcPr>
            <w:tcW w:w="2932"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期末数</w:t>
            </w:r>
          </w:p>
        </w:tc>
        <w:tc>
          <w:tcPr>
            <w:tcW w:w="2932"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期初数</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2324"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58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账面余额</w:t>
            </w:r>
          </w:p>
        </w:tc>
        <w:tc>
          <w:tcPr>
            <w:tcW w:w="134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坏账准备</w:t>
            </w:r>
          </w:p>
        </w:tc>
        <w:tc>
          <w:tcPr>
            <w:tcW w:w="158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账面余额</w:t>
            </w:r>
          </w:p>
        </w:tc>
        <w:tc>
          <w:tcPr>
            <w:tcW w:w="134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坏账准备</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32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1年以内（含1年）</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2,426,421,641.49</w:t>
            </w:r>
          </w:p>
        </w:tc>
        <w:tc>
          <w:tcPr>
            <w:tcW w:w="13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8,140,152.18</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2,479,201,895.09</w:t>
            </w:r>
          </w:p>
        </w:tc>
        <w:tc>
          <w:tcPr>
            <w:tcW w:w="13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2,206,241.84</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32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1至2年</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1,264,104,671.41</w:t>
            </w:r>
          </w:p>
        </w:tc>
        <w:tc>
          <w:tcPr>
            <w:tcW w:w="13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7,894,938.57</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2,229,601,786.24</w:t>
            </w:r>
          </w:p>
        </w:tc>
        <w:tc>
          <w:tcPr>
            <w:tcW w:w="13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2,181,753.23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32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2至3年</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1,914,819,532.64</w:t>
            </w:r>
          </w:p>
        </w:tc>
        <w:tc>
          <w:tcPr>
            <w:tcW w:w="13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4,233,760.22</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133,338,064.44</w:t>
            </w:r>
          </w:p>
        </w:tc>
        <w:tc>
          <w:tcPr>
            <w:tcW w:w="13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16,351,546.15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32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3年以上</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195,535,352.73</w:t>
            </w:r>
          </w:p>
        </w:tc>
        <w:tc>
          <w:tcPr>
            <w:tcW w:w="13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53,694,707.11</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67,001,250.19</w:t>
            </w:r>
          </w:p>
        </w:tc>
        <w:tc>
          <w:tcPr>
            <w:tcW w:w="13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37,320,841.51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324"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5,800,881,198.27</w:t>
            </w:r>
          </w:p>
        </w:tc>
        <w:tc>
          <w:tcPr>
            <w:tcW w:w="13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73,963,558.08</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4,909,142,995.96</w:t>
            </w:r>
          </w:p>
        </w:tc>
        <w:tc>
          <w:tcPr>
            <w:tcW w:w="13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58,060,382.73</w:t>
            </w:r>
          </w:p>
        </w:tc>
      </w:tr>
    </w:tbl>
    <w:p>
      <w:pPr>
        <w:pStyle w:val="38"/>
        <w:rPr>
          <w:color w:val="auto"/>
          <w:highlight w:val="none"/>
        </w:rPr>
      </w:pPr>
      <w:r>
        <w:rPr>
          <w:color w:val="auto"/>
          <w:highlight w:val="none"/>
        </w:rPr>
        <w:fldChar w:fldCharType="end"/>
      </w:r>
    </w:p>
    <w:p>
      <w:pPr>
        <w:pStyle w:val="38"/>
        <w:rPr>
          <w:rFonts w:eastAsiaTheme="minorEastAsia"/>
          <w:b/>
          <w:bCs/>
          <w:color w:val="auto"/>
          <w:highlight w:val="none"/>
        </w:rPr>
        <w:sectPr>
          <w:pgSz w:w="11907" w:h="16839"/>
          <w:pgMar w:top="1440" w:right="1797" w:bottom="1440" w:left="1797" w:header="794" w:footer="992" w:gutter="0"/>
          <w:cols w:space="425" w:num="1"/>
          <w:docGrid w:linePitch="312" w:charSpace="0"/>
        </w:sectPr>
      </w:pPr>
    </w:p>
    <w:p>
      <w:pPr>
        <w:pStyle w:val="44"/>
        <w:rPr>
          <w:bCs/>
          <w:color w:val="auto"/>
          <w:highlight w:val="none"/>
        </w:rPr>
      </w:pPr>
      <w:r>
        <w:rPr>
          <w:rFonts w:hint="eastAsia"/>
          <w:color w:val="auto"/>
          <w:highlight w:val="none"/>
        </w:rPr>
        <w:t>按坏账准备计提方法分类披露应收账款</w:t>
      </w:r>
    </w:p>
    <w:p>
      <w:pPr>
        <w:pStyle w:val="35"/>
        <w:rPr>
          <w:rFonts w:eastAsiaTheme="minorEastAsia"/>
          <w:color w:val="auto"/>
          <w:szCs w:val="22"/>
          <w:highlight w:val="none"/>
        </w:rPr>
      </w:pPr>
      <w:r>
        <w:rPr>
          <w:rFonts w:eastAsiaTheme="minorEastAsia"/>
          <w:b/>
          <w:bCs/>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!应收账款1 \f 4 \h \* MERGEFORMAT </w:instrText>
      </w:r>
      <w:r>
        <w:rPr>
          <w:rFonts w:eastAsiaTheme="minorEastAsia"/>
          <w:b/>
          <w:bCs/>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1600"/>
        <w:gridCol w:w="1516"/>
        <w:gridCol w:w="746"/>
        <w:gridCol w:w="1288"/>
        <w:gridCol w:w="928"/>
        <w:gridCol w:w="1516"/>
        <w:gridCol w:w="1516"/>
        <w:gridCol w:w="777"/>
        <w:gridCol w:w="1285"/>
        <w:gridCol w:w="920"/>
        <w:gridCol w:w="1516"/>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600"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类别</w:t>
            </w:r>
          </w:p>
        </w:tc>
        <w:tc>
          <w:tcPr>
            <w:tcW w:w="5994" w:type="dxa"/>
            <w:gridSpan w:val="5"/>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期末数</w:t>
            </w:r>
          </w:p>
        </w:tc>
        <w:tc>
          <w:tcPr>
            <w:tcW w:w="6014" w:type="dxa"/>
            <w:gridSpan w:val="5"/>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期初数</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600"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2262"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账面余额</w:t>
            </w:r>
          </w:p>
        </w:tc>
        <w:tc>
          <w:tcPr>
            <w:tcW w:w="2216"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坏账准备</w:t>
            </w:r>
          </w:p>
        </w:tc>
        <w:tc>
          <w:tcPr>
            <w:tcW w:w="1516"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账面价值</w:t>
            </w:r>
          </w:p>
        </w:tc>
        <w:tc>
          <w:tcPr>
            <w:tcW w:w="2293"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账面余额</w:t>
            </w:r>
          </w:p>
        </w:tc>
        <w:tc>
          <w:tcPr>
            <w:tcW w:w="2205"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坏账准备</w:t>
            </w:r>
          </w:p>
        </w:tc>
        <w:tc>
          <w:tcPr>
            <w:tcW w:w="1516"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账面价值</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600"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516"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金额</w:t>
            </w:r>
          </w:p>
        </w:tc>
        <w:tc>
          <w:tcPr>
            <w:tcW w:w="746"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比例（%）</w:t>
            </w:r>
          </w:p>
        </w:tc>
        <w:tc>
          <w:tcPr>
            <w:tcW w:w="128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金额</w:t>
            </w:r>
          </w:p>
        </w:tc>
        <w:tc>
          <w:tcPr>
            <w:tcW w:w="92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预期信用损失率（%）</w:t>
            </w:r>
          </w:p>
        </w:tc>
        <w:tc>
          <w:tcPr>
            <w:tcW w:w="1516"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516"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金额</w:t>
            </w:r>
          </w:p>
        </w:tc>
        <w:tc>
          <w:tcPr>
            <w:tcW w:w="77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比例（%）</w:t>
            </w:r>
          </w:p>
        </w:tc>
        <w:tc>
          <w:tcPr>
            <w:tcW w:w="128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金额</w:t>
            </w:r>
          </w:p>
        </w:tc>
        <w:tc>
          <w:tcPr>
            <w:tcW w:w="920"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预期信用损失率（%）</w:t>
            </w:r>
          </w:p>
        </w:tc>
        <w:tc>
          <w:tcPr>
            <w:tcW w:w="1516"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00"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按单项计提坏账准备的应收账款</w:t>
            </w: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58,687,452.67</w:t>
            </w:r>
          </w:p>
        </w:tc>
        <w:tc>
          <w:tcPr>
            <w:tcW w:w="7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1.01</w:t>
            </w:r>
          </w:p>
        </w:tc>
        <w:tc>
          <w:tcPr>
            <w:tcW w:w="128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58,687,452.67</w:t>
            </w:r>
          </w:p>
        </w:tc>
        <w:tc>
          <w:tcPr>
            <w:tcW w:w="92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100.00</w:t>
            </w: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55,378,265.48</w:t>
            </w:r>
          </w:p>
        </w:tc>
        <w:tc>
          <w:tcPr>
            <w:tcW w:w="77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1.13</w:t>
            </w:r>
          </w:p>
        </w:tc>
        <w:tc>
          <w:tcPr>
            <w:tcW w:w="128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55,378,265.48</w:t>
            </w:r>
          </w:p>
        </w:tc>
        <w:tc>
          <w:tcPr>
            <w:tcW w:w="92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100.00</w:t>
            </w: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00"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按信用风险特征组合计提坏账准备的应收账款</w:t>
            </w: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5,742,193,745.60</w:t>
            </w:r>
          </w:p>
        </w:tc>
        <w:tc>
          <w:tcPr>
            <w:tcW w:w="7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98.99</w:t>
            </w:r>
          </w:p>
        </w:tc>
        <w:tc>
          <w:tcPr>
            <w:tcW w:w="128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15,276,105.41</w:t>
            </w:r>
          </w:p>
        </w:tc>
        <w:tc>
          <w:tcPr>
            <w:tcW w:w="92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0.27</w:t>
            </w: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5,726,917,640.19</w:t>
            </w: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4,853,764,730.48</w:t>
            </w:r>
          </w:p>
        </w:tc>
        <w:tc>
          <w:tcPr>
            <w:tcW w:w="77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98.87</w:t>
            </w:r>
          </w:p>
        </w:tc>
        <w:tc>
          <w:tcPr>
            <w:tcW w:w="128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2,682,117.25</w:t>
            </w:r>
          </w:p>
        </w:tc>
        <w:tc>
          <w:tcPr>
            <w:tcW w:w="92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0.06</w:t>
            </w: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4,851,082,613.23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00"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其中：账龄分析组合</w:t>
            </w: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210,936,607.22</w:t>
            </w:r>
          </w:p>
        </w:tc>
        <w:tc>
          <w:tcPr>
            <w:tcW w:w="7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28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15,276,105.41</w:t>
            </w:r>
          </w:p>
        </w:tc>
        <w:tc>
          <w:tcPr>
            <w:tcW w:w="92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195,660,501.81</w:t>
            </w: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23,263,115.89</w:t>
            </w:r>
          </w:p>
        </w:tc>
        <w:tc>
          <w:tcPr>
            <w:tcW w:w="77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28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2,682,117.25</w:t>
            </w:r>
          </w:p>
        </w:tc>
        <w:tc>
          <w:tcPr>
            <w:tcW w:w="92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20,580,998.64</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00"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低风险组合</w:t>
            </w: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5,531,257,138.38</w:t>
            </w:r>
          </w:p>
        </w:tc>
        <w:tc>
          <w:tcPr>
            <w:tcW w:w="7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28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92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5,531,257,138.38</w:t>
            </w: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4,830,501,614.59</w:t>
            </w:r>
          </w:p>
        </w:tc>
        <w:tc>
          <w:tcPr>
            <w:tcW w:w="77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28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92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4,830,501,614.59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00"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5,800,881,198.27</w:t>
            </w:r>
          </w:p>
        </w:tc>
        <w:tc>
          <w:tcPr>
            <w:tcW w:w="7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100.00</w:t>
            </w:r>
          </w:p>
        </w:tc>
        <w:tc>
          <w:tcPr>
            <w:tcW w:w="128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73,963,558.08</w:t>
            </w:r>
          </w:p>
        </w:tc>
        <w:tc>
          <w:tcPr>
            <w:tcW w:w="92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5,726,917,640.19</w:t>
            </w: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4,909,142,995.96</w:t>
            </w:r>
          </w:p>
        </w:tc>
        <w:tc>
          <w:tcPr>
            <w:tcW w:w="77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100.00</w:t>
            </w:r>
          </w:p>
        </w:tc>
        <w:tc>
          <w:tcPr>
            <w:tcW w:w="128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58,060,382.73</w:t>
            </w:r>
          </w:p>
        </w:tc>
        <w:tc>
          <w:tcPr>
            <w:tcW w:w="920"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4,851,082,613.23</w:t>
            </w:r>
          </w:p>
        </w:tc>
      </w:tr>
    </w:tbl>
    <w:p>
      <w:pPr>
        <w:pStyle w:val="35"/>
        <w:rPr>
          <w:rFonts w:eastAsiaTheme="minorEastAsia"/>
          <w:color w:val="auto"/>
          <w:highlight w:val="none"/>
        </w:rPr>
      </w:pPr>
      <w:r>
        <w:rPr>
          <w:rFonts w:eastAsiaTheme="minorEastAsia"/>
          <w:color w:val="auto"/>
          <w:highlight w:val="none"/>
        </w:rPr>
        <w:fldChar w:fldCharType="end"/>
      </w:r>
    </w:p>
    <w:p>
      <w:pPr>
        <w:pStyle w:val="35"/>
        <w:rPr>
          <w:color w:val="auto"/>
          <w:highlight w:val="none"/>
        </w:rPr>
      </w:pPr>
    </w:p>
    <w:p>
      <w:pPr>
        <w:pStyle w:val="38"/>
        <w:rPr>
          <w:rFonts w:eastAsiaTheme="minorEastAsia"/>
          <w:b/>
          <w:color w:val="auto"/>
          <w:highlight w:val="none"/>
        </w:rPr>
        <w:sectPr>
          <w:pgSz w:w="16839" w:h="11907" w:orient="landscape"/>
          <w:pgMar w:top="1797" w:right="1440" w:bottom="1797" w:left="1440" w:header="794" w:footer="992" w:gutter="0"/>
          <w:cols w:space="425" w:num="1"/>
          <w:docGrid w:linePitch="312" w:charSpace="0"/>
        </w:sectPr>
      </w:pPr>
    </w:p>
    <w:p>
      <w:pPr>
        <w:pStyle w:val="35"/>
        <w:rPr>
          <w:b/>
          <w:bCs/>
          <w:color w:val="auto"/>
          <w:highlight w:val="none"/>
        </w:rPr>
      </w:pPr>
      <w:r>
        <w:rPr>
          <w:rFonts w:hint="eastAsia"/>
          <w:b/>
          <w:bCs/>
          <w:color w:val="auto"/>
          <w:highlight w:val="none"/>
        </w:rPr>
        <w:t>期末单项计提坏账准备的应收账款</w:t>
      </w:r>
    </w:p>
    <w:p>
      <w:pPr>
        <w:pStyle w:val="35"/>
        <w:rPr>
          <w:rFonts w:asciiTheme="minorHAnsi" w:hAnsiTheme="minorHAnsi" w:eastAsiaTheme="minorEastAsia" w:cstheme="minorBidi"/>
          <w:color w:val="auto"/>
          <w:highlight w:val="none"/>
        </w:rPr>
      </w:pPr>
      <w:r>
        <w:rPr>
          <w:color w:val="auto"/>
          <w:highlight w:val="none"/>
        </w:rPr>
        <w:fldChar w:fldCharType="begin"/>
      </w:r>
      <w:r>
        <w:rPr>
          <w:color w:val="auto"/>
          <w:highlight w:val="none"/>
        </w:rPr>
        <w:instrText xml:space="preserve"> LINK Excel.Sheet.12 "D:\\work\\20190430V3\\StandardTemplateTool\\template\\SASAC\\Frame\\202112\\SASACFinancialReports.xlsx" "应收账款!应收账款2" \f 4 \h \* MERGEFORMAT </w:instrText>
      </w:r>
      <w:r>
        <w:rPr>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2889"/>
        <w:gridCol w:w="1372"/>
        <w:gridCol w:w="1221"/>
        <w:gridCol w:w="1372"/>
        <w:gridCol w:w="1334"/>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2889"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债务人名称</w:t>
            </w:r>
          </w:p>
        </w:tc>
        <w:tc>
          <w:tcPr>
            <w:tcW w:w="137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账面余额</w:t>
            </w:r>
          </w:p>
        </w:tc>
        <w:tc>
          <w:tcPr>
            <w:tcW w:w="1221"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坏账准备</w:t>
            </w:r>
          </w:p>
        </w:tc>
        <w:tc>
          <w:tcPr>
            <w:tcW w:w="137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预期信用损失率(%)</w:t>
            </w:r>
          </w:p>
        </w:tc>
        <w:tc>
          <w:tcPr>
            <w:tcW w:w="1334"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计提理由</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889"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贵州粤黔电力有限责任公司</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28,003,490.93</w:t>
            </w:r>
          </w:p>
        </w:tc>
        <w:tc>
          <w:tcPr>
            <w:tcW w:w="122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28,003,490.93</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100.00</w:t>
            </w:r>
          </w:p>
        </w:tc>
        <w:tc>
          <w:tcPr>
            <w:tcW w:w="133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预计无法收回</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889"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贵州电网有限责任公司</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17,435,068.15</w:t>
            </w:r>
          </w:p>
        </w:tc>
        <w:tc>
          <w:tcPr>
            <w:tcW w:w="122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17,435,068.15</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100.00</w:t>
            </w:r>
          </w:p>
        </w:tc>
        <w:tc>
          <w:tcPr>
            <w:tcW w:w="133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预计无法收回</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889"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遵义县南江贸易有限公司</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4,367,945.04</w:t>
            </w:r>
          </w:p>
        </w:tc>
        <w:tc>
          <w:tcPr>
            <w:tcW w:w="122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4,367,945.04</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100.00</w:t>
            </w:r>
          </w:p>
        </w:tc>
        <w:tc>
          <w:tcPr>
            <w:tcW w:w="133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预计无法收回</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889"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三亚世纪豪庭酒店管理有限公司</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3,311,683.20</w:t>
            </w:r>
          </w:p>
        </w:tc>
        <w:tc>
          <w:tcPr>
            <w:tcW w:w="122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3,311,683.20</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100.00</w:t>
            </w:r>
          </w:p>
        </w:tc>
        <w:tc>
          <w:tcPr>
            <w:tcW w:w="133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预计无法收回</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889"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广西贵港市昌龙贸易有限公司</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1,806,000.00</w:t>
            </w:r>
          </w:p>
        </w:tc>
        <w:tc>
          <w:tcPr>
            <w:tcW w:w="122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1,806,000.00</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100.00</w:t>
            </w:r>
          </w:p>
        </w:tc>
        <w:tc>
          <w:tcPr>
            <w:tcW w:w="133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预计无法收回</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889"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其他小额汇总</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3,763,265.35</w:t>
            </w:r>
          </w:p>
        </w:tc>
        <w:tc>
          <w:tcPr>
            <w:tcW w:w="122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3,763,265.35</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100.00</w:t>
            </w:r>
          </w:p>
        </w:tc>
        <w:tc>
          <w:tcPr>
            <w:tcW w:w="133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预计无法收回</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889"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合计</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58,687,452.67</w:t>
            </w:r>
          </w:p>
        </w:tc>
        <w:tc>
          <w:tcPr>
            <w:tcW w:w="122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58,687,452.67</w:t>
            </w:r>
          </w:p>
        </w:tc>
        <w:tc>
          <w:tcPr>
            <w:tcW w:w="137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p>
        </w:tc>
        <w:tc>
          <w:tcPr>
            <w:tcW w:w="1334"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p>
        </w:tc>
      </w:tr>
    </w:tbl>
    <w:p>
      <w:pPr>
        <w:pStyle w:val="35"/>
        <w:rPr>
          <w:color w:val="auto"/>
          <w:highlight w:val="none"/>
        </w:rPr>
      </w:pPr>
      <w:r>
        <w:rPr>
          <w:color w:val="auto"/>
          <w:highlight w:val="none"/>
        </w:rPr>
        <w:fldChar w:fldCharType="end"/>
      </w:r>
    </w:p>
    <w:p>
      <w:pPr>
        <w:pStyle w:val="35"/>
        <w:rPr>
          <w:b/>
          <w:bCs/>
          <w:color w:val="auto"/>
          <w:highlight w:val="none"/>
        </w:rPr>
      </w:pPr>
      <w:r>
        <w:rPr>
          <w:rFonts w:hint="eastAsia"/>
          <w:b/>
          <w:bCs/>
          <w:color w:val="auto"/>
          <w:highlight w:val="none"/>
        </w:rPr>
        <w:t>按信用风险特征组合计提坏账准备的应收账款</w:t>
      </w:r>
    </w:p>
    <w:p>
      <w:pPr>
        <w:pStyle w:val="35"/>
        <w:rPr>
          <w:color w:val="auto"/>
          <w:highlight w:val="none"/>
        </w:rPr>
      </w:pPr>
      <w:r>
        <w:rPr>
          <w:rFonts w:hint="eastAsia"/>
          <w:color w:val="auto"/>
          <w:highlight w:val="none"/>
        </w:rPr>
        <w:t>（1）账龄组合</w:t>
      </w:r>
    </w:p>
    <w:p>
      <w:pPr>
        <w:pStyle w:val="35"/>
        <w:rPr>
          <w:color w:val="auto"/>
          <w:szCs w:val="22"/>
          <w:highlight w:val="none"/>
        </w:rPr>
      </w:pPr>
      <w:r>
        <w:rPr>
          <w:color w:val="auto"/>
          <w:highlight w:val="none"/>
        </w:rPr>
        <w:fldChar w:fldCharType="begin"/>
      </w:r>
      <w:r>
        <w:rPr>
          <w:color w:val="auto"/>
          <w:highlight w:val="none"/>
        </w:rPr>
        <w:instrText xml:space="preserve"> LINK Excel.Sheet.12 E:\\雍\\附注排版\\2014年年报格式\\附注过渡表20150130V0910.xlsx</w:instrText>
      </w:r>
      <w:r>
        <w:rPr>
          <w:rFonts w:hint="eastAsia"/>
          <w:color w:val="auto"/>
          <w:highlight w:val="none"/>
        </w:rPr>
        <w:instrText xml:space="preserve"> 合并附注</w:instrText>
      </w:r>
      <w:r>
        <w:rPr>
          <w:color w:val="auto"/>
          <w:highlight w:val="none"/>
        </w:rPr>
        <w:instrText xml:space="preserve">!应收账款4 \f 4 \h \* MERGEFORMAT </w:instrText>
      </w:r>
      <w:r>
        <w:rPr>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1045"/>
        <w:gridCol w:w="1245"/>
        <w:gridCol w:w="1231"/>
        <w:gridCol w:w="1223"/>
        <w:gridCol w:w="1229"/>
        <w:gridCol w:w="1078"/>
        <w:gridCol w:w="1137"/>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045"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账龄</w:t>
            </w:r>
          </w:p>
        </w:tc>
        <w:tc>
          <w:tcPr>
            <w:tcW w:w="3699" w:type="dxa"/>
            <w:gridSpan w:val="3"/>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期末数</w:t>
            </w:r>
          </w:p>
        </w:tc>
        <w:tc>
          <w:tcPr>
            <w:tcW w:w="3444" w:type="dxa"/>
            <w:gridSpan w:val="3"/>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期初数</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045"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2476"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账面余额</w:t>
            </w:r>
          </w:p>
        </w:tc>
        <w:tc>
          <w:tcPr>
            <w:tcW w:w="1223"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坏账准备</w:t>
            </w:r>
          </w:p>
        </w:tc>
        <w:tc>
          <w:tcPr>
            <w:tcW w:w="2307"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账面余额</w:t>
            </w:r>
          </w:p>
        </w:tc>
        <w:tc>
          <w:tcPr>
            <w:tcW w:w="1137"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坏账准备</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045"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245"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金额</w:t>
            </w:r>
          </w:p>
        </w:tc>
        <w:tc>
          <w:tcPr>
            <w:tcW w:w="1231"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比例（%）</w:t>
            </w:r>
          </w:p>
        </w:tc>
        <w:tc>
          <w:tcPr>
            <w:tcW w:w="1223"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229"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金额</w:t>
            </w:r>
          </w:p>
        </w:tc>
        <w:tc>
          <w:tcPr>
            <w:tcW w:w="1078"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比例（%）</w:t>
            </w:r>
          </w:p>
        </w:tc>
        <w:tc>
          <w:tcPr>
            <w:tcW w:w="1137"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045"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1年以内（含1年）</w:t>
            </w:r>
          </w:p>
        </w:tc>
        <w:tc>
          <w:tcPr>
            <w:tcW w:w="1245"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197,220,008.02</w:t>
            </w:r>
          </w:p>
        </w:tc>
        <w:tc>
          <w:tcPr>
            <w:tcW w:w="123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93.50</w:t>
            </w:r>
          </w:p>
        </w:tc>
        <w:tc>
          <w:tcPr>
            <w:tcW w:w="122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3,147,406.62</w:t>
            </w:r>
          </w:p>
        </w:tc>
        <w:tc>
          <w:tcPr>
            <w:tcW w:w="122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2,289,372.07</w:t>
            </w:r>
          </w:p>
        </w:tc>
        <w:tc>
          <w:tcPr>
            <w:tcW w:w="107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9.84</w:t>
            </w:r>
          </w:p>
        </w:tc>
        <w:tc>
          <w:tcPr>
            <w:tcW w:w="113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500,364.02</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045"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1至2年</w:t>
            </w:r>
          </w:p>
        </w:tc>
        <w:tc>
          <w:tcPr>
            <w:tcW w:w="1245"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12,263,115.89</w:t>
            </w:r>
          </w:p>
        </w:tc>
        <w:tc>
          <w:tcPr>
            <w:tcW w:w="123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5.81</w:t>
            </w:r>
          </w:p>
        </w:tc>
        <w:tc>
          <w:tcPr>
            <w:tcW w:w="122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7,894,938.57</w:t>
            </w:r>
          </w:p>
        </w:tc>
        <w:tc>
          <w:tcPr>
            <w:tcW w:w="122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20,973,743.82</w:t>
            </w:r>
          </w:p>
        </w:tc>
        <w:tc>
          <w:tcPr>
            <w:tcW w:w="107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90.16</w:t>
            </w:r>
          </w:p>
        </w:tc>
        <w:tc>
          <w:tcPr>
            <w:tcW w:w="113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2,181,753.23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045"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2至3年</w:t>
            </w:r>
          </w:p>
        </w:tc>
        <w:tc>
          <w:tcPr>
            <w:tcW w:w="1245"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1,453,483.31</w:t>
            </w:r>
          </w:p>
        </w:tc>
        <w:tc>
          <w:tcPr>
            <w:tcW w:w="123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0.68</w:t>
            </w:r>
          </w:p>
        </w:tc>
        <w:tc>
          <w:tcPr>
            <w:tcW w:w="122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4,233,760.22</w:t>
            </w:r>
          </w:p>
        </w:tc>
        <w:tc>
          <w:tcPr>
            <w:tcW w:w="122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7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13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045"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3年以上</w:t>
            </w:r>
          </w:p>
        </w:tc>
        <w:tc>
          <w:tcPr>
            <w:tcW w:w="1245"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3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2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2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7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13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045"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合计</w:t>
            </w:r>
          </w:p>
        </w:tc>
        <w:tc>
          <w:tcPr>
            <w:tcW w:w="1245"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210,936,607.22</w:t>
            </w:r>
          </w:p>
        </w:tc>
        <w:tc>
          <w:tcPr>
            <w:tcW w:w="123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99.99</w:t>
            </w:r>
          </w:p>
        </w:tc>
        <w:tc>
          <w:tcPr>
            <w:tcW w:w="122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15,276,105.41</w:t>
            </w:r>
          </w:p>
        </w:tc>
        <w:tc>
          <w:tcPr>
            <w:tcW w:w="122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23,263,115.89</w:t>
            </w:r>
          </w:p>
        </w:tc>
        <w:tc>
          <w:tcPr>
            <w:tcW w:w="107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100.00</w:t>
            </w:r>
          </w:p>
        </w:tc>
        <w:tc>
          <w:tcPr>
            <w:tcW w:w="113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2,682,117.25</w:t>
            </w:r>
          </w:p>
        </w:tc>
      </w:tr>
    </w:tbl>
    <w:p>
      <w:pPr>
        <w:pStyle w:val="35"/>
        <w:rPr>
          <w:rFonts w:eastAsiaTheme="minorEastAsia"/>
          <w:color w:val="auto"/>
          <w:highlight w:val="none"/>
        </w:rPr>
      </w:pPr>
      <w:r>
        <w:rPr>
          <w:rFonts w:eastAsiaTheme="minorEastAsia"/>
          <w:color w:val="auto"/>
          <w:highlight w:val="none"/>
        </w:rPr>
        <w:fldChar w:fldCharType="end"/>
      </w:r>
    </w:p>
    <w:p>
      <w:pPr>
        <w:pStyle w:val="35"/>
        <w:rPr>
          <w:color w:val="auto"/>
          <w:highlight w:val="none"/>
        </w:rPr>
      </w:pPr>
      <w:r>
        <w:rPr>
          <w:rFonts w:hint="eastAsia"/>
          <w:color w:val="auto"/>
          <w:highlight w:val="none"/>
        </w:rPr>
        <w:t>（2）采用余额百分比或其他组合方法计提坏账准备的应收账款</w:t>
      </w:r>
    </w:p>
    <w:p>
      <w:pPr>
        <w:pStyle w:val="35"/>
        <w:rPr>
          <w:color w:val="auto"/>
          <w:szCs w:val="22"/>
          <w:highlight w:val="none"/>
        </w:rPr>
      </w:pPr>
      <w:r>
        <w:rPr>
          <w:color w:val="auto"/>
          <w:highlight w:val="none"/>
        </w:rPr>
        <w:fldChar w:fldCharType="begin"/>
      </w:r>
      <w:r>
        <w:rPr>
          <w:color w:val="auto"/>
          <w:highlight w:val="none"/>
        </w:rPr>
        <w:instrText xml:space="preserve"> LINK Excel.Sheet.12 E:\\雍\\附注排版\\2014年年报格式\\附注过渡表20150130V0910.xlsx</w:instrText>
      </w:r>
      <w:r>
        <w:rPr>
          <w:rFonts w:hint="eastAsia"/>
          <w:color w:val="auto"/>
          <w:highlight w:val="none"/>
        </w:rPr>
        <w:instrText xml:space="preserve"> 合并附注</w:instrText>
      </w:r>
      <w:r>
        <w:rPr>
          <w:color w:val="auto"/>
          <w:highlight w:val="none"/>
        </w:rPr>
        <w:instrText xml:space="preserve">!应收账款5 \f 4 \h \* MERGEFORMAT </w:instrText>
      </w:r>
      <w:r>
        <w:rPr>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1569"/>
        <w:gridCol w:w="1598"/>
        <w:gridCol w:w="1047"/>
        <w:gridCol w:w="693"/>
        <w:gridCol w:w="1598"/>
        <w:gridCol w:w="1039"/>
        <w:gridCol w:w="644"/>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569"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组合名称</w:t>
            </w:r>
          </w:p>
        </w:tc>
        <w:tc>
          <w:tcPr>
            <w:tcW w:w="3338" w:type="dxa"/>
            <w:gridSpan w:val="3"/>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期末数</w:t>
            </w:r>
          </w:p>
        </w:tc>
        <w:tc>
          <w:tcPr>
            <w:tcW w:w="3281" w:type="dxa"/>
            <w:gridSpan w:val="3"/>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期初数</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569"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59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账面余额</w:t>
            </w:r>
          </w:p>
        </w:tc>
        <w:tc>
          <w:tcPr>
            <w:tcW w:w="104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计提比例（%）</w:t>
            </w:r>
          </w:p>
        </w:tc>
        <w:tc>
          <w:tcPr>
            <w:tcW w:w="693"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坏账准备</w:t>
            </w:r>
          </w:p>
        </w:tc>
        <w:tc>
          <w:tcPr>
            <w:tcW w:w="159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账面余额</w:t>
            </w:r>
          </w:p>
        </w:tc>
        <w:tc>
          <w:tcPr>
            <w:tcW w:w="1039"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计提比例（%）</w:t>
            </w:r>
          </w:p>
        </w:tc>
        <w:tc>
          <w:tcPr>
            <w:tcW w:w="644"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坏账准备</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569"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低风险组合—电费及热力费</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5,531,257,138.38</w:t>
            </w:r>
          </w:p>
        </w:tc>
        <w:tc>
          <w:tcPr>
            <w:tcW w:w="104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69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4,830,501,614.59</w:t>
            </w:r>
          </w:p>
        </w:tc>
        <w:tc>
          <w:tcPr>
            <w:tcW w:w="103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64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569"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5,531,257,138.38</w:t>
            </w:r>
          </w:p>
        </w:tc>
        <w:tc>
          <w:tcPr>
            <w:tcW w:w="104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c>
          <w:tcPr>
            <w:tcW w:w="69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4,830,501,614.59</w:t>
            </w:r>
          </w:p>
        </w:tc>
        <w:tc>
          <w:tcPr>
            <w:tcW w:w="1039"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c>
          <w:tcPr>
            <w:tcW w:w="64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bl>
    <w:p>
      <w:pPr>
        <w:pStyle w:val="35"/>
        <w:rPr>
          <w:rFonts w:eastAsiaTheme="minorEastAsia"/>
          <w:color w:val="auto"/>
          <w:highlight w:val="none"/>
        </w:rPr>
      </w:pPr>
      <w:r>
        <w:rPr>
          <w:rFonts w:eastAsiaTheme="minorEastAsia"/>
          <w:color w:val="auto"/>
          <w:highlight w:val="none"/>
        </w:rPr>
        <w:fldChar w:fldCharType="end"/>
      </w:r>
      <w:r>
        <w:rPr>
          <w:rFonts w:eastAsiaTheme="minorEastAsia"/>
          <w:color w:val="auto"/>
          <w:highlight w:val="none"/>
        </w:rPr>
        <w:br w:type="page"/>
      </w:r>
    </w:p>
    <w:p>
      <w:pPr>
        <w:pStyle w:val="44"/>
        <w:rPr>
          <w:color w:val="auto"/>
          <w:highlight w:val="none"/>
        </w:rPr>
      </w:pPr>
      <w:r>
        <w:rPr>
          <w:rFonts w:hint="eastAsia"/>
          <w:color w:val="auto"/>
          <w:highlight w:val="none"/>
        </w:rPr>
        <w:t>收回或转回的坏账准备情况</w:t>
      </w:r>
    </w:p>
    <w:p>
      <w:pPr>
        <w:pStyle w:val="35"/>
        <w:rPr>
          <w:rFonts w:eastAsiaTheme="minorEastAsia"/>
          <w:color w:val="auto"/>
          <w:highlight w:val="none"/>
        </w:rPr>
      </w:pPr>
      <w:r>
        <w:rPr>
          <w:rFonts w:eastAsiaTheme="minorEastAsia"/>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!应收账款6 \f 4 \h \* MERGEFORMAT </w:instrText>
      </w:r>
      <w:r>
        <w:rPr>
          <w:rFonts w:eastAsiaTheme="minorEastAsia"/>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2297"/>
        <w:gridCol w:w="1075"/>
        <w:gridCol w:w="2148"/>
        <w:gridCol w:w="2668"/>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229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债务人名称</w:t>
            </w:r>
          </w:p>
        </w:tc>
        <w:tc>
          <w:tcPr>
            <w:tcW w:w="107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转回或收回金额</w:t>
            </w:r>
          </w:p>
        </w:tc>
        <w:tc>
          <w:tcPr>
            <w:tcW w:w="214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转回或收回前累计已计提坏账准备金额</w:t>
            </w:r>
          </w:p>
        </w:tc>
        <w:tc>
          <w:tcPr>
            <w:tcW w:w="266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转回或收回原因、方式</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29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九江萍钢钢铁有限公司</w:t>
            </w:r>
          </w:p>
        </w:tc>
        <w:tc>
          <w:tcPr>
            <w:tcW w:w="107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2,496.01</w:t>
            </w:r>
          </w:p>
        </w:tc>
        <w:tc>
          <w:tcPr>
            <w:tcW w:w="2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2,496.01</w:t>
            </w:r>
          </w:p>
        </w:tc>
        <w:tc>
          <w:tcPr>
            <w:tcW w:w="2668"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恢复业务往来，收取票据</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29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107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2,496.01</w:t>
            </w:r>
          </w:p>
        </w:tc>
        <w:tc>
          <w:tcPr>
            <w:tcW w:w="2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2,496.01</w:t>
            </w:r>
          </w:p>
        </w:tc>
        <w:tc>
          <w:tcPr>
            <w:tcW w:w="2668"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p>
        </w:tc>
      </w:tr>
    </w:tbl>
    <w:p>
      <w:pPr>
        <w:pStyle w:val="35"/>
        <w:rPr>
          <w:rFonts w:eastAsiaTheme="minorEastAsia"/>
          <w:color w:val="auto"/>
          <w:highlight w:val="none"/>
        </w:rPr>
      </w:pPr>
      <w:r>
        <w:rPr>
          <w:rFonts w:eastAsiaTheme="minorEastAsia"/>
          <w:color w:val="auto"/>
          <w:highlight w:val="none"/>
        </w:rPr>
        <w:fldChar w:fldCharType="end"/>
      </w:r>
    </w:p>
    <w:p>
      <w:pPr>
        <w:pStyle w:val="44"/>
        <w:rPr>
          <w:color w:val="auto"/>
          <w:highlight w:val="none"/>
        </w:rPr>
      </w:pPr>
      <w:r>
        <w:rPr>
          <w:color w:val="auto"/>
          <w:highlight w:val="none"/>
        </w:rPr>
        <w:t>按欠款方归集的期末余额前五名的应收账款情况</w:t>
      </w:r>
    </w:p>
    <w:p>
      <w:pPr>
        <w:pStyle w:val="35"/>
        <w:rPr>
          <w:rFonts w:eastAsiaTheme="minorEastAsia"/>
          <w:color w:val="auto"/>
          <w:highlight w:val="none"/>
        </w:rPr>
      </w:pPr>
      <w:r>
        <w:rPr>
          <w:rFonts w:eastAsiaTheme="minorEastAsia"/>
          <w:color w:val="auto"/>
          <w:szCs w:val="24"/>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!应收账款8 \f 4 \h \* MERGEFORMAT </w:instrText>
      </w:r>
      <w:r>
        <w:rPr>
          <w:rFonts w:eastAsiaTheme="minorEastAsia"/>
          <w:color w:val="auto"/>
          <w:szCs w:val="24"/>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2449"/>
        <w:gridCol w:w="1842"/>
        <w:gridCol w:w="1688"/>
        <w:gridCol w:w="2209"/>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2449"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债务人名称</w:t>
            </w:r>
          </w:p>
        </w:tc>
        <w:tc>
          <w:tcPr>
            <w:tcW w:w="1842"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账面余额</w:t>
            </w:r>
          </w:p>
        </w:tc>
        <w:tc>
          <w:tcPr>
            <w:tcW w:w="168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占应收账款合计的比例（%）</w:t>
            </w:r>
          </w:p>
        </w:tc>
        <w:tc>
          <w:tcPr>
            <w:tcW w:w="2209"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坏账准备</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49"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贵州电网有限责任公司</w:t>
            </w:r>
          </w:p>
        </w:tc>
        <w:tc>
          <w:tcPr>
            <w:tcW w:w="184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3,039,692,726.19</w:t>
            </w:r>
          </w:p>
        </w:tc>
        <w:tc>
          <w:tcPr>
            <w:tcW w:w="168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52.40</w:t>
            </w:r>
          </w:p>
        </w:tc>
        <w:tc>
          <w:tcPr>
            <w:tcW w:w="220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17,435,068.15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49"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广西电网有限责任公司</w:t>
            </w:r>
          </w:p>
        </w:tc>
        <w:tc>
          <w:tcPr>
            <w:tcW w:w="184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535,997,313.97</w:t>
            </w:r>
          </w:p>
        </w:tc>
        <w:tc>
          <w:tcPr>
            <w:tcW w:w="168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9.24</w:t>
            </w:r>
          </w:p>
        </w:tc>
        <w:tc>
          <w:tcPr>
            <w:tcW w:w="220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49"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云南电网有限责任公司</w:t>
            </w:r>
          </w:p>
        </w:tc>
        <w:tc>
          <w:tcPr>
            <w:tcW w:w="184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334,097,138.78</w:t>
            </w:r>
          </w:p>
        </w:tc>
        <w:tc>
          <w:tcPr>
            <w:tcW w:w="168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5.76</w:t>
            </w:r>
          </w:p>
        </w:tc>
        <w:tc>
          <w:tcPr>
            <w:tcW w:w="220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49"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国家储备局</w:t>
            </w:r>
          </w:p>
        </w:tc>
        <w:tc>
          <w:tcPr>
            <w:tcW w:w="184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321,029,762.60</w:t>
            </w:r>
          </w:p>
        </w:tc>
        <w:tc>
          <w:tcPr>
            <w:tcW w:w="168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5.53</w:t>
            </w:r>
          </w:p>
        </w:tc>
        <w:tc>
          <w:tcPr>
            <w:tcW w:w="220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49"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国网陕西省电力公司</w:t>
            </w:r>
          </w:p>
        </w:tc>
        <w:tc>
          <w:tcPr>
            <w:tcW w:w="184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222,422,484.84</w:t>
            </w:r>
          </w:p>
        </w:tc>
        <w:tc>
          <w:tcPr>
            <w:tcW w:w="168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3.83</w:t>
            </w:r>
          </w:p>
        </w:tc>
        <w:tc>
          <w:tcPr>
            <w:tcW w:w="220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49"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184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4,453,239,426.38</w:t>
            </w:r>
          </w:p>
        </w:tc>
        <w:tc>
          <w:tcPr>
            <w:tcW w:w="168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76.76</w:t>
            </w:r>
          </w:p>
        </w:tc>
        <w:tc>
          <w:tcPr>
            <w:tcW w:w="220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17,435,068.15</w:t>
            </w:r>
          </w:p>
        </w:tc>
      </w:tr>
    </w:tbl>
    <w:p>
      <w:pPr>
        <w:pStyle w:val="35"/>
        <w:ind w:left="0"/>
        <w:rPr>
          <w:rFonts w:eastAsiaTheme="minorEastAsia"/>
          <w:color w:val="auto"/>
          <w:highlight w:val="none"/>
          <w:shd w:val="pct10" w:color="auto" w:fill="FFFFFF"/>
        </w:rPr>
      </w:pPr>
      <w:r>
        <w:rPr>
          <w:rFonts w:eastAsiaTheme="minorEastAsia"/>
          <w:color w:val="auto"/>
          <w:highlight w:val="none"/>
        </w:rPr>
        <w:fldChar w:fldCharType="end"/>
      </w:r>
    </w:p>
    <w:p>
      <w:pPr>
        <w:pStyle w:val="35"/>
        <w:rPr>
          <w:rFonts w:eastAsiaTheme="minorEastAsia"/>
          <w:color w:val="auto"/>
          <w:highlight w:val="none"/>
        </w:rPr>
      </w:pPr>
    </w:p>
    <w:p>
      <w:pPr>
        <w:pStyle w:val="44"/>
        <w:rPr>
          <w:rFonts w:eastAsiaTheme="minorEastAsia"/>
          <w:color w:val="auto"/>
          <w:highlight w:val="none"/>
        </w:rPr>
        <w:sectPr>
          <w:pgSz w:w="11907" w:h="16839"/>
          <w:pgMar w:top="1440" w:right="1797" w:bottom="1440" w:left="1797" w:header="794" w:footer="992" w:gutter="0"/>
          <w:cols w:space="425" w:num="1"/>
          <w:docGrid w:linePitch="312" w:charSpace="0"/>
        </w:sectPr>
      </w:pPr>
    </w:p>
    <w:p>
      <w:pPr>
        <w:pStyle w:val="37"/>
        <w:rPr>
          <w:rFonts w:eastAsiaTheme="minorEastAsia"/>
          <w:color w:val="auto"/>
          <w:highlight w:val="none"/>
        </w:rPr>
      </w:pPr>
      <w:r>
        <w:rPr>
          <w:rFonts w:eastAsiaTheme="minorEastAsia"/>
          <w:color w:val="auto"/>
          <w:highlight w:val="none"/>
        </w:rPr>
        <w:t>预付款项</w:t>
      </w:r>
    </w:p>
    <w:p>
      <w:pPr>
        <w:pStyle w:val="44"/>
        <w:rPr>
          <w:rFonts w:eastAsiaTheme="minorEastAsia"/>
          <w:color w:val="auto"/>
          <w:highlight w:val="none"/>
        </w:rPr>
      </w:pPr>
      <w:r>
        <w:rPr>
          <w:rFonts w:eastAsiaTheme="minorEastAsia"/>
          <w:color w:val="auto"/>
          <w:highlight w:val="none"/>
        </w:rPr>
        <w:t>预付款项按账龄列示</w:t>
      </w:r>
    </w:p>
    <w:p>
      <w:pPr>
        <w:pStyle w:val="35"/>
        <w:rPr>
          <w:rFonts w:eastAsiaTheme="minorEastAsia"/>
          <w:color w:val="auto"/>
          <w:szCs w:val="22"/>
          <w:highlight w:val="none"/>
        </w:rPr>
      </w:pPr>
      <w:r>
        <w:rPr>
          <w:rFonts w:eastAsiaTheme="minorEastAsia"/>
          <w:b/>
          <w:bCs/>
          <w:color w:val="auto"/>
          <w:highlight w:val="none"/>
          <w:lang w:val="en-AU"/>
        </w:rPr>
        <w:fldChar w:fldCharType="begin"/>
      </w:r>
      <w:r>
        <w:rPr>
          <w:rFonts w:eastAsiaTheme="minorEastAsia"/>
          <w:color w:val="auto"/>
          <w:highlight w:val="none"/>
          <w:lang w:val="en-AU"/>
        </w:rPr>
        <w:instrText xml:space="preserve"> LINK Excel.Sheet.12 E:\\雍\\附注排版\\2014年年报格式\\附注过渡表20150130V0910.xlsx</w:instrText>
      </w:r>
      <w:r>
        <w:rPr>
          <w:rFonts w:hint="eastAsia" w:eastAsiaTheme="minorEastAsia"/>
          <w:color w:val="auto"/>
          <w:highlight w:val="none"/>
          <w:lang w:val="en-AU"/>
        </w:rPr>
        <w:instrText xml:space="preserve"> </w:instrText>
      </w:r>
      <w:r>
        <w:rPr>
          <w:rFonts w:hint="eastAsia" w:eastAsiaTheme="minorEastAsia"/>
          <w:color w:val="auto"/>
          <w:highlight w:val="none"/>
        </w:rPr>
        <w:instrText xml:space="preserve">合并附注</w:instrText>
      </w:r>
      <w:r>
        <w:rPr>
          <w:rFonts w:eastAsiaTheme="minorEastAsia"/>
          <w:color w:val="auto"/>
          <w:highlight w:val="none"/>
          <w:lang w:val="en-AU"/>
        </w:rPr>
        <w:instrText xml:space="preserve">!预付款项 \f 4 \h \* MERGEFORMAT </w:instrText>
      </w:r>
      <w:r>
        <w:rPr>
          <w:rFonts w:eastAsiaTheme="minorEastAsia"/>
          <w:b/>
          <w:bCs/>
          <w:color w:val="auto"/>
          <w:highlight w:val="none"/>
          <w:lang w:val="en-AU"/>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1999"/>
        <w:gridCol w:w="2395"/>
        <w:gridCol w:w="1518"/>
        <w:gridCol w:w="1891"/>
        <w:gridCol w:w="2308"/>
        <w:gridCol w:w="1421"/>
        <w:gridCol w:w="2076"/>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999"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账龄</w:t>
            </w:r>
          </w:p>
        </w:tc>
        <w:tc>
          <w:tcPr>
            <w:tcW w:w="5804" w:type="dxa"/>
            <w:gridSpan w:val="3"/>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期末数</w:t>
            </w:r>
          </w:p>
        </w:tc>
        <w:tc>
          <w:tcPr>
            <w:tcW w:w="5805" w:type="dxa"/>
            <w:gridSpan w:val="3"/>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期初数</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999"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3913"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账面余额</w:t>
            </w:r>
          </w:p>
        </w:tc>
        <w:tc>
          <w:tcPr>
            <w:tcW w:w="1891"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坏账准备</w:t>
            </w:r>
          </w:p>
        </w:tc>
        <w:tc>
          <w:tcPr>
            <w:tcW w:w="3729"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账面余额</w:t>
            </w:r>
          </w:p>
        </w:tc>
        <w:tc>
          <w:tcPr>
            <w:tcW w:w="2076"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坏账准备</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999"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239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金额</w:t>
            </w:r>
          </w:p>
        </w:tc>
        <w:tc>
          <w:tcPr>
            <w:tcW w:w="151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比例（%）</w:t>
            </w:r>
          </w:p>
        </w:tc>
        <w:tc>
          <w:tcPr>
            <w:tcW w:w="1891"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230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金额</w:t>
            </w:r>
          </w:p>
        </w:tc>
        <w:tc>
          <w:tcPr>
            <w:tcW w:w="142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比例（%）</w:t>
            </w:r>
          </w:p>
        </w:tc>
        <w:tc>
          <w:tcPr>
            <w:tcW w:w="2076"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99"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1年以内（含1年）</w:t>
            </w:r>
          </w:p>
        </w:tc>
        <w:tc>
          <w:tcPr>
            <w:tcW w:w="239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457,119,353.37</w:t>
            </w:r>
          </w:p>
        </w:tc>
        <w:tc>
          <w:tcPr>
            <w:tcW w:w="151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90.15</w:t>
            </w:r>
          </w:p>
        </w:tc>
        <w:tc>
          <w:tcPr>
            <w:tcW w:w="18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230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431,620,411.66</w:t>
            </w:r>
          </w:p>
        </w:tc>
        <w:tc>
          <w:tcPr>
            <w:tcW w:w="142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82.76</w:t>
            </w:r>
          </w:p>
        </w:tc>
        <w:tc>
          <w:tcPr>
            <w:tcW w:w="20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99"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1至2年</w:t>
            </w:r>
          </w:p>
        </w:tc>
        <w:tc>
          <w:tcPr>
            <w:tcW w:w="239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1,596,295.06</w:t>
            </w:r>
          </w:p>
        </w:tc>
        <w:tc>
          <w:tcPr>
            <w:tcW w:w="151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0.31</w:t>
            </w:r>
          </w:p>
        </w:tc>
        <w:tc>
          <w:tcPr>
            <w:tcW w:w="18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230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9,974,973.73</w:t>
            </w:r>
          </w:p>
        </w:tc>
        <w:tc>
          <w:tcPr>
            <w:tcW w:w="142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1.91</w:t>
            </w:r>
          </w:p>
        </w:tc>
        <w:tc>
          <w:tcPr>
            <w:tcW w:w="20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99"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2至3年</w:t>
            </w:r>
          </w:p>
        </w:tc>
        <w:tc>
          <w:tcPr>
            <w:tcW w:w="239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3,251,794.08</w:t>
            </w:r>
          </w:p>
        </w:tc>
        <w:tc>
          <w:tcPr>
            <w:tcW w:w="151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0.64</w:t>
            </w:r>
          </w:p>
        </w:tc>
        <w:tc>
          <w:tcPr>
            <w:tcW w:w="18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7,988,357.58</w:t>
            </w:r>
          </w:p>
        </w:tc>
        <w:tc>
          <w:tcPr>
            <w:tcW w:w="230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6,739,147.03</w:t>
            </w:r>
          </w:p>
        </w:tc>
        <w:tc>
          <w:tcPr>
            <w:tcW w:w="142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1.29</w:t>
            </w:r>
          </w:p>
        </w:tc>
        <w:tc>
          <w:tcPr>
            <w:tcW w:w="20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6,368,990.76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99"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3年以上</w:t>
            </w:r>
          </w:p>
        </w:tc>
        <w:tc>
          <w:tcPr>
            <w:tcW w:w="239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45,122,506.61</w:t>
            </w:r>
          </w:p>
        </w:tc>
        <w:tc>
          <w:tcPr>
            <w:tcW w:w="151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8.90</w:t>
            </w:r>
          </w:p>
        </w:tc>
        <w:tc>
          <w:tcPr>
            <w:tcW w:w="18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52,834,012.08</w:t>
            </w:r>
          </w:p>
        </w:tc>
        <w:tc>
          <w:tcPr>
            <w:tcW w:w="230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73,201,308.71</w:t>
            </w:r>
          </w:p>
        </w:tc>
        <w:tc>
          <w:tcPr>
            <w:tcW w:w="142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14.04</w:t>
            </w:r>
          </w:p>
        </w:tc>
        <w:tc>
          <w:tcPr>
            <w:tcW w:w="20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69,861,536.88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99"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239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507,089,949.12</w:t>
            </w:r>
          </w:p>
        </w:tc>
        <w:tc>
          <w:tcPr>
            <w:tcW w:w="151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100.00</w:t>
            </w:r>
          </w:p>
        </w:tc>
        <w:tc>
          <w:tcPr>
            <w:tcW w:w="18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60,822,369.66</w:t>
            </w:r>
          </w:p>
        </w:tc>
        <w:tc>
          <w:tcPr>
            <w:tcW w:w="230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521,535,841.13</w:t>
            </w:r>
          </w:p>
        </w:tc>
        <w:tc>
          <w:tcPr>
            <w:tcW w:w="142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100.00</w:t>
            </w:r>
          </w:p>
        </w:tc>
        <w:tc>
          <w:tcPr>
            <w:tcW w:w="20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76,230,527.64</w:t>
            </w:r>
          </w:p>
        </w:tc>
      </w:tr>
    </w:tbl>
    <w:p>
      <w:pPr>
        <w:pStyle w:val="35"/>
        <w:rPr>
          <w:rFonts w:eastAsiaTheme="minorEastAsia"/>
          <w:color w:val="auto"/>
          <w:highlight w:val="none"/>
        </w:rPr>
      </w:pPr>
      <w:r>
        <w:rPr>
          <w:rFonts w:eastAsiaTheme="minorEastAsia"/>
          <w:color w:val="auto"/>
          <w:highlight w:val="none"/>
          <w:lang w:val="en-AU"/>
        </w:rPr>
        <w:fldChar w:fldCharType="end"/>
      </w:r>
    </w:p>
    <w:p>
      <w:pPr>
        <w:pStyle w:val="44"/>
        <w:rPr>
          <w:color w:val="auto"/>
          <w:kern w:val="0"/>
          <w:highlight w:val="none"/>
        </w:rPr>
        <w:sectPr>
          <w:pgSz w:w="16839" w:h="11907" w:orient="landscape"/>
          <w:pgMar w:top="1797" w:right="1440" w:bottom="1797" w:left="1440" w:header="794" w:footer="992" w:gutter="0"/>
          <w:cols w:space="425" w:num="1"/>
          <w:docGrid w:linePitch="312" w:charSpace="0"/>
        </w:sectPr>
      </w:pPr>
    </w:p>
    <w:p>
      <w:pPr>
        <w:pStyle w:val="44"/>
        <w:rPr>
          <w:rFonts w:eastAsiaTheme="minorEastAsia"/>
          <w:color w:val="auto"/>
          <w:highlight w:val="none"/>
        </w:rPr>
      </w:pPr>
      <w:r>
        <w:rPr>
          <w:color w:val="auto"/>
          <w:kern w:val="0"/>
          <w:highlight w:val="none"/>
        </w:rPr>
        <w:t>账龄超过一年的大额预付款项情况</w:t>
      </w:r>
    </w:p>
    <w:p>
      <w:pPr>
        <w:pStyle w:val="35"/>
        <w:rPr>
          <w:rFonts w:eastAsiaTheme="minorEastAsia"/>
          <w:color w:val="auto"/>
          <w:szCs w:val="22"/>
          <w:highlight w:val="none"/>
        </w:rPr>
      </w:pPr>
      <w:r>
        <w:rPr>
          <w:rFonts w:eastAsiaTheme="minorEastAsia"/>
          <w:b/>
          <w:bCs/>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!预付款项1 \f 4 \h \* MERGEFORMAT </w:instrText>
      </w:r>
      <w:r>
        <w:rPr>
          <w:rFonts w:eastAsiaTheme="minorEastAsia"/>
          <w:b/>
          <w:bCs/>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1637"/>
        <w:gridCol w:w="1638"/>
        <w:gridCol w:w="1638"/>
        <w:gridCol w:w="1013"/>
        <w:gridCol w:w="2262"/>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63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债权单位</w:t>
            </w:r>
          </w:p>
        </w:tc>
        <w:tc>
          <w:tcPr>
            <w:tcW w:w="163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债务单位</w:t>
            </w:r>
          </w:p>
        </w:tc>
        <w:tc>
          <w:tcPr>
            <w:tcW w:w="163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c>
          <w:tcPr>
            <w:tcW w:w="1013"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账龄</w:t>
            </w:r>
          </w:p>
        </w:tc>
        <w:tc>
          <w:tcPr>
            <w:tcW w:w="2262"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未结算的原因</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3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贵州西电电力股份有限公司</w:t>
            </w:r>
          </w:p>
        </w:tc>
        <w:tc>
          <w:tcPr>
            <w:tcW w:w="1638"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贵州龙里林隆实业有限公司</w:t>
            </w:r>
          </w:p>
        </w:tc>
        <w:tc>
          <w:tcPr>
            <w:tcW w:w="163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31,174,199.86</w:t>
            </w:r>
          </w:p>
        </w:tc>
        <w:tc>
          <w:tcPr>
            <w:tcW w:w="1013"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5年以上</w:t>
            </w:r>
          </w:p>
        </w:tc>
        <w:tc>
          <w:tcPr>
            <w:tcW w:w="226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历史遗留</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3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163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c>
          <w:tcPr>
            <w:tcW w:w="163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31,174,199.86</w:t>
            </w:r>
          </w:p>
        </w:tc>
        <w:tc>
          <w:tcPr>
            <w:tcW w:w="1013"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p>
        </w:tc>
        <w:tc>
          <w:tcPr>
            <w:tcW w:w="226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p>
        </w:tc>
      </w:tr>
    </w:tbl>
    <w:p>
      <w:pPr>
        <w:pStyle w:val="35"/>
        <w:rPr>
          <w:rFonts w:eastAsiaTheme="minorEastAsia"/>
          <w:color w:val="auto"/>
          <w:highlight w:val="none"/>
        </w:rPr>
      </w:pPr>
      <w:r>
        <w:rPr>
          <w:rFonts w:eastAsiaTheme="minorEastAsia"/>
          <w:color w:val="auto"/>
          <w:highlight w:val="none"/>
        </w:rPr>
        <w:fldChar w:fldCharType="end"/>
      </w:r>
    </w:p>
    <w:p>
      <w:pPr>
        <w:pStyle w:val="44"/>
        <w:rPr>
          <w:rFonts w:eastAsiaTheme="minorEastAsia"/>
          <w:color w:val="auto"/>
          <w:highlight w:val="none"/>
        </w:rPr>
      </w:pPr>
      <w:r>
        <w:rPr>
          <w:rFonts w:hint="eastAsia"/>
          <w:color w:val="auto"/>
          <w:highlight w:val="none"/>
        </w:rPr>
        <w:t>按欠款方归集的期末余额前五名的预付款项情况</w:t>
      </w:r>
    </w:p>
    <w:p>
      <w:pPr>
        <w:pStyle w:val="35"/>
        <w:rPr>
          <w:rFonts w:asciiTheme="minorHAnsi" w:hAnsiTheme="minorHAnsi" w:eastAsiaTheme="minorEastAsia" w:cstheme="minorBidi"/>
          <w:color w:val="auto"/>
          <w:highlight w:val="none"/>
        </w:rPr>
      </w:pPr>
      <w:r>
        <w:rPr>
          <w:rFonts w:eastAsiaTheme="minorEastAsia"/>
          <w:color w:val="auto"/>
          <w:highlight w:val="none"/>
        </w:rPr>
        <w:fldChar w:fldCharType="begin"/>
      </w:r>
      <w:r>
        <w:rPr>
          <w:rFonts w:eastAsiaTheme="minorEastAsia"/>
          <w:color w:val="auto"/>
          <w:highlight w:val="none"/>
        </w:rPr>
        <w:instrText xml:space="preserve"> LINK Excel.SheetMacroEnabled.12 "D:\\tonylee\\立信\\新附注排版工具\\2016央企年报格式\\中央企业财务报表和报表附注20170109V1.xlsm" "合并附注!预付款项2" \f 4 \h \* MERGEFORMAT </w:instrText>
      </w:r>
      <w:r>
        <w:rPr>
          <w:rFonts w:eastAsiaTheme="minorEastAsia"/>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2939"/>
        <w:gridCol w:w="1835"/>
        <w:gridCol w:w="1744"/>
        <w:gridCol w:w="1670"/>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2939"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债务人名称</w:t>
            </w:r>
          </w:p>
        </w:tc>
        <w:tc>
          <w:tcPr>
            <w:tcW w:w="183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账面余额</w:t>
            </w:r>
          </w:p>
        </w:tc>
        <w:tc>
          <w:tcPr>
            <w:tcW w:w="1744"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占预付款项合计的比例（%）</w:t>
            </w:r>
          </w:p>
        </w:tc>
        <w:tc>
          <w:tcPr>
            <w:tcW w:w="1670"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坏账准备</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939"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国家电力投资集团有限公司物资装备分公司</w:t>
            </w:r>
          </w:p>
        </w:tc>
        <w:tc>
          <w:tcPr>
            <w:tcW w:w="183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87,571,126.67</w:t>
            </w:r>
          </w:p>
        </w:tc>
        <w:tc>
          <w:tcPr>
            <w:tcW w:w="174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17.27</w:t>
            </w:r>
          </w:p>
        </w:tc>
        <w:tc>
          <w:tcPr>
            <w:tcW w:w="167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939"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贵州振鑫能源实业有限公司</w:t>
            </w:r>
          </w:p>
        </w:tc>
        <w:tc>
          <w:tcPr>
            <w:tcW w:w="183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83,044,321.08</w:t>
            </w:r>
          </w:p>
        </w:tc>
        <w:tc>
          <w:tcPr>
            <w:tcW w:w="174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16.38</w:t>
            </w:r>
          </w:p>
        </w:tc>
        <w:tc>
          <w:tcPr>
            <w:tcW w:w="167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939"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中煤重庆销售有限公司</w:t>
            </w:r>
          </w:p>
        </w:tc>
        <w:tc>
          <w:tcPr>
            <w:tcW w:w="183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70,272,778.98</w:t>
            </w:r>
          </w:p>
        </w:tc>
        <w:tc>
          <w:tcPr>
            <w:tcW w:w="174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13.86</w:t>
            </w:r>
          </w:p>
        </w:tc>
        <w:tc>
          <w:tcPr>
            <w:tcW w:w="167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939"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贵州国兴煤炭贸易有限公司</w:t>
            </w:r>
          </w:p>
        </w:tc>
        <w:tc>
          <w:tcPr>
            <w:tcW w:w="183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42,300,000.00</w:t>
            </w:r>
          </w:p>
        </w:tc>
        <w:tc>
          <w:tcPr>
            <w:tcW w:w="174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8.34</w:t>
            </w:r>
          </w:p>
        </w:tc>
        <w:tc>
          <w:tcPr>
            <w:tcW w:w="167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PrEx>
        <w:trPr>
          <w:trHeight w:val="283" w:hRule="atLeast"/>
        </w:trPr>
        <w:tc>
          <w:tcPr>
            <w:tcW w:w="2939"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贵州龙里林隆实业有限公司</w:t>
            </w:r>
          </w:p>
        </w:tc>
        <w:tc>
          <w:tcPr>
            <w:tcW w:w="183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31,174,199.86</w:t>
            </w:r>
          </w:p>
        </w:tc>
        <w:tc>
          <w:tcPr>
            <w:tcW w:w="174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6.15</w:t>
            </w:r>
          </w:p>
        </w:tc>
        <w:tc>
          <w:tcPr>
            <w:tcW w:w="167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31,174,199.86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939"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183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314,362,426.59</w:t>
            </w:r>
          </w:p>
        </w:tc>
        <w:tc>
          <w:tcPr>
            <w:tcW w:w="174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62.00</w:t>
            </w:r>
          </w:p>
        </w:tc>
        <w:tc>
          <w:tcPr>
            <w:tcW w:w="167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31,174,199.86</w:t>
            </w:r>
          </w:p>
        </w:tc>
      </w:tr>
    </w:tbl>
    <w:p>
      <w:pPr>
        <w:pStyle w:val="35"/>
        <w:rPr>
          <w:rFonts w:eastAsiaTheme="minorEastAsia"/>
          <w:color w:val="auto"/>
          <w:highlight w:val="none"/>
        </w:rPr>
      </w:pPr>
      <w:r>
        <w:rPr>
          <w:rFonts w:eastAsiaTheme="minorEastAsia"/>
          <w:color w:val="auto"/>
          <w:highlight w:val="none"/>
        </w:rPr>
        <w:fldChar w:fldCharType="end"/>
      </w:r>
    </w:p>
    <w:p>
      <w:pPr>
        <w:pStyle w:val="37"/>
        <w:rPr>
          <w:color w:val="auto"/>
          <w:highlight w:val="none"/>
        </w:rPr>
      </w:pPr>
      <w:r>
        <w:rPr>
          <w:color w:val="auto"/>
          <w:highlight w:val="none"/>
        </w:rPr>
        <w:t>其他应收款</w:t>
      </w:r>
    </w:p>
    <w:p>
      <w:pPr>
        <w:pStyle w:val="38"/>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LINK Excel.SheetMacroEnabled.12 "D:\\vsWorkspace\\branches\\20180822\\StandardTemplateTool\\template\\SASAC\\Frame\\201812\\SASACFinancialReports.xlsm" "合并附注!其他应收款总表" \f 4 \h \* MERGEFORMAT </w:instrText>
      </w:r>
      <w:r>
        <w:rPr>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3692"/>
        <w:gridCol w:w="2305"/>
        <w:gridCol w:w="2191"/>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3692"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230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c>
          <w:tcPr>
            <w:tcW w:w="219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9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应收利息</w:t>
            </w:r>
          </w:p>
        </w:tc>
        <w:tc>
          <w:tcPr>
            <w:tcW w:w="23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21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9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应收股利</w:t>
            </w:r>
          </w:p>
        </w:tc>
        <w:tc>
          <w:tcPr>
            <w:tcW w:w="23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41,552,068.64</w:t>
            </w:r>
          </w:p>
        </w:tc>
        <w:tc>
          <w:tcPr>
            <w:tcW w:w="21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18,616,005.38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9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其他应收款项</w:t>
            </w:r>
          </w:p>
        </w:tc>
        <w:tc>
          <w:tcPr>
            <w:tcW w:w="23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504,715,283.96</w:t>
            </w:r>
          </w:p>
        </w:tc>
        <w:tc>
          <w:tcPr>
            <w:tcW w:w="21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1,621,364,915.48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92"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23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546,267,352.60</w:t>
            </w:r>
          </w:p>
        </w:tc>
        <w:tc>
          <w:tcPr>
            <w:tcW w:w="21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1,639,980,920.86</w:t>
            </w:r>
          </w:p>
        </w:tc>
      </w:tr>
    </w:tbl>
    <w:p>
      <w:pPr>
        <w:pStyle w:val="38"/>
        <w:rPr>
          <w:color w:val="auto"/>
          <w:highlight w:val="none"/>
        </w:rPr>
      </w:pPr>
      <w:r>
        <w:rPr>
          <w:color w:val="auto"/>
          <w:highlight w:val="none"/>
        </w:rPr>
        <w:fldChar w:fldCharType="end"/>
      </w:r>
    </w:p>
    <w:p>
      <w:pPr>
        <w:pStyle w:val="44"/>
        <w:rPr>
          <w:rFonts w:eastAsiaTheme="minorEastAsia"/>
          <w:color w:val="auto"/>
          <w:highlight w:val="none"/>
        </w:rPr>
      </w:pPr>
      <w:r>
        <w:rPr>
          <w:rFonts w:eastAsiaTheme="minorEastAsia"/>
          <w:color w:val="auto"/>
          <w:highlight w:val="none"/>
        </w:rPr>
        <w:t>应收利息</w:t>
      </w:r>
    </w:p>
    <w:p>
      <w:pPr>
        <w:pStyle w:val="35"/>
        <w:rPr>
          <w:color w:val="auto"/>
          <w:highlight w:val="none"/>
        </w:rPr>
      </w:pPr>
      <w:r>
        <w:rPr>
          <w:rFonts w:hint="eastAsia"/>
          <w:color w:val="auto"/>
          <w:highlight w:val="none"/>
        </w:rPr>
        <w:t>（1）</w:t>
      </w:r>
      <w:r>
        <w:rPr>
          <w:color w:val="auto"/>
          <w:highlight w:val="none"/>
        </w:rPr>
        <w:t>应收利息分类</w:t>
      </w:r>
    </w:p>
    <w:p>
      <w:pPr>
        <w:pStyle w:val="35"/>
        <w:rPr>
          <w:rFonts w:eastAsiaTheme="minorEastAsia"/>
          <w:bCs/>
          <w:color w:val="auto"/>
          <w:szCs w:val="22"/>
          <w:highlight w:val="none"/>
        </w:rPr>
      </w:pPr>
      <w:r>
        <w:rPr>
          <w:rFonts w:eastAsiaTheme="minorEastAsia"/>
          <w:b/>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!应收利息 \f 4 \h \* MERGEFORMAT </w:instrText>
      </w:r>
      <w:r>
        <w:rPr>
          <w:rFonts w:eastAsiaTheme="minorEastAsia"/>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2678"/>
        <w:gridCol w:w="2681"/>
        <w:gridCol w:w="2829"/>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267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268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c>
          <w:tcPr>
            <w:tcW w:w="2829"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78"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其他</w:t>
            </w:r>
          </w:p>
        </w:tc>
        <w:tc>
          <w:tcPr>
            <w:tcW w:w="268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11,448,673.03</w:t>
            </w:r>
          </w:p>
        </w:tc>
        <w:tc>
          <w:tcPr>
            <w:tcW w:w="282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11,448,673.03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7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小计</w:t>
            </w:r>
          </w:p>
        </w:tc>
        <w:tc>
          <w:tcPr>
            <w:tcW w:w="268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11,448,673.03</w:t>
            </w:r>
          </w:p>
        </w:tc>
        <w:tc>
          <w:tcPr>
            <w:tcW w:w="282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11,448,673.03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78"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减：坏账准备</w:t>
            </w:r>
          </w:p>
        </w:tc>
        <w:tc>
          <w:tcPr>
            <w:tcW w:w="268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11,448,673.03</w:t>
            </w:r>
          </w:p>
        </w:tc>
        <w:tc>
          <w:tcPr>
            <w:tcW w:w="282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11,448,673.03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7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268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282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bl>
    <w:p>
      <w:pPr>
        <w:pStyle w:val="35"/>
        <w:rPr>
          <w:rFonts w:eastAsiaTheme="minorEastAsia"/>
          <w:color w:val="auto"/>
          <w:highlight w:val="none"/>
        </w:rPr>
      </w:pPr>
      <w:r>
        <w:rPr>
          <w:rFonts w:eastAsiaTheme="minorEastAsia"/>
          <w:color w:val="auto"/>
          <w:highlight w:val="none"/>
        </w:rPr>
        <w:fldChar w:fldCharType="end"/>
      </w:r>
    </w:p>
    <w:p>
      <w:pPr>
        <w:pStyle w:val="35"/>
        <w:rPr>
          <w:rFonts w:hint="eastAsia" w:eastAsiaTheme="minorEastAsia"/>
          <w:color w:val="auto"/>
          <w:highlight w:val="none"/>
        </w:rPr>
      </w:pPr>
    </w:p>
    <w:p>
      <w:pPr>
        <w:pStyle w:val="35"/>
        <w:rPr>
          <w:rFonts w:eastAsiaTheme="minorEastAsia"/>
          <w:color w:val="auto"/>
          <w:highlight w:val="none"/>
        </w:rPr>
      </w:pPr>
    </w:p>
    <w:p>
      <w:pPr>
        <w:pStyle w:val="35"/>
        <w:rPr>
          <w:color w:val="auto"/>
          <w:highlight w:val="none"/>
        </w:rPr>
      </w:pPr>
      <w:r>
        <w:rPr>
          <w:rFonts w:hint="eastAsia"/>
          <w:color w:val="auto"/>
          <w:highlight w:val="none"/>
        </w:rPr>
        <w:t>（2）应收利息坏账准备计提情况</w:t>
      </w:r>
    </w:p>
    <w:p>
      <w:pPr>
        <w:pStyle w:val="35"/>
        <w:rPr>
          <w:rFonts w:asciiTheme="minorHAnsi" w:hAnsiTheme="minorHAnsi" w:eastAsiaTheme="minorEastAsia" w:cstheme="minorBidi"/>
          <w:color w:val="auto"/>
          <w:highlight w:val="none"/>
        </w:rPr>
      </w:pPr>
      <w:r>
        <w:rPr>
          <w:rFonts w:eastAsiaTheme="minorEastAsia"/>
          <w:color w:val="auto"/>
          <w:highlight w:val="none"/>
        </w:rPr>
        <w:fldChar w:fldCharType="begin"/>
      </w:r>
      <w:r>
        <w:rPr>
          <w:rFonts w:eastAsiaTheme="minorEastAsia"/>
          <w:color w:val="auto"/>
          <w:highlight w:val="none"/>
        </w:rPr>
        <w:instrText xml:space="preserve"> LINK Excel.Sheet.12 "D:\\work\\20190430V3\\StandardTemplateTool\\template\\SASAC\\Frame\\202112\\SASACFinancialReports.xlsx" "其他应收款!应收利息2" \f 4 \h \* MERGEFORMAT </w:instrText>
      </w:r>
      <w:r>
        <w:rPr>
          <w:rFonts w:eastAsiaTheme="minorEastAsia"/>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1672"/>
        <w:gridCol w:w="1691"/>
        <w:gridCol w:w="1691"/>
        <w:gridCol w:w="1691"/>
        <w:gridCol w:w="1443"/>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672"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坏账准备</w:t>
            </w:r>
          </w:p>
        </w:tc>
        <w:tc>
          <w:tcPr>
            <w:tcW w:w="169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第一阶段</w:t>
            </w:r>
          </w:p>
        </w:tc>
        <w:tc>
          <w:tcPr>
            <w:tcW w:w="169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第二阶段</w:t>
            </w:r>
          </w:p>
        </w:tc>
        <w:tc>
          <w:tcPr>
            <w:tcW w:w="169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第三阶段</w:t>
            </w:r>
          </w:p>
        </w:tc>
        <w:tc>
          <w:tcPr>
            <w:tcW w:w="1443"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672"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69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未来12个月预期信用损失</w:t>
            </w:r>
          </w:p>
        </w:tc>
        <w:tc>
          <w:tcPr>
            <w:tcW w:w="169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整个存续期预期信用损失(未发生信用减值)</w:t>
            </w:r>
          </w:p>
        </w:tc>
        <w:tc>
          <w:tcPr>
            <w:tcW w:w="169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整个存续期预期信用损失(已发生信用减值)</w:t>
            </w:r>
          </w:p>
        </w:tc>
        <w:tc>
          <w:tcPr>
            <w:tcW w:w="1443"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7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w:t>
            </w:r>
          </w:p>
        </w:tc>
        <w:tc>
          <w:tcPr>
            <w:tcW w:w="16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11,448,673.03</w:t>
            </w:r>
          </w:p>
        </w:tc>
        <w:tc>
          <w:tcPr>
            <w:tcW w:w="144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11,448,673.03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7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期初余额在本期</w:t>
            </w:r>
          </w:p>
        </w:tc>
        <w:tc>
          <w:tcPr>
            <w:tcW w:w="16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4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7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--转入第二阶段</w:t>
            </w:r>
          </w:p>
        </w:tc>
        <w:tc>
          <w:tcPr>
            <w:tcW w:w="16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4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7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--转入第三阶段</w:t>
            </w:r>
          </w:p>
        </w:tc>
        <w:tc>
          <w:tcPr>
            <w:tcW w:w="16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4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7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--转回第二阶段</w:t>
            </w:r>
          </w:p>
        </w:tc>
        <w:tc>
          <w:tcPr>
            <w:tcW w:w="16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4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7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--转回第一阶段</w:t>
            </w:r>
          </w:p>
        </w:tc>
        <w:tc>
          <w:tcPr>
            <w:tcW w:w="16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4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7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本期计提</w:t>
            </w:r>
          </w:p>
        </w:tc>
        <w:tc>
          <w:tcPr>
            <w:tcW w:w="16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4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7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本期转回</w:t>
            </w:r>
          </w:p>
        </w:tc>
        <w:tc>
          <w:tcPr>
            <w:tcW w:w="16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4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7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本期转销</w:t>
            </w:r>
          </w:p>
        </w:tc>
        <w:tc>
          <w:tcPr>
            <w:tcW w:w="16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4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7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本期核销</w:t>
            </w:r>
          </w:p>
        </w:tc>
        <w:tc>
          <w:tcPr>
            <w:tcW w:w="16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4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7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其他变动</w:t>
            </w:r>
          </w:p>
        </w:tc>
        <w:tc>
          <w:tcPr>
            <w:tcW w:w="16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4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7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c>
          <w:tcPr>
            <w:tcW w:w="16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11,448,673.03</w:t>
            </w:r>
          </w:p>
        </w:tc>
        <w:tc>
          <w:tcPr>
            <w:tcW w:w="144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11,448,673.03</w:t>
            </w:r>
          </w:p>
        </w:tc>
      </w:tr>
    </w:tbl>
    <w:p>
      <w:pPr>
        <w:pStyle w:val="35"/>
        <w:rPr>
          <w:rFonts w:eastAsiaTheme="minorEastAsia"/>
          <w:color w:val="auto"/>
          <w:highlight w:val="none"/>
        </w:rPr>
      </w:pPr>
      <w:r>
        <w:rPr>
          <w:rFonts w:eastAsiaTheme="minorEastAsia"/>
          <w:color w:val="auto"/>
          <w:highlight w:val="none"/>
        </w:rPr>
        <w:fldChar w:fldCharType="end"/>
      </w:r>
    </w:p>
    <w:p>
      <w:pPr>
        <w:pStyle w:val="44"/>
        <w:rPr>
          <w:color w:val="auto"/>
          <w:highlight w:val="none"/>
        </w:rPr>
      </w:pPr>
      <w:r>
        <w:rPr>
          <w:color w:val="auto"/>
          <w:highlight w:val="none"/>
        </w:rPr>
        <w:t>应收股利</w:t>
      </w:r>
    </w:p>
    <w:p>
      <w:pPr>
        <w:pStyle w:val="35"/>
        <w:rPr>
          <w:rFonts w:eastAsiaTheme="minorEastAsia"/>
          <w:color w:val="auto"/>
          <w:highlight w:val="none"/>
        </w:rPr>
      </w:pPr>
      <w:r>
        <w:rPr>
          <w:rFonts w:eastAsiaTheme="minorEastAsia"/>
          <w:b/>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!应收股利 \f 4 \h \* MERGEFORMAT </w:instrText>
      </w:r>
      <w:r>
        <w:rPr>
          <w:rFonts w:eastAsiaTheme="minorEastAsia"/>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2323"/>
        <w:gridCol w:w="1498"/>
        <w:gridCol w:w="1485"/>
        <w:gridCol w:w="1339"/>
        <w:gridCol w:w="1543"/>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2323"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149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c>
          <w:tcPr>
            <w:tcW w:w="148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w:t>
            </w:r>
          </w:p>
        </w:tc>
        <w:tc>
          <w:tcPr>
            <w:tcW w:w="1339"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未收回的原因</w:t>
            </w:r>
          </w:p>
        </w:tc>
        <w:tc>
          <w:tcPr>
            <w:tcW w:w="1543"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是否发生减值及其判断依据</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323"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账龄一年以内的应收股利</w:t>
            </w:r>
          </w:p>
        </w:tc>
        <w:tc>
          <w:tcPr>
            <w:tcW w:w="14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23,412,162.24</w:t>
            </w:r>
          </w:p>
        </w:tc>
        <w:tc>
          <w:tcPr>
            <w:tcW w:w="148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476,098.98</w:t>
            </w:r>
          </w:p>
        </w:tc>
        <w:tc>
          <w:tcPr>
            <w:tcW w:w="1339"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c>
          <w:tcPr>
            <w:tcW w:w="1543"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323"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其中：（1）中国证券登记结算有限责任公司北京分公司</w:t>
            </w:r>
          </w:p>
        </w:tc>
        <w:tc>
          <w:tcPr>
            <w:tcW w:w="14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23,412,162.24</w:t>
            </w:r>
          </w:p>
        </w:tc>
        <w:tc>
          <w:tcPr>
            <w:tcW w:w="148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39"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暂未支付</w:t>
            </w:r>
          </w:p>
        </w:tc>
        <w:tc>
          <w:tcPr>
            <w:tcW w:w="1543"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323"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（2）贵州省西能煤炭勘查开发有限公司</w:t>
            </w:r>
          </w:p>
        </w:tc>
        <w:tc>
          <w:tcPr>
            <w:tcW w:w="14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8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476,098.98</w:t>
            </w:r>
          </w:p>
        </w:tc>
        <w:tc>
          <w:tcPr>
            <w:tcW w:w="1339"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暂未支付</w:t>
            </w:r>
          </w:p>
        </w:tc>
        <w:tc>
          <w:tcPr>
            <w:tcW w:w="1543"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323"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账龄一年以上的应收股利</w:t>
            </w:r>
          </w:p>
        </w:tc>
        <w:tc>
          <w:tcPr>
            <w:tcW w:w="14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18,139,906.40</w:t>
            </w:r>
          </w:p>
        </w:tc>
        <w:tc>
          <w:tcPr>
            <w:tcW w:w="148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18,139,906.40</w:t>
            </w:r>
          </w:p>
        </w:tc>
        <w:tc>
          <w:tcPr>
            <w:tcW w:w="1339"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c>
          <w:tcPr>
            <w:tcW w:w="1543"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323"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其中：（1）贵州大方发电有限公司</w:t>
            </w:r>
          </w:p>
        </w:tc>
        <w:tc>
          <w:tcPr>
            <w:tcW w:w="14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18,139,906.40</w:t>
            </w:r>
          </w:p>
        </w:tc>
        <w:tc>
          <w:tcPr>
            <w:tcW w:w="148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18,139,906.40</w:t>
            </w:r>
          </w:p>
        </w:tc>
        <w:tc>
          <w:tcPr>
            <w:tcW w:w="1339"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暂未支付</w:t>
            </w:r>
          </w:p>
        </w:tc>
        <w:tc>
          <w:tcPr>
            <w:tcW w:w="1543"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323"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14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41,552,068.64</w:t>
            </w:r>
          </w:p>
        </w:tc>
        <w:tc>
          <w:tcPr>
            <w:tcW w:w="148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18,616,005.38</w:t>
            </w:r>
          </w:p>
        </w:tc>
        <w:tc>
          <w:tcPr>
            <w:tcW w:w="1339"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c>
          <w:tcPr>
            <w:tcW w:w="1543"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r>
    </w:tbl>
    <w:p>
      <w:pPr>
        <w:pStyle w:val="35"/>
        <w:rPr>
          <w:rFonts w:eastAsiaTheme="minorEastAsia"/>
          <w:color w:val="auto"/>
          <w:highlight w:val="none"/>
        </w:rPr>
      </w:pPr>
      <w:r>
        <w:rPr>
          <w:rFonts w:eastAsiaTheme="minorEastAsia"/>
          <w:color w:val="auto"/>
          <w:highlight w:val="none"/>
        </w:rPr>
        <w:fldChar w:fldCharType="end"/>
      </w:r>
    </w:p>
    <w:p>
      <w:pPr>
        <w:pStyle w:val="44"/>
        <w:rPr>
          <w:bCs/>
          <w:color w:val="auto"/>
          <w:highlight w:val="none"/>
          <w:shd w:val="clear" w:color="auto" w:fill="CCFFFF"/>
        </w:rPr>
      </w:pPr>
      <w:r>
        <w:rPr>
          <w:color w:val="auto"/>
          <w:highlight w:val="none"/>
        </w:rPr>
        <w:t>其他应收款</w:t>
      </w:r>
      <w:r>
        <w:rPr>
          <w:rFonts w:hint="eastAsia"/>
          <w:color w:val="auto"/>
          <w:highlight w:val="none"/>
        </w:rPr>
        <w:t>项</w:t>
      </w:r>
    </w:p>
    <w:p>
      <w:pPr>
        <w:pStyle w:val="35"/>
        <w:rPr>
          <w:b/>
          <w:color w:val="auto"/>
          <w:highlight w:val="none"/>
        </w:rPr>
      </w:pPr>
      <w:r>
        <w:rPr>
          <w:rFonts w:hint="eastAsia"/>
          <w:b/>
          <w:color w:val="auto"/>
          <w:highlight w:val="none"/>
        </w:rPr>
        <w:t>（1）按账龄披露其他应收款项</w:t>
      </w:r>
    </w:p>
    <w:p>
      <w:pPr>
        <w:pStyle w:val="35"/>
        <w:rPr>
          <w:rFonts w:asciiTheme="minorHAnsi" w:hAnsiTheme="minorHAnsi" w:eastAsiaTheme="minorEastAsia" w:cstheme="minorBidi"/>
          <w:color w:val="auto"/>
          <w:highlight w:val="none"/>
        </w:rPr>
      </w:pPr>
      <w:r>
        <w:rPr>
          <w:b/>
          <w:color w:val="auto"/>
          <w:highlight w:val="none"/>
        </w:rPr>
        <w:fldChar w:fldCharType="begin"/>
      </w:r>
      <w:r>
        <w:rPr>
          <w:b/>
          <w:color w:val="auto"/>
          <w:highlight w:val="none"/>
        </w:rPr>
        <w:instrText xml:space="preserve"> LINK Excel.Sheet.12 "D:\\vsWorkspace\\branches\\20190430\\StandardTemplateTool\\template\\SASAC\\Frame\\202212\\SASACFinancialReports.xlsx" "其他应收款!其他应收款" \f 4 \h \* MERGEFORMAT </w:instrText>
      </w:r>
      <w:r>
        <w:rPr>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1840"/>
        <w:gridCol w:w="1587"/>
        <w:gridCol w:w="1587"/>
        <w:gridCol w:w="1587"/>
        <w:gridCol w:w="1587"/>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840"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账龄</w:t>
            </w:r>
          </w:p>
        </w:tc>
        <w:tc>
          <w:tcPr>
            <w:tcW w:w="3174"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期末数</w:t>
            </w:r>
          </w:p>
        </w:tc>
        <w:tc>
          <w:tcPr>
            <w:tcW w:w="3174"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期初数</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840"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58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账面余额</w:t>
            </w:r>
          </w:p>
        </w:tc>
        <w:tc>
          <w:tcPr>
            <w:tcW w:w="158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坏账准备</w:t>
            </w:r>
          </w:p>
        </w:tc>
        <w:tc>
          <w:tcPr>
            <w:tcW w:w="158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账面余额</w:t>
            </w:r>
          </w:p>
        </w:tc>
        <w:tc>
          <w:tcPr>
            <w:tcW w:w="158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坏账准备</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840"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1年以内（含1年）</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239,034,967.68</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60,305,895.23</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2,100,545,182.50</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954,392,194.43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840"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1至2年</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1,014,576,518.11</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985,120,630.69</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332,129,698.70</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4,549,223.33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840"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2至3年</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117,836,075.28</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394,175.58</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498,153,728.13</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357,413,560.13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840"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3年以上</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620,505,513.96</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441,417,089.57</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184,393,995.62</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177,502,711.58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840"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1,991,953,075.03</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1,487,237,791.07</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3,115,222,604.95</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1,493,857,689.47</w:t>
            </w:r>
          </w:p>
        </w:tc>
      </w:tr>
    </w:tbl>
    <w:p>
      <w:pPr>
        <w:pStyle w:val="35"/>
        <w:rPr>
          <w:rFonts w:eastAsiaTheme="minorEastAsia"/>
          <w:color w:val="auto"/>
          <w:highlight w:val="none"/>
        </w:rPr>
      </w:pPr>
      <w:r>
        <w:rPr>
          <w:b/>
          <w:color w:val="auto"/>
          <w:highlight w:val="none"/>
        </w:rPr>
        <w:fldChar w:fldCharType="end"/>
      </w:r>
    </w:p>
    <w:p>
      <w:pPr>
        <w:pStyle w:val="35"/>
        <w:rPr>
          <w:b/>
          <w:color w:val="auto"/>
          <w:highlight w:val="none"/>
        </w:rPr>
        <w:sectPr>
          <w:pgSz w:w="11907" w:h="16839"/>
          <w:pgMar w:top="1440" w:right="1797" w:bottom="1440" w:left="1797" w:header="794" w:footer="992" w:gutter="0"/>
          <w:cols w:space="425" w:num="1"/>
          <w:docGrid w:linePitch="312" w:charSpace="0"/>
        </w:sectPr>
      </w:pPr>
    </w:p>
    <w:p>
      <w:pPr>
        <w:pStyle w:val="35"/>
        <w:rPr>
          <w:b/>
          <w:bCs/>
          <w:color w:val="auto"/>
          <w:highlight w:val="none"/>
          <w:shd w:val="clear" w:color="auto" w:fill="CCFFFF"/>
        </w:rPr>
      </w:pPr>
      <w:r>
        <w:rPr>
          <w:rFonts w:hint="eastAsia"/>
          <w:b/>
          <w:color w:val="auto"/>
          <w:highlight w:val="none"/>
        </w:rPr>
        <w:t>（</w:t>
      </w:r>
      <w:r>
        <w:rPr>
          <w:b/>
          <w:color w:val="auto"/>
          <w:highlight w:val="none"/>
        </w:rPr>
        <w:t>2</w:t>
      </w:r>
      <w:r>
        <w:rPr>
          <w:rFonts w:hint="eastAsia"/>
          <w:b/>
          <w:color w:val="auto"/>
          <w:highlight w:val="none"/>
        </w:rPr>
        <w:t>）按坏账准备计提方法分类披露其他应收款项</w:t>
      </w:r>
    </w:p>
    <w:p>
      <w:pPr>
        <w:pStyle w:val="35"/>
        <w:rPr>
          <w:color w:val="auto"/>
          <w:szCs w:val="22"/>
          <w:highlight w:val="none"/>
        </w:rPr>
      </w:pPr>
      <w:r>
        <w:rPr>
          <w:b/>
          <w:bCs/>
          <w:color w:val="auto"/>
          <w:highlight w:val="none"/>
          <w:shd w:val="clear" w:color="auto" w:fill="CCFFFF"/>
        </w:rPr>
        <w:fldChar w:fldCharType="begin"/>
      </w:r>
      <w:r>
        <w:rPr>
          <w:color w:val="auto"/>
          <w:highlight w:val="none"/>
          <w:shd w:val="clear" w:color="auto" w:fill="CCFFFF"/>
        </w:rPr>
        <w:instrText xml:space="preserve"> LINK Excel.Sheet.12 E:\\雍\\附注排版\\2014年年报格式\\附注过渡表20150130V0910.xlsx</w:instrText>
      </w:r>
      <w:r>
        <w:rPr>
          <w:rFonts w:hint="eastAsia"/>
          <w:color w:val="auto"/>
          <w:highlight w:val="none"/>
          <w:shd w:val="clear" w:color="auto" w:fill="CCFFFF"/>
        </w:rPr>
        <w:instrText xml:space="preserve"> </w:instrText>
      </w:r>
      <w:r>
        <w:rPr>
          <w:rFonts w:hint="eastAsia"/>
          <w:color w:val="auto"/>
          <w:highlight w:val="none"/>
        </w:rPr>
        <w:instrText xml:space="preserve">合并附注</w:instrText>
      </w:r>
      <w:r>
        <w:rPr>
          <w:color w:val="auto"/>
          <w:highlight w:val="none"/>
          <w:shd w:val="clear" w:color="auto" w:fill="CCFFFF"/>
        </w:rPr>
        <w:instrText xml:space="preserve">!其他应收款</w:instrText>
      </w:r>
      <w:r>
        <w:rPr>
          <w:rFonts w:hint="eastAsia"/>
          <w:color w:val="auto"/>
          <w:highlight w:val="none"/>
          <w:shd w:val="clear" w:color="auto" w:fill="CCFFFF"/>
        </w:rPr>
        <w:instrText xml:space="preserve">1</w:instrText>
      </w:r>
      <w:r>
        <w:rPr>
          <w:color w:val="auto"/>
          <w:highlight w:val="none"/>
          <w:shd w:val="clear" w:color="auto" w:fill="CCFFFF"/>
        </w:rPr>
        <w:instrText xml:space="preserve"> \f 4 \h \* MERGEFORMAT </w:instrText>
      </w:r>
      <w:r>
        <w:rPr>
          <w:b/>
          <w:bCs/>
          <w:color w:val="auto"/>
          <w:highlight w:val="none"/>
          <w:shd w:val="clear" w:color="auto" w:fill="CCFFFF"/>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1620"/>
        <w:gridCol w:w="1584"/>
        <w:gridCol w:w="842"/>
        <w:gridCol w:w="1372"/>
        <w:gridCol w:w="959"/>
        <w:gridCol w:w="1249"/>
        <w:gridCol w:w="1438"/>
        <w:gridCol w:w="841"/>
        <w:gridCol w:w="1372"/>
        <w:gridCol w:w="959"/>
        <w:gridCol w:w="1372"/>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620"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类别</w:t>
            </w:r>
          </w:p>
        </w:tc>
        <w:tc>
          <w:tcPr>
            <w:tcW w:w="6006" w:type="dxa"/>
            <w:gridSpan w:val="5"/>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期末数</w:t>
            </w:r>
          </w:p>
        </w:tc>
        <w:tc>
          <w:tcPr>
            <w:tcW w:w="5982" w:type="dxa"/>
            <w:gridSpan w:val="5"/>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期初数</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620"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2426"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账面余额</w:t>
            </w:r>
          </w:p>
        </w:tc>
        <w:tc>
          <w:tcPr>
            <w:tcW w:w="2331"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坏账准备</w:t>
            </w:r>
          </w:p>
        </w:tc>
        <w:tc>
          <w:tcPr>
            <w:tcW w:w="1249"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账面价值</w:t>
            </w:r>
          </w:p>
        </w:tc>
        <w:tc>
          <w:tcPr>
            <w:tcW w:w="2279"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账面余额</w:t>
            </w:r>
          </w:p>
        </w:tc>
        <w:tc>
          <w:tcPr>
            <w:tcW w:w="2331"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坏账准备</w:t>
            </w:r>
          </w:p>
        </w:tc>
        <w:tc>
          <w:tcPr>
            <w:tcW w:w="1372"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账面价值</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620"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584"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金额</w:t>
            </w:r>
          </w:p>
        </w:tc>
        <w:tc>
          <w:tcPr>
            <w:tcW w:w="84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比例（%）</w:t>
            </w:r>
          </w:p>
        </w:tc>
        <w:tc>
          <w:tcPr>
            <w:tcW w:w="137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金额</w:t>
            </w:r>
          </w:p>
        </w:tc>
        <w:tc>
          <w:tcPr>
            <w:tcW w:w="959"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预期信用损失率（%）</w:t>
            </w:r>
          </w:p>
        </w:tc>
        <w:tc>
          <w:tcPr>
            <w:tcW w:w="1249"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438"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金额</w:t>
            </w:r>
          </w:p>
        </w:tc>
        <w:tc>
          <w:tcPr>
            <w:tcW w:w="841"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比例（%）</w:t>
            </w:r>
          </w:p>
        </w:tc>
        <w:tc>
          <w:tcPr>
            <w:tcW w:w="137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金额</w:t>
            </w:r>
          </w:p>
        </w:tc>
        <w:tc>
          <w:tcPr>
            <w:tcW w:w="959"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预期信用损失率（%）</w:t>
            </w:r>
          </w:p>
        </w:tc>
        <w:tc>
          <w:tcPr>
            <w:tcW w:w="1372"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2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单项计提坏账准备的其他应收款项</w:t>
            </w:r>
          </w:p>
        </w:tc>
        <w:tc>
          <w:tcPr>
            <w:tcW w:w="158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1,484,317,155.89</w:t>
            </w:r>
          </w:p>
        </w:tc>
        <w:tc>
          <w:tcPr>
            <w:tcW w:w="84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74.52</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1,482,889,149.96</w:t>
            </w:r>
          </w:p>
        </w:tc>
        <w:tc>
          <w:tcPr>
            <w:tcW w:w="95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99.90</w:t>
            </w:r>
          </w:p>
        </w:tc>
        <w:tc>
          <w:tcPr>
            <w:tcW w:w="124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1,428,005.93</w:t>
            </w:r>
          </w:p>
        </w:tc>
        <w:tc>
          <w:tcPr>
            <w:tcW w:w="143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1,496,931,896.40</w:t>
            </w:r>
          </w:p>
        </w:tc>
        <w:tc>
          <w:tcPr>
            <w:tcW w:w="84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48.05</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1,489,497,722.82</w:t>
            </w:r>
          </w:p>
        </w:tc>
        <w:tc>
          <w:tcPr>
            <w:tcW w:w="95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99.50</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7,434,173.58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2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按信用风险特征组合计提坏账准备的其他应收款项</w:t>
            </w:r>
          </w:p>
        </w:tc>
        <w:tc>
          <w:tcPr>
            <w:tcW w:w="158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507,635,919.14</w:t>
            </w:r>
          </w:p>
        </w:tc>
        <w:tc>
          <w:tcPr>
            <w:tcW w:w="84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25.48</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4,348,641.11</w:t>
            </w:r>
          </w:p>
        </w:tc>
        <w:tc>
          <w:tcPr>
            <w:tcW w:w="95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0.86</w:t>
            </w:r>
          </w:p>
        </w:tc>
        <w:tc>
          <w:tcPr>
            <w:tcW w:w="124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503,287,278.03</w:t>
            </w:r>
          </w:p>
        </w:tc>
        <w:tc>
          <w:tcPr>
            <w:tcW w:w="143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1,618,290,708.55</w:t>
            </w:r>
          </w:p>
        </w:tc>
        <w:tc>
          <w:tcPr>
            <w:tcW w:w="84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51.95</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4,359,966.65</w:t>
            </w:r>
          </w:p>
        </w:tc>
        <w:tc>
          <w:tcPr>
            <w:tcW w:w="95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0.27</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1,613,930,741.90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2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其中：账龄分析组合</w:t>
            </w:r>
          </w:p>
        </w:tc>
        <w:tc>
          <w:tcPr>
            <w:tcW w:w="158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24,490,827.72</w:t>
            </w:r>
          </w:p>
        </w:tc>
        <w:tc>
          <w:tcPr>
            <w:tcW w:w="84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4,348,641.11</w:t>
            </w:r>
          </w:p>
        </w:tc>
        <w:tc>
          <w:tcPr>
            <w:tcW w:w="95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24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20,142,186.61</w:t>
            </w:r>
          </w:p>
        </w:tc>
        <w:tc>
          <w:tcPr>
            <w:tcW w:w="143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34,394,106.23</w:t>
            </w:r>
          </w:p>
        </w:tc>
        <w:tc>
          <w:tcPr>
            <w:tcW w:w="84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4,359,966.65</w:t>
            </w:r>
          </w:p>
        </w:tc>
        <w:tc>
          <w:tcPr>
            <w:tcW w:w="95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30,034,139.58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2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低风险组合</w:t>
            </w:r>
          </w:p>
        </w:tc>
        <w:tc>
          <w:tcPr>
            <w:tcW w:w="158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483,145,091.42</w:t>
            </w:r>
          </w:p>
        </w:tc>
        <w:tc>
          <w:tcPr>
            <w:tcW w:w="84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95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24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483,145,091.42</w:t>
            </w:r>
          </w:p>
        </w:tc>
        <w:tc>
          <w:tcPr>
            <w:tcW w:w="143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1,583,896,602.32</w:t>
            </w:r>
          </w:p>
        </w:tc>
        <w:tc>
          <w:tcPr>
            <w:tcW w:w="84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95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1,583,896,602.32</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2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合计</w:t>
            </w:r>
          </w:p>
        </w:tc>
        <w:tc>
          <w:tcPr>
            <w:tcW w:w="158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1,991,953,075.03</w:t>
            </w:r>
          </w:p>
        </w:tc>
        <w:tc>
          <w:tcPr>
            <w:tcW w:w="84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100.00</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1,487,237,791.07</w:t>
            </w:r>
          </w:p>
        </w:tc>
        <w:tc>
          <w:tcPr>
            <w:tcW w:w="95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24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504,715,283.96</w:t>
            </w:r>
          </w:p>
        </w:tc>
        <w:tc>
          <w:tcPr>
            <w:tcW w:w="143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3,115,222,604.95</w:t>
            </w:r>
          </w:p>
        </w:tc>
        <w:tc>
          <w:tcPr>
            <w:tcW w:w="84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100.00</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1,493,857,689.47</w:t>
            </w:r>
          </w:p>
        </w:tc>
        <w:tc>
          <w:tcPr>
            <w:tcW w:w="95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1,621,364,915.48</w:t>
            </w:r>
          </w:p>
        </w:tc>
      </w:tr>
    </w:tbl>
    <w:p>
      <w:pPr>
        <w:pStyle w:val="35"/>
        <w:rPr>
          <w:color w:val="auto"/>
          <w:highlight w:val="none"/>
        </w:rPr>
      </w:pPr>
      <w:r>
        <w:rPr>
          <w:color w:val="auto"/>
          <w:highlight w:val="none"/>
          <w:shd w:val="clear" w:color="auto" w:fill="CCFFFF"/>
        </w:rPr>
        <w:fldChar w:fldCharType="end"/>
      </w:r>
    </w:p>
    <w:p>
      <w:pPr>
        <w:pStyle w:val="35"/>
        <w:rPr>
          <w:color w:val="auto"/>
          <w:highlight w:val="none"/>
        </w:rPr>
      </w:pPr>
    </w:p>
    <w:p>
      <w:pPr>
        <w:pStyle w:val="38"/>
        <w:rPr>
          <w:rFonts w:eastAsiaTheme="minorEastAsia"/>
          <w:b/>
          <w:color w:val="auto"/>
          <w:highlight w:val="none"/>
        </w:rPr>
        <w:sectPr>
          <w:pgSz w:w="16839" w:h="11907" w:orient="landscape"/>
          <w:pgMar w:top="1797" w:right="1440" w:bottom="1797" w:left="1440" w:header="794" w:footer="992" w:gutter="0"/>
          <w:cols w:space="425" w:num="1"/>
          <w:docGrid w:linePitch="312" w:charSpace="0"/>
        </w:sectPr>
      </w:pPr>
    </w:p>
    <w:p>
      <w:pPr>
        <w:pStyle w:val="35"/>
        <w:rPr>
          <w:b/>
          <w:color w:val="auto"/>
          <w:highlight w:val="none"/>
        </w:rPr>
      </w:pPr>
      <w:r>
        <w:rPr>
          <w:rFonts w:hint="eastAsia"/>
          <w:b/>
          <w:bCs/>
          <w:color w:val="auto"/>
          <w:highlight w:val="none"/>
        </w:rPr>
        <w:t>单项计提坏账准备的其他应收款项情况</w:t>
      </w:r>
    </w:p>
    <w:p>
      <w:pPr>
        <w:pStyle w:val="35"/>
        <w:rPr>
          <w:rFonts w:asciiTheme="minorHAnsi" w:hAnsiTheme="minorHAnsi" w:eastAsiaTheme="minorEastAsia" w:cstheme="minorBidi"/>
          <w:color w:val="auto"/>
          <w:highlight w:val="none"/>
        </w:rPr>
      </w:pPr>
      <w:r>
        <w:rPr>
          <w:b/>
          <w:color w:val="auto"/>
          <w:highlight w:val="none"/>
        </w:rPr>
        <w:fldChar w:fldCharType="begin"/>
      </w:r>
      <w:r>
        <w:rPr>
          <w:b/>
          <w:color w:val="auto"/>
          <w:highlight w:val="none"/>
        </w:rPr>
        <w:instrText xml:space="preserve"> LINK Excel.Sheet.12 "D:\\work\\20190430V3\\StandardTemplateTool\\template\\SASAC\\Frame\\202112\\SASACFinancialReports.xlsx" "其他应收款!其他应收款2" \f 4 \h \* MERGEFORMAT </w:instrText>
      </w:r>
      <w:r>
        <w:rPr>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2676"/>
        <w:gridCol w:w="1437"/>
        <w:gridCol w:w="1654"/>
        <w:gridCol w:w="1034"/>
        <w:gridCol w:w="1387"/>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2676"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债务人名称</w:t>
            </w:r>
          </w:p>
        </w:tc>
        <w:tc>
          <w:tcPr>
            <w:tcW w:w="5512" w:type="dxa"/>
            <w:gridSpan w:val="4"/>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期末数</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2676"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437"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账面余额</w:t>
            </w:r>
          </w:p>
        </w:tc>
        <w:tc>
          <w:tcPr>
            <w:tcW w:w="1654"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坏账准备</w:t>
            </w:r>
          </w:p>
        </w:tc>
        <w:tc>
          <w:tcPr>
            <w:tcW w:w="1034"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预期信用损失率（%）</w:t>
            </w:r>
          </w:p>
        </w:tc>
        <w:tc>
          <w:tcPr>
            <w:tcW w:w="1387"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计提理由</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7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贵州泰元能源有限责任公司</w:t>
            </w:r>
          </w:p>
        </w:tc>
        <w:tc>
          <w:tcPr>
            <w:tcW w:w="143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984,552,540.17</w:t>
            </w:r>
          </w:p>
        </w:tc>
        <w:tc>
          <w:tcPr>
            <w:tcW w:w="165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983,125,484.48</w:t>
            </w:r>
          </w:p>
        </w:tc>
        <w:tc>
          <w:tcPr>
            <w:tcW w:w="103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99.86</w:t>
            </w:r>
          </w:p>
        </w:tc>
        <w:tc>
          <w:tcPr>
            <w:tcW w:w="1387"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预计无法收回</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7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贵州钟山野马寨热电有限责任公司</w:t>
            </w:r>
          </w:p>
        </w:tc>
        <w:tc>
          <w:tcPr>
            <w:tcW w:w="143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321,610,794.00</w:t>
            </w:r>
          </w:p>
        </w:tc>
        <w:tc>
          <w:tcPr>
            <w:tcW w:w="165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321,610,794.00</w:t>
            </w:r>
          </w:p>
        </w:tc>
        <w:tc>
          <w:tcPr>
            <w:tcW w:w="103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100.00</w:t>
            </w:r>
          </w:p>
        </w:tc>
        <w:tc>
          <w:tcPr>
            <w:tcW w:w="1387"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预计无法收回</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7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宁夏红墩子煤业有限公司</w:t>
            </w:r>
          </w:p>
        </w:tc>
        <w:tc>
          <w:tcPr>
            <w:tcW w:w="143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43,948,150.24</w:t>
            </w:r>
          </w:p>
        </w:tc>
        <w:tc>
          <w:tcPr>
            <w:tcW w:w="165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43,947,200.00</w:t>
            </w:r>
          </w:p>
        </w:tc>
        <w:tc>
          <w:tcPr>
            <w:tcW w:w="103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100.00</w:t>
            </w:r>
          </w:p>
        </w:tc>
        <w:tc>
          <w:tcPr>
            <w:tcW w:w="1387"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预计无法收回</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7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贵州水城矿业（集团）有限责任公司</w:t>
            </w:r>
          </w:p>
        </w:tc>
        <w:tc>
          <w:tcPr>
            <w:tcW w:w="143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40,000,000.00</w:t>
            </w:r>
          </w:p>
        </w:tc>
        <w:tc>
          <w:tcPr>
            <w:tcW w:w="165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40,000,000.00</w:t>
            </w:r>
          </w:p>
        </w:tc>
        <w:tc>
          <w:tcPr>
            <w:tcW w:w="103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100.00</w:t>
            </w:r>
          </w:p>
        </w:tc>
        <w:tc>
          <w:tcPr>
            <w:tcW w:w="1387"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预计无法收回</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7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贵州惠水经济开发区管理委员会</w:t>
            </w:r>
          </w:p>
        </w:tc>
        <w:tc>
          <w:tcPr>
            <w:tcW w:w="143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30,642,997.00</w:t>
            </w:r>
          </w:p>
        </w:tc>
        <w:tc>
          <w:tcPr>
            <w:tcW w:w="165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30,642,997.00</w:t>
            </w:r>
          </w:p>
        </w:tc>
        <w:tc>
          <w:tcPr>
            <w:tcW w:w="103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100.00</w:t>
            </w:r>
          </w:p>
        </w:tc>
        <w:tc>
          <w:tcPr>
            <w:tcW w:w="1387"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预计无法收回</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7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清镇市土地矿产资源储备中心</w:t>
            </w:r>
          </w:p>
        </w:tc>
        <w:tc>
          <w:tcPr>
            <w:tcW w:w="143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18,283,400.00</w:t>
            </w:r>
          </w:p>
        </w:tc>
        <w:tc>
          <w:tcPr>
            <w:tcW w:w="165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18,283,400.00</w:t>
            </w:r>
          </w:p>
        </w:tc>
        <w:tc>
          <w:tcPr>
            <w:tcW w:w="103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100.00</w:t>
            </w:r>
          </w:p>
        </w:tc>
        <w:tc>
          <w:tcPr>
            <w:tcW w:w="1387"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预计无法收回</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7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玉屏县侗族自治县工业和商务局</w:t>
            </w:r>
          </w:p>
        </w:tc>
        <w:tc>
          <w:tcPr>
            <w:tcW w:w="143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10,155,535.18</w:t>
            </w:r>
          </w:p>
        </w:tc>
        <w:tc>
          <w:tcPr>
            <w:tcW w:w="165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10,155,535.18</w:t>
            </w:r>
          </w:p>
        </w:tc>
        <w:tc>
          <w:tcPr>
            <w:tcW w:w="103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100.00</w:t>
            </w:r>
          </w:p>
        </w:tc>
        <w:tc>
          <w:tcPr>
            <w:tcW w:w="1387"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预计无法收回</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7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北京三和兴源贸易有限公司</w:t>
            </w:r>
          </w:p>
        </w:tc>
        <w:tc>
          <w:tcPr>
            <w:tcW w:w="143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10,000,000.00</w:t>
            </w:r>
          </w:p>
        </w:tc>
        <w:tc>
          <w:tcPr>
            <w:tcW w:w="165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10,000,000.00</w:t>
            </w:r>
          </w:p>
        </w:tc>
        <w:tc>
          <w:tcPr>
            <w:tcW w:w="103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100.00</w:t>
            </w:r>
          </w:p>
        </w:tc>
        <w:tc>
          <w:tcPr>
            <w:tcW w:w="1387"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预计无法收回</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7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太原市尖草坪区兴金物资供应站</w:t>
            </w:r>
          </w:p>
        </w:tc>
        <w:tc>
          <w:tcPr>
            <w:tcW w:w="143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7,798,017.70</w:t>
            </w:r>
          </w:p>
        </w:tc>
        <w:tc>
          <w:tcPr>
            <w:tcW w:w="165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7,798,017.70</w:t>
            </w:r>
          </w:p>
        </w:tc>
        <w:tc>
          <w:tcPr>
            <w:tcW w:w="103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100.00</w:t>
            </w:r>
          </w:p>
        </w:tc>
        <w:tc>
          <w:tcPr>
            <w:tcW w:w="1387"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预计无法收回</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7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贵州隆盛兴铁合金有限公司</w:t>
            </w:r>
          </w:p>
        </w:tc>
        <w:tc>
          <w:tcPr>
            <w:tcW w:w="143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7,255,826.84</w:t>
            </w:r>
          </w:p>
        </w:tc>
        <w:tc>
          <w:tcPr>
            <w:tcW w:w="165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7,255,826.84</w:t>
            </w:r>
          </w:p>
        </w:tc>
        <w:tc>
          <w:tcPr>
            <w:tcW w:w="103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100.00</w:t>
            </w:r>
          </w:p>
        </w:tc>
        <w:tc>
          <w:tcPr>
            <w:tcW w:w="1387"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预计无法收回</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7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椰景蓝岸小区违建业主</w:t>
            </w:r>
          </w:p>
        </w:tc>
        <w:tc>
          <w:tcPr>
            <w:tcW w:w="143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5,000,000.00</w:t>
            </w:r>
          </w:p>
        </w:tc>
        <w:tc>
          <w:tcPr>
            <w:tcW w:w="165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5,000,000.00</w:t>
            </w:r>
          </w:p>
        </w:tc>
        <w:tc>
          <w:tcPr>
            <w:tcW w:w="103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100.00</w:t>
            </w:r>
          </w:p>
        </w:tc>
        <w:tc>
          <w:tcPr>
            <w:tcW w:w="1387"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预计无法收回</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7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工伤事故赔款</w:t>
            </w:r>
          </w:p>
        </w:tc>
        <w:tc>
          <w:tcPr>
            <w:tcW w:w="143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1,898,944.85</w:t>
            </w:r>
          </w:p>
        </w:tc>
        <w:tc>
          <w:tcPr>
            <w:tcW w:w="165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1,898,944.85</w:t>
            </w:r>
          </w:p>
        </w:tc>
        <w:tc>
          <w:tcPr>
            <w:tcW w:w="103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100.00</w:t>
            </w:r>
          </w:p>
        </w:tc>
        <w:tc>
          <w:tcPr>
            <w:tcW w:w="1387"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预计无法收回</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7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山西省运城安瑞节能风机有限公司</w:t>
            </w:r>
          </w:p>
        </w:tc>
        <w:tc>
          <w:tcPr>
            <w:tcW w:w="143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1,074,000.00</w:t>
            </w:r>
          </w:p>
        </w:tc>
        <w:tc>
          <w:tcPr>
            <w:tcW w:w="165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1,074,000.00</w:t>
            </w:r>
          </w:p>
        </w:tc>
        <w:tc>
          <w:tcPr>
            <w:tcW w:w="103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100.00</w:t>
            </w:r>
          </w:p>
        </w:tc>
        <w:tc>
          <w:tcPr>
            <w:tcW w:w="1387"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预计无法收回</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7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小额汇总</w:t>
            </w:r>
          </w:p>
        </w:tc>
        <w:tc>
          <w:tcPr>
            <w:tcW w:w="143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2,096,949.91</w:t>
            </w:r>
          </w:p>
        </w:tc>
        <w:tc>
          <w:tcPr>
            <w:tcW w:w="165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2,096,949.91</w:t>
            </w:r>
          </w:p>
        </w:tc>
        <w:tc>
          <w:tcPr>
            <w:tcW w:w="103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100.00</w:t>
            </w:r>
          </w:p>
        </w:tc>
        <w:tc>
          <w:tcPr>
            <w:tcW w:w="1387"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预计无法收回</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76"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合计</w:t>
            </w:r>
          </w:p>
        </w:tc>
        <w:tc>
          <w:tcPr>
            <w:tcW w:w="143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1,484,317,155.89</w:t>
            </w:r>
          </w:p>
        </w:tc>
        <w:tc>
          <w:tcPr>
            <w:tcW w:w="165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1,482,889,149.96</w:t>
            </w:r>
          </w:p>
        </w:tc>
        <w:tc>
          <w:tcPr>
            <w:tcW w:w="103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1387"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r>
    </w:tbl>
    <w:p>
      <w:pPr>
        <w:pStyle w:val="35"/>
        <w:rPr>
          <w:rFonts w:eastAsiaTheme="minorEastAsia"/>
          <w:color w:val="auto"/>
          <w:highlight w:val="none"/>
        </w:rPr>
      </w:pPr>
      <w:r>
        <w:rPr>
          <w:b/>
          <w:color w:val="auto"/>
          <w:highlight w:val="none"/>
        </w:rPr>
        <w:fldChar w:fldCharType="end"/>
      </w:r>
    </w:p>
    <w:p>
      <w:pPr>
        <w:pStyle w:val="35"/>
        <w:rPr>
          <w:b/>
          <w:color w:val="auto"/>
          <w:highlight w:val="none"/>
        </w:rPr>
      </w:pPr>
      <w:r>
        <w:rPr>
          <w:rFonts w:hint="eastAsia"/>
          <w:b/>
          <w:bCs/>
          <w:color w:val="auto"/>
          <w:highlight w:val="none"/>
        </w:rPr>
        <w:t>按信用风险特征组合计提坏账准备的其他应收款项</w:t>
      </w:r>
    </w:p>
    <w:p>
      <w:pPr>
        <w:pStyle w:val="35"/>
        <w:rPr>
          <w:color w:val="auto"/>
          <w:highlight w:val="none"/>
        </w:rPr>
      </w:pPr>
      <w:r>
        <w:rPr>
          <w:rFonts w:hint="eastAsia"/>
          <w:color w:val="auto"/>
          <w:highlight w:val="none"/>
        </w:rPr>
        <w:t>①账龄组合</w:t>
      </w:r>
    </w:p>
    <w:p>
      <w:pPr>
        <w:pStyle w:val="35"/>
        <w:rPr>
          <w:rFonts w:eastAsiaTheme="minorEastAsia"/>
          <w:color w:val="auto"/>
          <w:szCs w:val="22"/>
          <w:highlight w:val="none"/>
        </w:rPr>
      </w:pPr>
      <w:r>
        <w:rPr>
          <w:rFonts w:eastAsiaTheme="minorEastAsia"/>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!其他应收款4 \f 4 \h \* MERGEFORMAT </w:instrText>
      </w:r>
      <w:r>
        <w:rPr>
          <w:rFonts w:eastAsiaTheme="minorEastAsia"/>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1084"/>
        <w:gridCol w:w="1345"/>
        <w:gridCol w:w="869"/>
        <w:gridCol w:w="1316"/>
        <w:gridCol w:w="1345"/>
        <w:gridCol w:w="869"/>
        <w:gridCol w:w="1360"/>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084"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账龄</w:t>
            </w:r>
          </w:p>
        </w:tc>
        <w:tc>
          <w:tcPr>
            <w:tcW w:w="3530" w:type="dxa"/>
            <w:gridSpan w:val="3"/>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期末数</w:t>
            </w:r>
          </w:p>
        </w:tc>
        <w:tc>
          <w:tcPr>
            <w:tcW w:w="3574" w:type="dxa"/>
            <w:gridSpan w:val="3"/>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期初数</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084"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2214"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账面余额</w:t>
            </w:r>
          </w:p>
        </w:tc>
        <w:tc>
          <w:tcPr>
            <w:tcW w:w="1316"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坏账准备</w:t>
            </w:r>
          </w:p>
        </w:tc>
        <w:tc>
          <w:tcPr>
            <w:tcW w:w="2214"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账面余额</w:t>
            </w:r>
          </w:p>
        </w:tc>
        <w:tc>
          <w:tcPr>
            <w:tcW w:w="1360"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坏账准备</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084"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34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金额</w:t>
            </w:r>
          </w:p>
        </w:tc>
        <w:tc>
          <w:tcPr>
            <w:tcW w:w="869"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比例（%）</w:t>
            </w:r>
          </w:p>
        </w:tc>
        <w:tc>
          <w:tcPr>
            <w:tcW w:w="1316"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34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金额</w:t>
            </w:r>
          </w:p>
        </w:tc>
        <w:tc>
          <w:tcPr>
            <w:tcW w:w="869"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比例（%）</w:t>
            </w:r>
          </w:p>
        </w:tc>
        <w:tc>
          <w:tcPr>
            <w:tcW w:w="1360"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08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1年以内（含1年）</w:t>
            </w:r>
          </w:p>
        </w:tc>
        <w:tc>
          <w:tcPr>
            <w:tcW w:w="13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16,864,832.46</w:t>
            </w:r>
          </w:p>
        </w:tc>
        <w:tc>
          <w:tcPr>
            <w:tcW w:w="86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68.86</w:t>
            </w:r>
          </w:p>
        </w:tc>
        <w:tc>
          <w:tcPr>
            <w:tcW w:w="13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1,967,769.35</w:t>
            </w:r>
          </w:p>
        </w:tc>
        <w:tc>
          <w:tcPr>
            <w:tcW w:w="13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30,476,543.35</w:t>
            </w:r>
          </w:p>
        </w:tc>
        <w:tc>
          <w:tcPr>
            <w:tcW w:w="86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88.61</w:t>
            </w:r>
          </w:p>
        </w:tc>
        <w:tc>
          <w:tcPr>
            <w:tcW w:w="136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2,308,111.50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08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1至2年</w:t>
            </w:r>
          </w:p>
        </w:tc>
        <w:tc>
          <w:tcPr>
            <w:tcW w:w="13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4,308,432.38</w:t>
            </w:r>
          </w:p>
        </w:tc>
        <w:tc>
          <w:tcPr>
            <w:tcW w:w="86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17.59</w:t>
            </w:r>
          </w:p>
        </w:tc>
        <w:tc>
          <w:tcPr>
            <w:tcW w:w="13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776,466.05</w:t>
            </w:r>
          </w:p>
        </w:tc>
        <w:tc>
          <w:tcPr>
            <w:tcW w:w="13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1,731,946.45</w:t>
            </w:r>
          </w:p>
        </w:tc>
        <w:tc>
          <w:tcPr>
            <w:tcW w:w="86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5.04</w:t>
            </w:r>
          </w:p>
        </w:tc>
        <w:tc>
          <w:tcPr>
            <w:tcW w:w="136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519,583.93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08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2至3年</w:t>
            </w:r>
          </w:p>
        </w:tc>
        <w:tc>
          <w:tcPr>
            <w:tcW w:w="13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1,531,946.45</w:t>
            </w:r>
          </w:p>
        </w:tc>
        <w:tc>
          <w:tcPr>
            <w:tcW w:w="86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6.26</w:t>
            </w:r>
          </w:p>
        </w:tc>
        <w:tc>
          <w:tcPr>
            <w:tcW w:w="13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394,175.58</w:t>
            </w:r>
          </w:p>
        </w:tc>
        <w:tc>
          <w:tcPr>
            <w:tcW w:w="13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2,185,616.43</w:t>
            </w:r>
          </w:p>
        </w:tc>
        <w:tc>
          <w:tcPr>
            <w:tcW w:w="86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6.35</w:t>
            </w:r>
          </w:p>
        </w:tc>
        <w:tc>
          <w:tcPr>
            <w:tcW w:w="136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1,532,271.22</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08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3年以上</w:t>
            </w:r>
          </w:p>
        </w:tc>
        <w:tc>
          <w:tcPr>
            <w:tcW w:w="13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1,785,616.43</w:t>
            </w:r>
          </w:p>
        </w:tc>
        <w:tc>
          <w:tcPr>
            <w:tcW w:w="86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7.29</w:t>
            </w:r>
          </w:p>
        </w:tc>
        <w:tc>
          <w:tcPr>
            <w:tcW w:w="13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1,210,230.13</w:t>
            </w:r>
          </w:p>
        </w:tc>
        <w:tc>
          <w:tcPr>
            <w:tcW w:w="13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86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6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084"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13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24,490,827.72</w:t>
            </w:r>
          </w:p>
        </w:tc>
        <w:tc>
          <w:tcPr>
            <w:tcW w:w="86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100.00</w:t>
            </w:r>
          </w:p>
        </w:tc>
        <w:tc>
          <w:tcPr>
            <w:tcW w:w="13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4,348,641.11</w:t>
            </w:r>
          </w:p>
        </w:tc>
        <w:tc>
          <w:tcPr>
            <w:tcW w:w="13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34,394,106.23</w:t>
            </w:r>
          </w:p>
        </w:tc>
        <w:tc>
          <w:tcPr>
            <w:tcW w:w="86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100.00</w:t>
            </w:r>
          </w:p>
        </w:tc>
        <w:tc>
          <w:tcPr>
            <w:tcW w:w="136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4,359,966.65</w:t>
            </w:r>
          </w:p>
        </w:tc>
      </w:tr>
    </w:tbl>
    <w:p>
      <w:pPr>
        <w:pStyle w:val="35"/>
        <w:rPr>
          <w:rFonts w:eastAsiaTheme="minorEastAsia"/>
          <w:color w:val="auto"/>
          <w:highlight w:val="none"/>
        </w:rPr>
      </w:pPr>
      <w:r>
        <w:rPr>
          <w:rFonts w:eastAsiaTheme="minorEastAsia"/>
          <w:color w:val="auto"/>
          <w:highlight w:val="none"/>
        </w:rPr>
        <w:fldChar w:fldCharType="end"/>
      </w:r>
    </w:p>
    <w:p>
      <w:pPr>
        <w:rPr>
          <w:rFonts w:ascii="Times New Roman" w:hAnsi="Times New Roman" w:cs="Times New Roman"/>
          <w:color w:val="auto"/>
          <w:highlight w:val="none"/>
        </w:rPr>
      </w:pPr>
      <w:r>
        <w:rPr>
          <w:color w:val="auto"/>
          <w:highlight w:val="none"/>
        </w:rPr>
        <w:br w:type="page"/>
      </w:r>
    </w:p>
    <w:p>
      <w:pPr>
        <w:pStyle w:val="35"/>
        <w:rPr>
          <w:color w:val="auto"/>
          <w:highlight w:val="none"/>
        </w:rPr>
      </w:pPr>
      <w:r>
        <w:rPr>
          <w:rFonts w:hint="eastAsia"/>
          <w:color w:val="auto"/>
          <w:highlight w:val="none"/>
        </w:rPr>
        <w:t>②采用余额百分比法或其他组合方法计提坏账准备的其他应收款项</w:t>
      </w:r>
    </w:p>
    <w:p>
      <w:pPr>
        <w:pStyle w:val="35"/>
        <w:rPr>
          <w:rFonts w:eastAsiaTheme="minorEastAsia"/>
          <w:color w:val="auto"/>
          <w:szCs w:val="22"/>
          <w:highlight w:val="none"/>
        </w:rPr>
      </w:pPr>
      <w:r>
        <w:rPr>
          <w:rFonts w:eastAsiaTheme="minorEastAsia"/>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!其他应收款5 \f 4 \h \* MERGEFORMAT </w:instrText>
      </w:r>
      <w:r>
        <w:rPr>
          <w:rFonts w:eastAsiaTheme="minorEastAsia"/>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1022"/>
        <w:gridCol w:w="1442"/>
        <w:gridCol w:w="887"/>
        <w:gridCol w:w="1139"/>
        <w:gridCol w:w="1587"/>
        <w:gridCol w:w="887"/>
        <w:gridCol w:w="1224"/>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022"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组合名称</w:t>
            </w:r>
          </w:p>
        </w:tc>
        <w:tc>
          <w:tcPr>
            <w:tcW w:w="3468" w:type="dxa"/>
            <w:gridSpan w:val="3"/>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期末数</w:t>
            </w:r>
          </w:p>
        </w:tc>
        <w:tc>
          <w:tcPr>
            <w:tcW w:w="3698" w:type="dxa"/>
            <w:gridSpan w:val="3"/>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期初数</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022"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442"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账面余额</w:t>
            </w:r>
          </w:p>
        </w:tc>
        <w:tc>
          <w:tcPr>
            <w:tcW w:w="88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计提比例（%）</w:t>
            </w:r>
          </w:p>
        </w:tc>
        <w:tc>
          <w:tcPr>
            <w:tcW w:w="1139"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坏账准备</w:t>
            </w:r>
          </w:p>
        </w:tc>
        <w:tc>
          <w:tcPr>
            <w:tcW w:w="158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账面余额</w:t>
            </w:r>
          </w:p>
        </w:tc>
        <w:tc>
          <w:tcPr>
            <w:tcW w:w="88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计提比例（%）</w:t>
            </w:r>
          </w:p>
        </w:tc>
        <w:tc>
          <w:tcPr>
            <w:tcW w:w="1224"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坏账准备</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02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低风险组合</w:t>
            </w:r>
          </w:p>
        </w:tc>
        <w:tc>
          <w:tcPr>
            <w:tcW w:w="144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483,145,091.42</w:t>
            </w:r>
          </w:p>
        </w:tc>
        <w:tc>
          <w:tcPr>
            <w:tcW w:w="8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3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1,583,896,602.32</w:t>
            </w:r>
          </w:p>
        </w:tc>
        <w:tc>
          <w:tcPr>
            <w:tcW w:w="8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22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022"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144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483,145,091.42</w:t>
            </w:r>
          </w:p>
        </w:tc>
        <w:tc>
          <w:tcPr>
            <w:tcW w:w="8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3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1,583,896,602.32</w:t>
            </w:r>
          </w:p>
        </w:tc>
        <w:tc>
          <w:tcPr>
            <w:tcW w:w="8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22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bl>
    <w:p>
      <w:pPr>
        <w:pStyle w:val="35"/>
        <w:rPr>
          <w:rFonts w:eastAsiaTheme="minorEastAsia"/>
          <w:color w:val="auto"/>
          <w:highlight w:val="none"/>
        </w:rPr>
      </w:pPr>
      <w:r>
        <w:rPr>
          <w:rFonts w:eastAsiaTheme="minorEastAsia"/>
          <w:color w:val="auto"/>
          <w:highlight w:val="none"/>
        </w:rPr>
        <w:fldChar w:fldCharType="end"/>
      </w:r>
    </w:p>
    <w:p>
      <w:pPr>
        <w:pStyle w:val="35"/>
        <w:rPr>
          <w:b/>
          <w:bCs/>
          <w:color w:val="auto"/>
          <w:highlight w:val="none"/>
        </w:rPr>
      </w:pPr>
      <w:r>
        <w:rPr>
          <w:rFonts w:hint="eastAsia"/>
          <w:b/>
          <w:bCs/>
          <w:color w:val="auto"/>
          <w:highlight w:val="none"/>
        </w:rPr>
        <w:t>（</w:t>
      </w:r>
      <w:r>
        <w:rPr>
          <w:b/>
          <w:bCs/>
          <w:color w:val="auto"/>
          <w:highlight w:val="none"/>
        </w:rPr>
        <w:t>3</w:t>
      </w:r>
      <w:r>
        <w:rPr>
          <w:rFonts w:hint="eastAsia"/>
          <w:b/>
          <w:bCs/>
          <w:color w:val="auto"/>
          <w:highlight w:val="none"/>
        </w:rPr>
        <w:t>）其他应收款项坏账准备计提情况</w:t>
      </w:r>
    </w:p>
    <w:p>
      <w:pPr>
        <w:pStyle w:val="35"/>
        <w:rPr>
          <w:rFonts w:asciiTheme="minorHAnsi" w:hAnsiTheme="minorHAnsi" w:eastAsiaTheme="minorEastAsia" w:cstheme="minorBidi"/>
          <w:color w:val="auto"/>
          <w:highlight w:val="none"/>
        </w:rPr>
      </w:pPr>
      <w:r>
        <w:rPr>
          <w:rFonts w:eastAsiaTheme="minorEastAsia"/>
          <w:color w:val="auto"/>
          <w:highlight w:val="none"/>
        </w:rPr>
        <w:fldChar w:fldCharType="begin"/>
      </w:r>
      <w:r>
        <w:rPr>
          <w:rFonts w:eastAsiaTheme="minorEastAsia"/>
          <w:color w:val="auto"/>
          <w:highlight w:val="none"/>
        </w:rPr>
        <w:instrText xml:space="preserve"> LINK Excel.Sheet.12 "D:\\work\\20190430V3\\StandardTemplateTool\\template\\SASAC\\Frame\\202112\\SASACFinancialReports.xlsx" "其他应收款!其他应收款6" \f 4 \h \* MERGEFORMAT </w:instrText>
      </w:r>
      <w:r>
        <w:rPr>
          <w:rFonts w:eastAsiaTheme="minorEastAsia"/>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1612"/>
        <w:gridCol w:w="1669"/>
        <w:gridCol w:w="1634"/>
        <w:gridCol w:w="1686"/>
        <w:gridCol w:w="1587"/>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612"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坏账准备</w:t>
            </w:r>
          </w:p>
        </w:tc>
        <w:tc>
          <w:tcPr>
            <w:tcW w:w="1669"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第一阶段</w:t>
            </w:r>
          </w:p>
        </w:tc>
        <w:tc>
          <w:tcPr>
            <w:tcW w:w="1634"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第二阶段</w:t>
            </w:r>
          </w:p>
        </w:tc>
        <w:tc>
          <w:tcPr>
            <w:tcW w:w="1686"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第三阶段</w:t>
            </w:r>
          </w:p>
        </w:tc>
        <w:tc>
          <w:tcPr>
            <w:tcW w:w="1587"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612"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669"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未来12个月预期信用损失</w:t>
            </w:r>
          </w:p>
        </w:tc>
        <w:tc>
          <w:tcPr>
            <w:tcW w:w="1634"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整个存续期预期信用损失(未发生信用减值)</w:t>
            </w:r>
          </w:p>
        </w:tc>
        <w:tc>
          <w:tcPr>
            <w:tcW w:w="1686"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整个存续期预期信用损失(已发生信用减值)</w:t>
            </w:r>
          </w:p>
        </w:tc>
        <w:tc>
          <w:tcPr>
            <w:tcW w:w="1587"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1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w:t>
            </w:r>
          </w:p>
        </w:tc>
        <w:tc>
          <w:tcPr>
            <w:tcW w:w="166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4,200,552.64</w:t>
            </w:r>
          </w:p>
        </w:tc>
        <w:tc>
          <w:tcPr>
            <w:tcW w:w="163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8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1,489,657,136.83</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1,493,857,689.47</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1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期初余额在本期</w:t>
            </w:r>
          </w:p>
        </w:tc>
        <w:tc>
          <w:tcPr>
            <w:tcW w:w="166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3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8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1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--转入第二阶段</w:t>
            </w:r>
          </w:p>
        </w:tc>
        <w:tc>
          <w:tcPr>
            <w:tcW w:w="166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3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8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1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--转入第三阶段</w:t>
            </w:r>
          </w:p>
        </w:tc>
        <w:tc>
          <w:tcPr>
            <w:tcW w:w="166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3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8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1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--转回第二阶段</w:t>
            </w:r>
          </w:p>
        </w:tc>
        <w:tc>
          <w:tcPr>
            <w:tcW w:w="166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3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8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1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--转回第一阶段</w:t>
            </w:r>
          </w:p>
        </w:tc>
        <w:tc>
          <w:tcPr>
            <w:tcW w:w="166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3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8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1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本期计提</w:t>
            </w:r>
          </w:p>
        </w:tc>
        <w:tc>
          <w:tcPr>
            <w:tcW w:w="166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397,921.04</w:t>
            </w:r>
          </w:p>
        </w:tc>
        <w:tc>
          <w:tcPr>
            <w:tcW w:w="163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8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435,929.39</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833,850.43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1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本期转回</w:t>
            </w:r>
          </w:p>
        </w:tc>
        <w:tc>
          <w:tcPr>
            <w:tcW w:w="166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3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8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1,500,000.00</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1,500,000.00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1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本期转销</w:t>
            </w:r>
          </w:p>
        </w:tc>
        <w:tc>
          <w:tcPr>
            <w:tcW w:w="166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3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8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1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本期核销</w:t>
            </w:r>
          </w:p>
        </w:tc>
        <w:tc>
          <w:tcPr>
            <w:tcW w:w="166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3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8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92,555.07</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92,555.07</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1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其他变动</w:t>
            </w:r>
          </w:p>
        </w:tc>
        <w:tc>
          <w:tcPr>
            <w:tcW w:w="166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409,246.57</w:t>
            </w:r>
          </w:p>
        </w:tc>
        <w:tc>
          <w:tcPr>
            <w:tcW w:w="163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8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5,451,947.18</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5,861,193.75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1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c>
          <w:tcPr>
            <w:tcW w:w="166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4,189,227.11</w:t>
            </w:r>
          </w:p>
        </w:tc>
        <w:tc>
          <w:tcPr>
            <w:tcW w:w="163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8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1,483,048,563.96</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1,487,237,791.07</w:t>
            </w:r>
          </w:p>
        </w:tc>
      </w:tr>
    </w:tbl>
    <w:p>
      <w:pPr>
        <w:pStyle w:val="35"/>
        <w:rPr>
          <w:rFonts w:eastAsiaTheme="minorEastAsia"/>
          <w:color w:val="auto"/>
          <w:highlight w:val="none"/>
        </w:rPr>
      </w:pPr>
      <w:r>
        <w:rPr>
          <w:rFonts w:eastAsiaTheme="minorEastAsia"/>
          <w:color w:val="auto"/>
          <w:highlight w:val="none"/>
        </w:rPr>
        <w:fldChar w:fldCharType="end"/>
      </w:r>
    </w:p>
    <w:p>
      <w:pPr>
        <w:pStyle w:val="35"/>
        <w:rPr>
          <w:b/>
          <w:color w:val="auto"/>
          <w:szCs w:val="22"/>
          <w:highlight w:val="none"/>
        </w:rPr>
      </w:pPr>
      <w:r>
        <w:rPr>
          <w:rFonts w:hint="eastAsia"/>
          <w:b/>
          <w:color w:val="auto"/>
          <w:highlight w:val="none"/>
        </w:rPr>
        <w:t>（</w:t>
      </w:r>
      <w:r>
        <w:rPr>
          <w:b/>
          <w:color w:val="auto"/>
          <w:highlight w:val="none"/>
        </w:rPr>
        <w:t>4</w:t>
      </w:r>
      <w:r>
        <w:rPr>
          <w:rFonts w:hint="eastAsia"/>
          <w:b/>
          <w:color w:val="auto"/>
          <w:highlight w:val="none"/>
        </w:rPr>
        <w:t>）</w:t>
      </w:r>
      <w:r>
        <w:rPr>
          <w:b/>
          <w:color w:val="auto"/>
          <w:highlight w:val="none"/>
        </w:rPr>
        <w:t>收回或转回的坏账准备情况</w:t>
      </w:r>
    </w:p>
    <w:p>
      <w:pPr>
        <w:pStyle w:val="35"/>
        <w:rPr>
          <w:rFonts w:eastAsiaTheme="minorEastAsia"/>
          <w:b/>
          <w:bCs/>
          <w:color w:val="auto"/>
          <w:szCs w:val="22"/>
          <w:highlight w:val="none"/>
        </w:rPr>
      </w:pPr>
      <w:r>
        <w:rPr>
          <w:rFonts w:eastAsiaTheme="minorEastAsia"/>
          <w:color w:val="auto"/>
          <w:szCs w:val="24"/>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!其他应收款8 \f 4 \h \* MERGEFORMAT </w:instrText>
      </w:r>
      <w:r>
        <w:rPr>
          <w:rFonts w:eastAsiaTheme="minorEastAsia"/>
          <w:color w:val="auto"/>
          <w:szCs w:val="24"/>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3195"/>
        <w:gridCol w:w="1372"/>
        <w:gridCol w:w="1981"/>
        <w:gridCol w:w="1640"/>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319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债务人名称</w:t>
            </w:r>
          </w:p>
        </w:tc>
        <w:tc>
          <w:tcPr>
            <w:tcW w:w="137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转回或收回金额</w:t>
            </w:r>
          </w:p>
        </w:tc>
        <w:tc>
          <w:tcPr>
            <w:tcW w:w="1981"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转回或收回前累计已计提坏账准备金额</w:t>
            </w:r>
          </w:p>
        </w:tc>
        <w:tc>
          <w:tcPr>
            <w:tcW w:w="164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转回或收回原因、方式</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195"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贵州钟山野马寨热电有限责任公司</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1,500,000.00</w:t>
            </w:r>
          </w:p>
        </w:tc>
        <w:tc>
          <w:tcPr>
            <w:tcW w:w="198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323,110,794.00</w:t>
            </w:r>
          </w:p>
        </w:tc>
        <w:tc>
          <w:tcPr>
            <w:tcW w:w="164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款项收回</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19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合计</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1,500,000.00</w:t>
            </w:r>
          </w:p>
        </w:tc>
        <w:tc>
          <w:tcPr>
            <w:tcW w:w="198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323,110,794.00</w:t>
            </w: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bl>
    <w:p>
      <w:pPr>
        <w:pStyle w:val="35"/>
        <w:rPr>
          <w:rFonts w:eastAsiaTheme="minorEastAsia"/>
          <w:color w:val="auto"/>
          <w:highlight w:val="none"/>
        </w:rPr>
      </w:pPr>
      <w:r>
        <w:rPr>
          <w:rFonts w:eastAsiaTheme="minorEastAsia"/>
          <w:color w:val="auto"/>
          <w:highlight w:val="none"/>
        </w:rPr>
        <w:fldChar w:fldCharType="end"/>
      </w:r>
    </w:p>
    <w:p>
      <w:pPr>
        <w:pStyle w:val="35"/>
        <w:rPr>
          <w:rFonts w:eastAsiaTheme="minorEastAsia"/>
          <w:color w:val="auto"/>
          <w:highlight w:val="none"/>
        </w:rPr>
      </w:pPr>
      <w:r>
        <w:rPr>
          <w:rFonts w:eastAsiaTheme="minorEastAsia"/>
          <w:color w:val="auto"/>
          <w:highlight w:val="none"/>
        </w:rPr>
        <w:br w:type="page"/>
      </w:r>
    </w:p>
    <w:p>
      <w:pPr>
        <w:pStyle w:val="35"/>
        <w:rPr>
          <w:b/>
          <w:color w:val="auto"/>
          <w:highlight w:val="none"/>
        </w:rPr>
      </w:pPr>
      <w:r>
        <w:rPr>
          <w:rFonts w:hint="eastAsia"/>
          <w:b/>
          <w:color w:val="auto"/>
          <w:highlight w:val="none"/>
        </w:rPr>
        <w:t>（</w:t>
      </w:r>
      <w:r>
        <w:rPr>
          <w:b/>
          <w:color w:val="auto"/>
          <w:highlight w:val="none"/>
        </w:rPr>
        <w:t>5</w:t>
      </w:r>
      <w:r>
        <w:rPr>
          <w:rFonts w:hint="eastAsia"/>
          <w:b/>
          <w:color w:val="auto"/>
          <w:highlight w:val="none"/>
        </w:rPr>
        <w:t>）</w:t>
      </w:r>
      <w:r>
        <w:rPr>
          <w:b/>
          <w:color w:val="auto"/>
          <w:highlight w:val="none"/>
        </w:rPr>
        <w:t>本</w:t>
      </w:r>
      <w:r>
        <w:rPr>
          <w:rFonts w:hint="eastAsia"/>
          <w:b/>
          <w:color w:val="auto"/>
          <w:highlight w:val="none"/>
        </w:rPr>
        <w:t>报告</w:t>
      </w:r>
      <w:r>
        <w:rPr>
          <w:b/>
          <w:color w:val="auto"/>
          <w:highlight w:val="none"/>
        </w:rPr>
        <w:t>期实际核销的其他应收款</w:t>
      </w:r>
      <w:r>
        <w:rPr>
          <w:rFonts w:hint="eastAsia" w:eastAsiaTheme="minorEastAsia"/>
          <w:b/>
          <w:bCs/>
          <w:color w:val="auto"/>
          <w:highlight w:val="none"/>
        </w:rPr>
        <w:t>项</w:t>
      </w:r>
      <w:r>
        <w:rPr>
          <w:b/>
          <w:color w:val="auto"/>
          <w:highlight w:val="none"/>
        </w:rPr>
        <w:t>情况</w:t>
      </w:r>
    </w:p>
    <w:p>
      <w:pPr>
        <w:pStyle w:val="35"/>
        <w:rPr>
          <w:rFonts w:eastAsiaTheme="minorEastAsia"/>
          <w:color w:val="auto"/>
          <w:szCs w:val="22"/>
          <w:highlight w:val="none"/>
        </w:rPr>
      </w:pPr>
      <w:r>
        <w:rPr>
          <w:rFonts w:eastAsiaTheme="minorEastAsia"/>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!其他应收款9 \f 4 \h \* MERGEFORMAT </w:instrText>
      </w:r>
      <w:r>
        <w:rPr>
          <w:rFonts w:eastAsiaTheme="minorEastAsia"/>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1829"/>
        <w:gridCol w:w="1222"/>
        <w:gridCol w:w="1222"/>
        <w:gridCol w:w="1523"/>
        <w:gridCol w:w="1033"/>
        <w:gridCol w:w="1359"/>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829"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债务人名称</w:t>
            </w:r>
          </w:p>
        </w:tc>
        <w:tc>
          <w:tcPr>
            <w:tcW w:w="122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其他应收款项性质</w:t>
            </w:r>
          </w:p>
        </w:tc>
        <w:tc>
          <w:tcPr>
            <w:tcW w:w="122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核销金额</w:t>
            </w:r>
          </w:p>
        </w:tc>
        <w:tc>
          <w:tcPr>
            <w:tcW w:w="1523"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核销原因</w:t>
            </w:r>
          </w:p>
        </w:tc>
        <w:tc>
          <w:tcPr>
            <w:tcW w:w="1033"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履行的核销程序</w:t>
            </w:r>
          </w:p>
        </w:tc>
        <w:tc>
          <w:tcPr>
            <w:tcW w:w="1359"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是否因关联交易产生</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829"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广州畅租物业管理有限公司</w:t>
            </w:r>
          </w:p>
        </w:tc>
        <w:tc>
          <w:tcPr>
            <w:tcW w:w="122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应收其他保证金</w:t>
            </w:r>
          </w:p>
        </w:tc>
        <w:tc>
          <w:tcPr>
            <w:tcW w:w="122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10,400.00</w:t>
            </w:r>
          </w:p>
        </w:tc>
        <w:tc>
          <w:tcPr>
            <w:tcW w:w="152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确认无法收回已清理</w:t>
            </w:r>
          </w:p>
        </w:tc>
        <w:tc>
          <w:tcPr>
            <w:tcW w:w="103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总经理办公会批准</w:t>
            </w:r>
          </w:p>
        </w:tc>
        <w:tc>
          <w:tcPr>
            <w:tcW w:w="1359"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829"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中国太平洋保险公司</w:t>
            </w:r>
          </w:p>
        </w:tc>
        <w:tc>
          <w:tcPr>
            <w:tcW w:w="122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保险费</w:t>
            </w:r>
          </w:p>
        </w:tc>
        <w:tc>
          <w:tcPr>
            <w:tcW w:w="122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7,205.07</w:t>
            </w:r>
          </w:p>
        </w:tc>
        <w:tc>
          <w:tcPr>
            <w:tcW w:w="152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确认无法收回已清理</w:t>
            </w:r>
          </w:p>
        </w:tc>
        <w:tc>
          <w:tcPr>
            <w:tcW w:w="103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厂办会</w:t>
            </w:r>
          </w:p>
        </w:tc>
        <w:tc>
          <w:tcPr>
            <w:tcW w:w="1359"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829"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中水公司职工</w:t>
            </w:r>
          </w:p>
        </w:tc>
        <w:tc>
          <w:tcPr>
            <w:tcW w:w="122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安全质量奖金</w:t>
            </w:r>
          </w:p>
        </w:tc>
        <w:tc>
          <w:tcPr>
            <w:tcW w:w="122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73,200.00</w:t>
            </w:r>
          </w:p>
        </w:tc>
        <w:tc>
          <w:tcPr>
            <w:tcW w:w="152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确认无法收回已清理</w:t>
            </w:r>
          </w:p>
        </w:tc>
        <w:tc>
          <w:tcPr>
            <w:tcW w:w="103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厂办会</w:t>
            </w:r>
          </w:p>
        </w:tc>
        <w:tc>
          <w:tcPr>
            <w:tcW w:w="1359"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829"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罗甸县水力发电管理有限责任公司</w:t>
            </w:r>
          </w:p>
        </w:tc>
        <w:tc>
          <w:tcPr>
            <w:tcW w:w="122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往来款</w:t>
            </w:r>
          </w:p>
        </w:tc>
        <w:tc>
          <w:tcPr>
            <w:tcW w:w="122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1,750.00</w:t>
            </w:r>
          </w:p>
        </w:tc>
        <w:tc>
          <w:tcPr>
            <w:tcW w:w="152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确认无法收回已清理</w:t>
            </w:r>
          </w:p>
        </w:tc>
        <w:tc>
          <w:tcPr>
            <w:tcW w:w="103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厂办会</w:t>
            </w:r>
          </w:p>
        </w:tc>
        <w:tc>
          <w:tcPr>
            <w:tcW w:w="1359"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829"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合计</w:t>
            </w:r>
          </w:p>
        </w:tc>
        <w:tc>
          <w:tcPr>
            <w:tcW w:w="122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p>
        </w:tc>
        <w:tc>
          <w:tcPr>
            <w:tcW w:w="122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92,555.07</w:t>
            </w:r>
          </w:p>
        </w:tc>
        <w:tc>
          <w:tcPr>
            <w:tcW w:w="1523"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p>
        </w:tc>
        <w:tc>
          <w:tcPr>
            <w:tcW w:w="1033"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p>
        </w:tc>
        <w:tc>
          <w:tcPr>
            <w:tcW w:w="1359"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p>
        </w:tc>
      </w:tr>
    </w:tbl>
    <w:p>
      <w:pPr>
        <w:pStyle w:val="35"/>
        <w:rPr>
          <w:rFonts w:eastAsiaTheme="minorEastAsia"/>
          <w:color w:val="auto"/>
          <w:highlight w:val="none"/>
        </w:rPr>
      </w:pPr>
      <w:r>
        <w:rPr>
          <w:rFonts w:eastAsiaTheme="minorEastAsia"/>
          <w:color w:val="auto"/>
          <w:highlight w:val="none"/>
        </w:rPr>
        <w:fldChar w:fldCharType="end"/>
      </w:r>
    </w:p>
    <w:p>
      <w:pPr>
        <w:pStyle w:val="35"/>
        <w:rPr>
          <w:b/>
          <w:color w:val="auto"/>
          <w:highlight w:val="none"/>
        </w:rPr>
      </w:pPr>
      <w:r>
        <w:rPr>
          <w:rFonts w:hint="eastAsia"/>
          <w:b/>
          <w:color w:val="auto"/>
          <w:highlight w:val="none"/>
        </w:rPr>
        <w:t>（</w:t>
      </w:r>
      <w:r>
        <w:rPr>
          <w:b/>
          <w:color w:val="auto"/>
          <w:highlight w:val="none"/>
        </w:rPr>
        <w:t>6</w:t>
      </w:r>
      <w:r>
        <w:rPr>
          <w:rFonts w:hint="eastAsia"/>
          <w:b/>
          <w:color w:val="auto"/>
          <w:highlight w:val="none"/>
        </w:rPr>
        <w:t>）</w:t>
      </w:r>
      <w:r>
        <w:rPr>
          <w:b/>
          <w:color w:val="auto"/>
          <w:highlight w:val="none"/>
        </w:rPr>
        <w:t>按欠款方归集的期末余额前五名的其他应收款</w:t>
      </w:r>
      <w:r>
        <w:rPr>
          <w:rFonts w:hint="eastAsia" w:eastAsiaTheme="minorEastAsia"/>
          <w:b/>
          <w:bCs/>
          <w:color w:val="auto"/>
          <w:highlight w:val="none"/>
        </w:rPr>
        <w:t>项</w:t>
      </w:r>
      <w:r>
        <w:rPr>
          <w:b/>
          <w:color w:val="auto"/>
          <w:highlight w:val="none"/>
        </w:rPr>
        <w:t>情况</w:t>
      </w:r>
    </w:p>
    <w:p>
      <w:pPr>
        <w:pStyle w:val="35"/>
        <w:rPr>
          <w:rFonts w:eastAsiaTheme="minorEastAsia"/>
          <w:bCs/>
          <w:color w:val="auto"/>
          <w:szCs w:val="22"/>
          <w:highlight w:val="none"/>
        </w:rPr>
      </w:pPr>
      <w:r>
        <w:rPr>
          <w:rFonts w:eastAsiaTheme="minorEastAsia"/>
          <w:b/>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!其他应收款10 \f 4 \h \* MERGEFORMAT </w:instrText>
      </w:r>
      <w:r>
        <w:rPr>
          <w:rFonts w:eastAsiaTheme="minorEastAsia"/>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1682"/>
        <w:gridCol w:w="1228"/>
        <w:gridCol w:w="1535"/>
        <w:gridCol w:w="859"/>
        <w:gridCol w:w="1437"/>
        <w:gridCol w:w="1447"/>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68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债务人名称</w:t>
            </w:r>
          </w:p>
        </w:tc>
        <w:tc>
          <w:tcPr>
            <w:tcW w:w="1228"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款项性质</w:t>
            </w:r>
          </w:p>
        </w:tc>
        <w:tc>
          <w:tcPr>
            <w:tcW w:w="153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账面余额</w:t>
            </w:r>
          </w:p>
        </w:tc>
        <w:tc>
          <w:tcPr>
            <w:tcW w:w="859"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账龄</w:t>
            </w:r>
          </w:p>
        </w:tc>
        <w:tc>
          <w:tcPr>
            <w:tcW w:w="1437"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占其他应收款项合计的比例（%）</w:t>
            </w:r>
          </w:p>
        </w:tc>
        <w:tc>
          <w:tcPr>
            <w:tcW w:w="1447"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坏账准备</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贵州泰元能源有限责任公司</w:t>
            </w:r>
          </w:p>
        </w:tc>
        <w:tc>
          <w:tcPr>
            <w:tcW w:w="122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往来款</w:t>
            </w:r>
          </w:p>
        </w:tc>
        <w:tc>
          <w:tcPr>
            <w:tcW w:w="153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984,552,540.17</w:t>
            </w:r>
          </w:p>
        </w:tc>
        <w:tc>
          <w:tcPr>
            <w:tcW w:w="859"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1-2年</w:t>
            </w:r>
          </w:p>
        </w:tc>
        <w:tc>
          <w:tcPr>
            <w:tcW w:w="143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49.43</w:t>
            </w:r>
          </w:p>
        </w:tc>
        <w:tc>
          <w:tcPr>
            <w:tcW w:w="144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983,125,484.48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贵州钟山野马寨热电有限责任公司</w:t>
            </w:r>
          </w:p>
        </w:tc>
        <w:tc>
          <w:tcPr>
            <w:tcW w:w="122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往来款</w:t>
            </w:r>
          </w:p>
        </w:tc>
        <w:tc>
          <w:tcPr>
            <w:tcW w:w="153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321,610,794.00</w:t>
            </w:r>
          </w:p>
        </w:tc>
        <w:tc>
          <w:tcPr>
            <w:tcW w:w="859"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3年以上</w:t>
            </w:r>
          </w:p>
        </w:tc>
        <w:tc>
          <w:tcPr>
            <w:tcW w:w="143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16.15</w:t>
            </w:r>
          </w:p>
        </w:tc>
        <w:tc>
          <w:tcPr>
            <w:tcW w:w="144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321,610,794.00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上海联合产权交易所有限公司</w:t>
            </w:r>
          </w:p>
        </w:tc>
        <w:tc>
          <w:tcPr>
            <w:tcW w:w="122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资产处置款</w:t>
            </w:r>
          </w:p>
        </w:tc>
        <w:tc>
          <w:tcPr>
            <w:tcW w:w="153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253,331,400.00</w:t>
            </w:r>
          </w:p>
        </w:tc>
        <w:tc>
          <w:tcPr>
            <w:tcW w:w="859"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1年以内</w:t>
            </w:r>
          </w:p>
        </w:tc>
        <w:tc>
          <w:tcPr>
            <w:tcW w:w="143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12.72</w:t>
            </w:r>
          </w:p>
        </w:tc>
        <w:tc>
          <w:tcPr>
            <w:tcW w:w="144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金沙县能源局</w:t>
            </w:r>
          </w:p>
        </w:tc>
        <w:tc>
          <w:tcPr>
            <w:tcW w:w="122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电煤补贴</w:t>
            </w:r>
          </w:p>
        </w:tc>
        <w:tc>
          <w:tcPr>
            <w:tcW w:w="153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63,430,936.00</w:t>
            </w:r>
          </w:p>
        </w:tc>
        <w:tc>
          <w:tcPr>
            <w:tcW w:w="859"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2-3年</w:t>
            </w:r>
          </w:p>
        </w:tc>
        <w:tc>
          <w:tcPr>
            <w:tcW w:w="143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3.18</w:t>
            </w:r>
          </w:p>
        </w:tc>
        <w:tc>
          <w:tcPr>
            <w:tcW w:w="144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宁夏红墩子煤业有限公司</w:t>
            </w:r>
          </w:p>
        </w:tc>
        <w:tc>
          <w:tcPr>
            <w:tcW w:w="122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产能置换</w:t>
            </w:r>
          </w:p>
        </w:tc>
        <w:tc>
          <w:tcPr>
            <w:tcW w:w="153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43,948,150.24</w:t>
            </w:r>
          </w:p>
        </w:tc>
        <w:tc>
          <w:tcPr>
            <w:tcW w:w="859"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3年以上</w:t>
            </w:r>
          </w:p>
        </w:tc>
        <w:tc>
          <w:tcPr>
            <w:tcW w:w="143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2.21</w:t>
            </w:r>
          </w:p>
        </w:tc>
        <w:tc>
          <w:tcPr>
            <w:tcW w:w="144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43,947,200.00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8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合计</w:t>
            </w:r>
          </w:p>
        </w:tc>
        <w:tc>
          <w:tcPr>
            <w:tcW w:w="1228"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p>
        </w:tc>
        <w:tc>
          <w:tcPr>
            <w:tcW w:w="153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1,666,873,820.41</w:t>
            </w:r>
          </w:p>
        </w:tc>
        <w:tc>
          <w:tcPr>
            <w:tcW w:w="859"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p>
        </w:tc>
        <w:tc>
          <w:tcPr>
            <w:tcW w:w="143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83.69</w:t>
            </w:r>
          </w:p>
        </w:tc>
        <w:tc>
          <w:tcPr>
            <w:tcW w:w="144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1,348,683,478.48</w:t>
            </w:r>
          </w:p>
        </w:tc>
      </w:tr>
    </w:tbl>
    <w:p>
      <w:pPr>
        <w:pStyle w:val="35"/>
        <w:rPr>
          <w:rFonts w:eastAsiaTheme="minorEastAsia"/>
          <w:color w:val="auto"/>
          <w:highlight w:val="none"/>
        </w:rPr>
      </w:pPr>
      <w:r>
        <w:rPr>
          <w:rFonts w:eastAsiaTheme="minorEastAsia"/>
          <w:color w:val="auto"/>
          <w:highlight w:val="none"/>
        </w:rPr>
        <w:fldChar w:fldCharType="end"/>
      </w:r>
    </w:p>
    <w:p>
      <w:pPr>
        <w:pStyle w:val="37"/>
        <w:rPr>
          <w:rFonts w:eastAsiaTheme="minorEastAsia"/>
          <w:color w:val="auto"/>
          <w:highlight w:val="none"/>
        </w:rPr>
      </w:pPr>
      <w:r>
        <w:rPr>
          <w:rFonts w:eastAsiaTheme="minorEastAsia"/>
          <w:color w:val="auto"/>
          <w:highlight w:val="none"/>
        </w:rPr>
        <w:t>存货</w:t>
      </w:r>
    </w:p>
    <w:p>
      <w:pPr>
        <w:pStyle w:val="44"/>
        <w:numPr>
          <w:ilvl w:val="0"/>
          <w:numId w:val="0"/>
        </w:numPr>
        <w:ind w:left="1276"/>
        <w:rPr>
          <w:rFonts w:eastAsiaTheme="minorEastAsia"/>
          <w:color w:val="auto"/>
          <w:highlight w:val="none"/>
        </w:rPr>
      </w:pPr>
      <w:r>
        <w:rPr>
          <w:rFonts w:eastAsiaTheme="minorEastAsia"/>
          <w:color w:val="auto"/>
          <w:highlight w:val="none"/>
        </w:rPr>
        <w:t>存货分类</w:t>
      </w:r>
    </w:p>
    <w:p>
      <w:pPr>
        <w:pStyle w:val="35"/>
        <w:rPr>
          <w:rFonts w:eastAsiaTheme="minorEastAsia"/>
          <w:color w:val="auto"/>
          <w:szCs w:val="22"/>
          <w:highlight w:val="none"/>
        </w:rPr>
      </w:pPr>
      <w:r>
        <w:rPr>
          <w:rFonts w:eastAsiaTheme="minorEastAsia"/>
          <w:b/>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!存货 \f 4 \h \* MERGEFORMAT </w:instrText>
      </w:r>
      <w:r>
        <w:rPr>
          <w:rFonts w:eastAsiaTheme="minorEastAsia"/>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1013"/>
        <w:gridCol w:w="1266"/>
        <w:gridCol w:w="1004"/>
        <w:gridCol w:w="1274"/>
        <w:gridCol w:w="1274"/>
        <w:gridCol w:w="1091"/>
        <w:gridCol w:w="1266"/>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013"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4"/>
                <w:szCs w:val="15"/>
                <w:highlight w:val="none"/>
              </w:rPr>
            </w:pPr>
            <w:r>
              <w:rPr>
                <w:rFonts w:ascii="Times New Roman" w:hAnsi="Times New Roman" w:eastAsia="宋体" w:cs="Times New Roman"/>
                <w:color w:val="auto"/>
                <w:sz w:val="14"/>
                <w:szCs w:val="15"/>
                <w:highlight w:val="none"/>
              </w:rPr>
              <w:t>项目</w:t>
            </w:r>
          </w:p>
        </w:tc>
        <w:tc>
          <w:tcPr>
            <w:tcW w:w="3544" w:type="dxa"/>
            <w:gridSpan w:val="3"/>
            <w:shd w:val="clear" w:color="auto" w:fill="auto"/>
            <w:vAlign w:val="center"/>
          </w:tcPr>
          <w:p>
            <w:pPr>
              <w:snapToGrid w:val="0"/>
              <w:spacing w:line="200" w:lineRule="atLeast"/>
              <w:jc w:val="center"/>
              <w:rPr>
                <w:rFonts w:ascii="Times New Roman" w:hAnsi="Times New Roman" w:eastAsia="宋体" w:cs="Times New Roman"/>
                <w:color w:val="auto"/>
                <w:sz w:val="14"/>
                <w:szCs w:val="15"/>
                <w:highlight w:val="none"/>
              </w:rPr>
            </w:pPr>
            <w:r>
              <w:rPr>
                <w:rFonts w:ascii="Times New Roman" w:hAnsi="Times New Roman" w:eastAsia="宋体" w:cs="Times New Roman"/>
                <w:color w:val="auto"/>
                <w:sz w:val="14"/>
                <w:szCs w:val="15"/>
                <w:highlight w:val="none"/>
              </w:rPr>
              <w:t>期末数</w:t>
            </w:r>
          </w:p>
        </w:tc>
        <w:tc>
          <w:tcPr>
            <w:tcW w:w="3631" w:type="dxa"/>
            <w:gridSpan w:val="3"/>
            <w:shd w:val="clear" w:color="auto" w:fill="auto"/>
            <w:vAlign w:val="center"/>
          </w:tcPr>
          <w:p>
            <w:pPr>
              <w:snapToGrid w:val="0"/>
              <w:spacing w:line="200" w:lineRule="atLeast"/>
              <w:jc w:val="center"/>
              <w:rPr>
                <w:rFonts w:ascii="Times New Roman" w:hAnsi="Times New Roman" w:eastAsia="宋体" w:cs="Times New Roman"/>
                <w:color w:val="auto"/>
                <w:sz w:val="14"/>
                <w:szCs w:val="15"/>
                <w:highlight w:val="none"/>
              </w:rPr>
            </w:pPr>
            <w:r>
              <w:rPr>
                <w:rFonts w:ascii="Times New Roman" w:hAnsi="Times New Roman" w:eastAsia="宋体" w:cs="Times New Roman"/>
                <w:color w:val="auto"/>
                <w:sz w:val="14"/>
                <w:szCs w:val="15"/>
                <w:highlight w:val="none"/>
              </w:rPr>
              <w:t>期初数</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013" w:type="dxa"/>
            <w:vMerge w:val="continue"/>
            <w:shd w:val="clear" w:color="auto" w:fill="auto"/>
            <w:vAlign w:val="center"/>
          </w:tcPr>
          <w:p>
            <w:pPr>
              <w:spacing w:line="200" w:lineRule="atLeast"/>
              <w:jc w:val="both"/>
              <w:rPr>
                <w:rFonts w:ascii="Times New Roman" w:hAnsi="Times New Roman" w:eastAsia="宋体" w:cs="Times New Roman"/>
                <w:color w:val="auto"/>
                <w:sz w:val="14"/>
                <w:highlight w:val="none"/>
              </w:rPr>
            </w:pPr>
          </w:p>
        </w:tc>
        <w:tc>
          <w:tcPr>
            <w:tcW w:w="1266" w:type="dxa"/>
            <w:shd w:val="clear" w:color="auto" w:fill="auto"/>
            <w:vAlign w:val="center"/>
          </w:tcPr>
          <w:p>
            <w:pPr>
              <w:snapToGrid w:val="0"/>
              <w:spacing w:line="200" w:lineRule="atLeast"/>
              <w:jc w:val="center"/>
              <w:rPr>
                <w:rFonts w:ascii="Times New Roman" w:hAnsi="Times New Roman" w:eastAsia="宋体" w:cs="Times New Roman"/>
                <w:color w:val="auto"/>
                <w:sz w:val="14"/>
                <w:szCs w:val="15"/>
                <w:highlight w:val="none"/>
              </w:rPr>
            </w:pPr>
            <w:r>
              <w:rPr>
                <w:rFonts w:ascii="Times New Roman" w:hAnsi="Times New Roman" w:eastAsia="宋体" w:cs="Times New Roman"/>
                <w:color w:val="auto"/>
                <w:sz w:val="14"/>
                <w:szCs w:val="15"/>
                <w:highlight w:val="none"/>
              </w:rPr>
              <w:t>账面余额</w:t>
            </w:r>
          </w:p>
        </w:tc>
        <w:tc>
          <w:tcPr>
            <w:tcW w:w="1004" w:type="dxa"/>
            <w:shd w:val="clear" w:color="auto" w:fill="auto"/>
            <w:vAlign w:val="center"/>
          </w:tcPr>
          <w:p>
            <w:pPr>
              <w:snapToGrid w:val="0"/>
              <w:spacing w:line="200" w:lineRule="atLeast"/>
              <w:jc w:val="center"/>
              <w:rPr>
                <w:rFonts w:ascii="Times New Roman" w:hAnsi="Times New Roman" w:eastAsia="宋体" w:cs="Times New Roman"/>
                <w:color w:val="auto"/>
                <w:sz w:val="14"/>
                <w:szCs w:val="15"/>
                <w:highlight w:val="none"/>
              </w:rPr>
            </w:pPr>
            <w:r>
              <w:rPr>
                <w:rFonts w:ascii="Times New Roman" w:hAnsi="Times New Roman" w:eastAsia="宋体" w:cs="Times New Roman"/>
                <w:color w:val="auto"/>
                <w:sz w:val="14"/>
                <w:szCs w:val="15"/>
                <w:highlight w:val="none"/>
              </w:rPr>
              <w:t>存货跌价准备/合同履约成本减值准备</w:t>
            </w:r>
          </w:p>
        </w:tc>
        <w:tc>
          <w:tcPr>
            <w:tcW w:w="1274" w:type="dxa"/>
            <w:shd w:val="clear" w:color="auto" w:fill="auto"/>
            <w:vAlign w:val="center"/>
          </w:tcPr>
          <w:p>
            <w:pPr>
              <w:snapToGrid w:val="0"/>
              <w:spacing w:line="200" w:lineRule="atLeast"/>
              <w:jc w:val="center"/>
              <w:rPr>
                <w:rFonts w:ascii="Times New Roman" w:hAnsi="Times New Roman" w:eastAsia="宋体" w:cs="Times New Roman"/>
                <w:color w:val="auto"/>
                <w:sz w:val="14"/>
                <w:szCs w:val="15"/>
                <w:highlight w:val="none"/>
              </w:rPr>
            </w:pPr>
            <w:r>
              <w:rPr>
                <w:rFonts w:ascii="Times New Roman" w:hAnsi="Times New Roman" w:eastAsia="宋体" w:cs="Times New Roman"/>
                <w:color w:val="auto"/>
                <w:sz w:val="14"/>
                <w:szCs w:val="15"/>
                <w:highlight w:val="none"/>
              </w:rPr>
              <w:t>账面价值</w:t>
            </w:r>
          </w:p>
        </w:tc>
        <w:tc>
          <w:tcPr>
            <w:tcW w:w="1274" w:type="dxa"/>
            <w:shd w:val="clear" w:color="auto" w:fill="auto"/>
            <w:vAlign w:val="center"/>
          </w:tcPr>
          <w:p>
            <w:pPr>
              <w:snapToGrid w:val="0"/>
              <w:spacing w:line="200" w:lineRule="atLeast"/>
              <w:jc w:val="center"/>
              <w:rPr>
                <w:rFonts w:ascii="Times New Roman" w:hAnsi="Times New Roman" w:eastAsia="宋体" w:cs="Times New Roman"/>
                <w:color w:val="auto"/>
                <w:sz w:val="14"/>
                <w:szCs w:val="15"/>
                <w:highlight w:val="none"/>
              </w:rPr>
            </w:pPr>
            <w:r>
              <w:rPr>
                <w:rFonts w:ascii="Times New Roman" w:hAnsi="Times New Roman" w:eastAsia="宋体" w:cs="Times New Roman"/>
                <w:color w:val="auto"/>
                <w:sz w:val="14"/>
                <w:szCs w:val="15"/>
                <w:highlight w:val="none"/>
              </w:rPr>
              <w:t>账面余额</w:t>
            </w:r>
          </w:p>
        </w:tc>
        <w:tc>
          <w:tcPr>
            <w:tcW w:w="1091" w:type="dxa"/>
            <w:shd w:val="clear" w:color="auto" w:fill="auto"/>
            <w:vAlign w:val="center"/>
          </w:tcPr>
          <w:p>
            <w:pPr>
              <w:snapToGrid w:val="0"/>
              <w:spacing w:line="200" w:lineRule="atLeast"/>
              <w:jc w:val="center"/>
              <w:rPr>
                <w:rFonts w:ascii="Times New Roman" w:hAnsi="Times New Roman" w:eastAsia="宋体" w:cs="Times New Roman"/>
                <w:color w:val="auto"/>
                <w:sz w:val="14"/>
                <w:szCs w:val="15"/>
                <w:highlight w:val="none"/>
              </w:rPr>
            </w:pPr>
            <w:r>
              <w:rPr>
                <w:rFonts w:ascii="Times New Roman" w:hAnsi="Times New Roman" w:eastAsia="宋体" w:cs="Times New Roman"/>
                <w:color w:val="auto"/>
                <w:sz w:val="14"/>
                <w:szCs w:val="15"/>
                <w:highlight w:val="none"/>
              </w:rPr>
              <w:t>存货跌价准备/合同履约成本减值准备</w:t>
            </w:r>
          </w:p>
        </w:tc>
        <w:tc>
          <w:tcPr>
            <w:tcW w:w="1266" w:type="dxa"/>
            <w:shd w:val="clear" w:color="auto" w:fill="auto"/>
            <w:vAlign w:val="center"/>
          </w:tcPr>
          <w:p>
            <w:pPr>
              <w:snapToGrid w:val="0"/>
              <w:spacing w:line="200" w:lineRule="atLeast"/>
              <w:jc w:val="center"/>
              <w:rPr>
                <w:rFonts w:ascii="Times New Roman" w:hAnsi="Times New Roman" w:eastAsia="宋体" w:cs="Times New Roman"/>
                <w:color w:val="auto"/>
                <w:sz w:val="14"/>
                <w:szCs w:val="15"/>
                <w:highlight w:val="none"/>
              </w:rPr>
            </w:pPr>
            <w:r>
              <w:rPr>
                <w:rFonts w:ascii="Times New Roman" w:hAnsi="Times New Roman" w:eastAsia="宋体" w:cs="Times New Roman"/>
                <w:color w:val="auto"/>
                <w:sz w:val="14"/>
                <w:szCs w:val="15"/>
                <w:highlight w:val="none"/>
              </w:rPr>
              <w:t>账面价值</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013" w:type="dxa"/>
            <w:shd w:val="clear" w:color="auto" w:fill="auto"/>
            <w:vAlign w:val="center"/>
          </w:tcPr>
          <w:p>
            <w:pPr>
              <w:snapToGrid w:val="0"/>
              <w:spacing w:line="200" w:lineRule="atLeast"/>
              <w:jc w:val="left"/>
              <w:rPr>
                <w:rFonts w:ascii="Times New Roman" w:hAnsi="Times New Roman" w:eastAsia="宋体" w:cs="Times New Roman"/>
                <w:color w:val="auto"/>
                <w:sz w:val="14"/>
                <w:szCs w:val="15"/>
                <w:highlight w:val="none"/>
              </w:rPr>
            </w:pPr>
            <w:r>
              <w:rPr>
                <w:rFonts w:ascii="Times New Roman" w:hAnsi="Times New Roman" w:eastAsia="宋体" w:cs="Times New Roman"/>
                <w:color w:val="auto"/>
                <w:sz w:val="14"/>
                <w:szCs w:val="15"/>
                <w:highlight w:val="none"/>
              </w:rPr>
              <w:t>原材料</w:t>
            </w: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4"/>
                <w:szCs w:val="15"/>
                <w:highlight w:val="none"/>
              </w:rPr>
            </w:pPr>
            <w:r>
              <w:rPr>
                <w:rFonts w:ascii="Times New Roman" w:hAnsi="Times New Roman" w:eastAsia="宋体" w:cs="Times New Roman"/>
                <w:color w:val="auto"/>
                <w:sz w:val="14"/>
                <w:szCs w:val="15"/>
                <w:highlight w:val="none"/>
              </w:rPr>
              <w:t>1,058,854,426.85</w:t>
            </w:r>
          </w:p>
        </w:tc>
        <w:tc>
          <w:tcPr>
            <w:tcW w:w="1004" w:type="dxa"/>
            <w:shd w:val="clear" w:color="auto" w:fill="auto"/>
            <w:vAlign w:val="center"/>
          </w:tcPr>
          <w:p>
            <w:pPr>
              <w:snapToGrid w:val="0"/>
              <w:spacing w:line="200" w:lineRule="atLeast"/>
              <w:jc w:val="right"/>
              <w:rPr>
                <w:rFonts w:ascii="Times New Roman" w:hAnsi="Times New Roman" w:eastAsia="宋体" w:cs="Times New Roman"/>
                <w:color w:val="auto"/>
                <w:sz w:val="14"/>
                <w:szCs w:val="15"/>
                <w:highlight w:val="none"/>
              </w:rPr>
            </w:pPr>
            <w:r>
              <w:rPr>
                <w:rFonts w:ascii="Times New Roman" w:hAnsi="Times New Roman" w:eastAsia="宋体" w:cs="Times New Roman"/>
                <w:color w:val="auto"/>
                <w:sz w:val="14"/>
                <w:szCs w:val="15"/>
                <w:highlight w:val="none"/>
              </w:rPr>
              <w:t>2,929,127.30</w:t>
            </w:r>
          </w:p>
        </w:tc>
        <w:tc>
          <w:tcPr>
            <w:tcW w:w="1274" w:type="dxa"/>
            <w:shd w:val="clear" w:color="auto" w:fill="auto"/>
            <w:vAlign w:val="center"/>
          </w:tcPr>
          <w:p>
            <w:pPr>
              <w:snapToGrid w:val="0"/>
              <w:spacing w:line="200" w:lineRule="atLeast"/>
              <w:jc w:val="right"/>
              <w:rPr>
                <w:rFonts w:ascii="Times New Roman" w:hAnsi="Times New Roman" w:eastAsia="宋体" w:cs="Times New Roman"/>
                <w:color w:val="auto"/>
                <w:sz w:val="14"/>
                <w:szCs w:val="15"/>
                <w:highlight w:val="none"/>
              </w:rPr>
            </w:pPr>
            <w:r>
              <w:rPr>
                <w:rFonts w:ascii="Times New Roman" w:hAnsi="Times New Roman" w:eastAsia="宋体" w:cs="Times New Roman"/>
                <w:color w:val="auto"/>
                <w:sz w:val="14"/>
                <w:szCs w:val="15"/>
                <w:highlight w:val="none"/>
              </w:rPr>
              <w:t>1,055,925,299.55</w:t>
            </w:r>
          </w:p>
        </w:tc>
        <w:tc>
          <w:tcPr>
            <w:tcW w:w="1274" w:type="dxa"/>
            <w:shd w:val="clear" w:color="auto" w:fill="auto"/>
            <w:vAlign w:val="center"/>
          </w:tcPr>
          <w:p>
            <w:pPr>
              <w:snapToGrid w:val="0"/>
              <w:spacing w:line="200" w:lineRule="atLeast"/>
              <w:jc w:val="right"/>
              <w:rPr>
                <w:rFonts w:ascii="Times New Roman" w:hAnsi="Times New Roman" w:eastAsia="宋体" w:cs="Times New Roman"/>
                <w:color w:val="auto"/>
                <w:sz w:val="14"/>
                <w:szCs w:val="15"/>
                <w:highlight w:val="none"/>
              </w:rPr>
            </w:pPr>
            <w:r>
              <w:rPr>
                <w:rFonts w:ascii="Times New Roman" w:hAnsi="Times New Roman" w:eastAsia="宋体" w:cs="Times New Roman"/>
                <w:color w:val="auto"/>
                <w:sz w:val="14"/>
                <w:szCs w:val="15"/>
                <w:highlight w:val="none"/>
              </w:rPr>
              <w:t>1,219,537,147.66</w:t>
            </w:r>
          </w:p>
        </w:tc>
        <w:tc>
          <w:tcPr>
            <w:tcW w:w="1091" w:type="dxa"/>
            <w:shd w:val="clear" w:color="auto" w:fill="auto"/>
            <w:vAlign w:val="center"/>
          </w:tcPr>
          <w:p>
            <w:pPr>
              <w:snapToGrid w:val="0"/>
              <w:spacing w:line="200" w:lineRule="atLeast"/>
              <w:jc w:val="right"/>
              <w:rPr>
                <w:rFonts w:ascii="Times New Roman" w:hAnsi="Times New Roman" w:eastAsia="宋体" w:cs="Times New Roman"/>
                <w:color w:val="auto"/>
                <w:sz w:val="14"/>
                <w:szCs w:val="15"/>
                <w:highlight w:val="none"/>
              </w:rPr>
            </w:pPr>
            <w:r>
              <w:rPr>
                <w:rFonts w:ascii="Times New Roman" w:hAnsi="Times New Roman" w:eastAsia="宋体" w:cs="Times New Roman"/>
                <w:color w:val="auto"/>
                <w:sz w:val="14"/>
                <w:szCs w:val="15"/>
                <w:highlight w:val="none"/>
              </w:rPr>
              <w:t>56,741,414.13</w:t>
            </w: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4"/>
                <w:szCs w:val="15"/>
                <w:highlight w:val="none"/>
              </w:rPr>
            </w:pPr>
            <w:r>
              <w:rPr>
                <w:rFonts w:ascii="Times New Roman" w:hAnsi="Times New Roman" w:eastAsia="宋体" w:cs="Times New Roman"/>
                <w:color w:val="auto"/>
                <w:sz w:val="14"/>
                <w:szCs w:val="15"/>
                <w:highlight w:val="none"/>
              </w:rPr>
              <w:t>1,162,795,733.53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013" w:type="dxa"/>
            <w:shd w:val="clear" w:color="auto" w:fill="auto"/>
            <w:vAlign w:val="center"/>
          </w:tcPr>
          <w:p>
            <w:pPr>
              <w:snapToGrid w:val="0"/>
              <w:spacing w:line="200" w:lineRule="atLeast"/>
              <w:jc w:val="left"/>
              <w:rPr>
                <w:rFonts w:ascii="Times New Roman" w:hAnsi="Times New Roman" w:eastAsia="宋体" w:cs="Times New Roman"/>
                <w:color w:val="auto"/>
                <w:sz w:val="14"/>
                <w:szCs w:val="15"/>
                <w:highlight w:val="none"/>
              </w:rPr>
            </w:pPr>
            <w:r>
              <w:rPr>
                <w:rFonts w:ascii="Times New Roman" w:hAnsi="Times New Roman" w:eastAsia="宋体" w:cs="Times New Roman"/>
                <w:color w:val="auto"/>
                <w:sz w:val="14"/>
                <w:szCs w:val="15"/>
                <w:highlight w:val="none"/>
              </w:rPr>
              <w:t>自制半成品及在产品</w:t>
            </w: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4"/>
                <w:szCs w:val="15"/>
                <w:highlight w:val="none"/>
              </w:rPr>
            </w:pPr>
            <w:r>
              <w:rPr>
                <w:rFonts w:ascii="Times New Roman" w:hAnsi="Times New Roman" w:eastAsia="宋体" w:cs="Times New Roman"/>
                <w:color w:val="auto"/>
                <w:sz w:val="14"/>
                <w:szCs w:val="15"/>
                <w:highlight w:val="none"/>
              </w:rPr>
              <w:t>6,065,944.45</w:t>
            </w:r>
          </w:p>
        </w:tc>
        <w:tc>
          <w:tcPr>
            <w:tcW w:w="1004" w:type="dxa"/>
            <w:shd w:val="clear" w:color="auto" w:fill="auto"/>
            <w:vAlign w:val="center"/>
          </w:tcPr>
          <w:p>
            <w:pPr>
              <w:snapToGrid w:val="0"/>
              <w:spacing w:line="200" w:lineRule="atLeast"/>
              <w:jc w:val="right"/>
              <w:rPr>
                <w:rFonts w:ascii="Times New Roman" w:hAnsi="Times New Roman" w:eastAsia="宋体" w:cs="Times New Roman"/>
                <w:color w:val="auto"/>
                <w:sz w:val="14"/>
                <w:szCs w:val="15"/>
                <w:highlight w:val="none"/>
              </w:rPr>
            </w:pPr>
          </w:p>
        </w:tc>
        <w:tc>
          <w:tcPr>
            <w:tcW w:w="1274" w:type="dxa"/>
            <w:shd w:val="clear" w:color="auto" w:fill="auto"/>
            <w:vAlign w:val="center"/>
          </w:tcPr>
          <w:p>
            <w:pPr>
              <w:snapToGrid w:val="0"/>
              <w:spacing w:line="200" w:lineRule="atLeast"/>
              <w:jc w:val="right"/>
              <w:rPr>
                <w:rFonts w:ascii="Times New Roman" w:hAnsi="Times New Roman" w:eastAsia="宋体" w:cs="Times New Roman"/>
                <w:color w:val="auto"/>
                <w:sz w:val="14"/>
                <w:szCs w:val="15"/>
                <w:highlight w:val="none"/>
              </w:rPr>
            </w:pPr>
            <w:r>
              <w:rPr>
                <w:rFonts w:ascii="Times New Roman" w:hAnsi="Times New Roman" w:eastAsia="宋体" w:cs="Times New Roman"/>
                <w:color w:val="auto"/>
                <w:sz w:val="14"/>
                <w:szCs w:val="15"/>
                <w:highlight w:val="none"/>
              </w:rPr>
              <w:t>6,065,944.45</w:t>
            </w:r>
          </w:p>
        </w:tc>
        <w:tc>
          <w:tcPr>
            <w:tcW w:w="1274" w:type="dxa"/>
            <w:shd w:val="clear" w:color="auto" w:fill="auto"/>
            <w:vAlign w:val="center"/>
          </w:tcPr>
          <w:p>
            <w:pPr>
              <w:snapToGrid w:val="0"/>
              <w:spacing w:line="200" w:lineRule="atLeast"/>
              <w:jc w:val="right"/>
              <w:rPr>
                <w:rFonts w:ascii="Times New Roman" w:hAnsi="Times New Roman" w:eastAsia="宋体" w:cs="Times New Roman"/>
                <w:color w:val="auto"/>
                <w:sz w:val="14"/>
                <w:szCs w:val="15"/>
                <w:highlight w:val="none"/>
              </w:rPr>
            </w:pPr>
            <w:r>
              <w:rPr>
                <w:rFonts w:ascii="Times New Roman" w:hAnsi="Times New Roman" w:eastAsia="宋体" w:cs="Times New Roman"/>
                <w:color w:val="auto"/>
                <w:sz w:val="14"/>
                <w:szCs w:val="15"/>
                <w:highlight w:val="none"/>
              </w:rPr>
              <w:t>7,456,414.20</w:t>
            </w:r>
          </w:p>
        </w:tc>
        <w:tc>
          <w:tcPr>
            <w:tcW w:w="1091" w:type="dxa"/>
            <w:shd w:val="clear" w:color="auto" w:fill="auto"/>
            <w:vAlign w:val="center"/>
          </w:tcPr>
          <w:p>
            <w:pPr>
              <w:snapToGrid w:val="0"/>
              <w:spacing w:line="200" w:lineRule="atLeast"/>
              <w:jc w:val="right"/>
              <w:rPr>
                <w:rFonts w:ascii="Times New Roman" w:hAnsi="Times New Roman" w:eastAsia="宋体" w:cs="Times New Roman"/>
                <w:color w:val="auto"/>
                <w:sz w:val="14"/>
                <w:szCs w:val="15"/>
                <w:highlight w:val="none"/>
              </w:rPr>
            </w:pP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4"/>
                <w:szCs w:val="15"/>
                <w:highlight w:val="none"/>
              </w:rPr>
            </w:pPr>
            <w:r>
              <w:rPr>
                <w:rFonts w:ascii="Times New Roman" w:hAnsi="Times New Roman" w:eastAsia="宋体" w:cs="Times New Roman"/>
                <w:color w:val="auto"/>
                <w:sz w:val="14"/>
                <w:szCs w:val="15"/>
                <w:highlight w:val="none"/>
              </w:rPr>
              <w:t>7,456,414.20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013" w:type="dxa"/>
            <w:shd w:val="clear" w:color="auto" w:fill="auto"/>
            <w:vAlign w:val="center"/>
          </w:tcPr>
          <w:p>
            <w:pPr>
              <w:snapToGrid w:val="0"/>
              <w:spacing w:line="200" w:lineRule="atLeast"/>
              <w:jc w:val="left"/>
              <w:rPr>
                <w:rFonts w:ascii="Times New Roman" w:hAnsi="Times New Roman" w:eastAsia="宋体" w:cs="Times New Roman"/>
                <w:color w:val="auto"/>
                <w:sz w:val="14"/>
                <w:szCs w:val="15"/>
                <w:highlight w:val="none"/>
              </w:rPr>
            </w:pPr>
            <w:r>
              <w:rPr>
                <w:rFonts w:ascii="Times New Roman" w:hAnsi="Times New Roman" w:eastAsia="宋体" w:cs="Times New Roman"/>
                <w:color w:val="auto"/>
                <w:sz w:val="14"/>
                <w:szCs w:val="15"/>
                <w:highlight w:val="none"/>
              </w:rPr>
              <w:t>库存商品</w:t>
            </w: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4"/>
                <w:szCs w:val="15"/>
                <w:highlight w:val="none"/>
              </w:rPr>
            </w:pPr>
            <w:r>
              <w:rPr>
                <w:rFonts w:ascii="Times New Roman" w:hAnsi="Times New Roman" w:eastAsia="宋体" w:cs="Times New Roman"/>
                <w:color w:val="auto"/>
                <w:sz w:val="14"/>
                <w:szCs w:val="15"/>
                <w:highlight w:val="none"/>
              </w:rPr>
              <w:t>184,704,759.19</w:t>
            </w:r>
          </w:p>
        </w:tc>
        <w:tc>
          <w:tcPr>
            <w:tcW w:w="1004" w:type="dxa"/>
            <w:shd w:val="clear" w:color="auto" w:fill="auto"/>
            <w:vAlign w:val="center"/>
          </w:tcPr>
          <w:p>
            <w:pPr>
              <w:snapToGrid w:val="0"/>
              <w:spacing w:line="200" w:lineRule="atLeast"/>
              <w:jc w:val="right"/>
              <w:rPr>
                <w:rFonts w:ascii="Times New Roman" w:hAnsi="Times New Roman" w:eastAsia="宋体" w:cs="Times New Roman"/>
                <w:color w:val="auto"/>
                <w:sz w:val="14"/>
                <w:szCs w:val="15"/>
                <w:highlight w:val="none"/>
              </w:rPr>
            </w:pPr>
          </w:p>
        </w:tc>
        <w:tc>
          <w:tcPr>
            <w:tcW w:w="1274" w:type="dxa"/>
            <w:shd w:val="clear" w:color="auto" w:fill="auto"/>
            <w:vAlign w:val="center"/>
          </w:tcPr>
          <w:p>
            <w:pPr>
              <w:snapToGrid w:val="0"/>
              <w:spacing w:line="200" w:lineRule="atLeast"/>
              <w:jc w:val="right"/>
              <w:rPr>
                <w:rFonts w:ascii="Times New Roman" w:hAnsi="Times New Roman" w:eastAsia="宋体" w:cs="Times New Roman"/>
                <w:color w:val="auto"/>
                <w:sz w:val="14"/>
                <w:szCs w:val="15"/>
                <w:highlight w:val="none"/>
              </w:rPr>
            </w:pPr>
            <w:r>
              <w:rPr>
                <w:rFonts w:ascii="Times New Roman" w:hAnsi="Times New Roman" w:eastAsia="宋体" w:cs="Times New Roman"/>
                <w:color w:val="auto"/>
                <w:sz w:val="14"/>
                <w:szCs w:val="15"/>
                <w:highlight w:val="none"/>
              </w:rPr>
              <w:t>184,704,759.19</w:t>
            </w:r>
          </w:p>
        </w:tc>
        <w:tc>
          <w:tcPr>
            <w:tcW w:w="1274" w:type="dxa"/>
            <w:shd w:val="clear" w:color="auto" w:fill="auto"/>
            <w:vAlign w:val="center"/>
          </w:tcPr>
          <w:p>
            <w:pPr>
              <w:snapToGrid w:val="0"/>
              <w:spacing w:line="200" w:lineRule="atLeast"/>
              <w:jc w:val="right"/>
              <w:rPr>
                <w:rFonts w:ascii="Times New Roman" w:hAnsi="Times New Roman" w:eastAsia="宋体" w:cs="Times New Roman"/>
                <w:color w:val="auto"/>
                <w:sz w:val="14"/>
                <w:szCs w:val="15"/>
                <w:highlight w:val="none"/>
              </w:rPr>
            </w:pPr>
            <w:r>
              <w:rPr>
                <w:rFonts w:ascii="Times New Roman" w:hAnsi="Times New Roman" w:eastAsia="宋体" w:cs="Times New Roman"/>
                <w:color w:val="auto"/>
                <w:sz w:val="14"/>
                <w:szCs w:val="15"/>
                <w:highlight w:val="none"/>
              </w:rPr>
              <w:t>376,781,725.77</w:t>
            </w:r>
          </w:p>
        </w:tc>
        <w:tc>
          <w:tcPr>
            <w:tcW w:w="1091" w:type="dxa"/>
            <w:shd w:val="clear" w:color="auto" w:fill="auto"/>
            <w:vAlign w:val="center"/>
          </w:tcPr>
          <w:p>
            <w:pPr>
              <w:snapToGrid w:val="0"/>
              <w:spacing w:line="200" w:lineRule="atLeast"/>
              <w:jc w:val="right"/>
              <w:rPr>
                <w:rFonts w:ascii="Times New Roman" w:hAnsi="Times New Roman" w:eastAsia="宋体" w:cs="Times New Roman"/>
                <w:color w:val="auto"/>
                <w:sz w:val="14"/>
                <w:szCs w:val="15"/>
                <w:highlight w:val="none"/>
              </w:rPr>
            </w:pPr>
            <w:r>
              <w:rPr>
                <w:rFonts w:ascii="Times New Roman" w:hAnsi="Times New Roman" w:eastAsia="宋体" w:cs="Times New Roman"/>
                <w:color w:val="auto"/>
                <w:sz w:val="14"/>
                <w:szCs w:val="15"/>
                <w:highlight w:val="none"/>
              </w:rPr>
              <w:t>34,167,563.46</w:t>
            </w: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4"/>
                <w:szCs w:val="15"/>
                <w:highlight w:val="none"/>
              </w:rPr>
            </w:pPr>
            <w:r>
              <w:rPr>
                <w:rFonts w:ascii="Times New Roman" w:hAnsi="Times New Roman" w:eastAsia="宋体" w:cs="Times New Roman"/>
                <w:color w:val="auto"/>
                <w:sz w:val="14"/>
                <w:szCs w:val="15"/>
                <w:highlight w:val="none"/>
              </w:rPr>
              <w:t>342,614,162.31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013" w:type="dxa"/>
            <w:shd w:val="clear" w:color="auto" w:fill="auto"/>
            <w:vAlign w:val="center"/>
          </w:tcPr>
          <w:p>
            <w:pPr>
              <w:snapToGrid w:val="0"/>
              <w:spacing w:line="200" w:lineRule="atLeast"/>
              <w:jc w:val="left"/>
              <w:rPr>
                <w:rFonts w:ascii="Times New Roman" w:hAnsi="Times New Roman" w:eastAsia="宋体" w:cs="Times New Roman"/>
                <w:color w:val="auto"/>
                <w:sz w:val="14"/>
                <w:szCs w:val="15"/>
                <w:highlight w:val="none"/>
              </w:rPr>
            </w:pPr>
            <w:r>
              <w:rPr>
                <w:rFonts w:ascii="Times New Roman" w:hAnsi="Times New Roman" w:eastAsia="宋体" w:cs="Times New Roman"/>
                <w:color w:val="auto"/>
                <w:sz w:val="14"/>
                <w:szCs w:val="15"/>
                <w:highlight w:val="none"/>
              </w:rPr>
              <w:t>周转材料</w:t>
            </w: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4"/>
                <w:szCs w:val="15"/>
                <w:highlight w:val="none"/>
              </w:rPr>
            </w:pPr>
            <w:r>
              <w:rPr>
                <w:rFonts w:ascii="Times New Roman" w:hAnsi="Times New Roman" w:eastAsia="宋体" w:cs="Times New Roman"/>
                <w:color w:val="auto"/>
                <w:sz w:val="14"/>
                <w:szCs w:val="15"/>
                <w:highlight w:val="none"/>
              </w:rPr>
              <w:t>934,627.14</w:t>
            </w:r>
          </w:p>
        </w:tc>
        <w:tc>
          <w:tcPr>
            <w:tcW w:w="1004" w:type="dxa"/>
            <w:shd w:val="clear" w:color="auto" w:fill="auto"/>
            <w:vAlign w:val="center"/>
          </w:tcPr>
          <w:p>
            <w:pPr>
              <w:snapToGrid w:val="0"/>
              <w:spacing w:line="200" w:lineRule="atLeast"/>
              <w:jc w:val="right"/>
              <w:rPr>
                <w:rFonts w:ascii="Times New Roman" w:hAnsi="Times New Roman" w:eastAsia="宋体" w:cs="Times New Roman"/>
                <w:color w:val="auto"/>
                <w:sz w:val="14"/>
                <w:szCs w:val="15"/>
                <w:highlight w:val="none"/>
              </w:rPr>
            </w:pPr>
          </w:p>
        </w:tc>
        <w:tc>
          <w:tcPr>
            <w:tcW w:w="1274" w:type="dxa"/>
            <w:shd w:val="clear" w:color="auto" w:fill="auto"/>
            <w:vAlign w:val="center"/>
          </w:tcPr>
          <w:p>
            <w:pPr>
              <w:snapToGrid w:val="0"/>
              <w:spacing w:line="200" w:lineRule="atLeast"/>
              <w:jc w:val="right"/>
              <w:rPr>
                <w:rFonts w:ascii="Times New Roman" w:hAnsi="Times New Roman" w:eastAsia="宋体" w:cs="Times New Roman"/>
                <w:color w:val="auto"/>
                <w:sz w:val="14"/>
                <w:szCs w:val="15"/>
                <w:highlight w:val="none"/>
              </w:rPr>
            </w:pPr>
            <w:r>
              <w:rPr>
                <w:rFonts w:ascii="Times New Roman" w:hAnsi="Times New Roman" w:eastAsia="宋体" w:cs="Times New Roman"/>
                <w:color w:val="auto"/>
                <w:sz w:val="14"/>
                <w:szCs w:val="15"/>
                <w:highlight w:val="none"/>
              </w:rPr>
              <w:t>934,627.14</w:t>
            </w:r>
          </w:p>
        </w:tc>
        <w:tc>
          <w:tcPr>
            <w:tcW w:w="1274" w:type="dxa"/>
            <w:shd w:val="clear" w:color="auto" w:fill="auto"/>
            <w:vAlign w:val="center"/>
          </w:tcPr>
          <w:p>
            <w:pPr>
              <w:snapToGrid w:val="0"/>
              <w:spacing w:line="200" w:lineRule="atLeast"/>
              <w:jc w:val="right"/>
              <w:rPr>
                <w:rFonts w:ascii="Times New Roman" w:hAnsi="Times New Roman" w:eastAsia="宋体" w:cs="Times New Roman"/>
                <w:color w:val="auto"/>
                <w:sz w:val="14"/>
                <w:szCs w:val="15"/>
                <w:highlight w:val="none"/>
              </w:rPr>
            </w:pPr>
            <w:r>
              <w:rPr>
                <w:rFonts w:ascii="Times New Roman" w:hAnsi="Times New Roman" w:eastAsia="宋体" w:cs="Times New Roman"/>
                <w:color w:val="auto"/>
                <w:sz w:val="14"/>
                <w:szCs w:val="15"/>
                <w:highlight w:val="none"/>
              </w:rPr>
              <w:t>881,755.68</w:t>
            </w:r>
          </w:p>
        </w:tc>
        <w:tc>
          <w:tcPr>
            <w:tcW w:w="1091" w:type="dxa"/>
            <w:shd w:val="clear" w:color="auto" w:fill="auto"/>
            <w:vAlign w:val="center"/>
          </w:tcPr>
          <w:p>
            <w:pPr>
              <w:snapToGrid w:val="0"/>
              <w:spacing w:line="200" w:lineRule="atLeast"/>
              <w:jc w:val="right"/>
              <w:rPr>
                <w:rFonts w:ascii="Times New Roman" w:hAnsi="Times New Roman" w:eastAsia="宋体" w:cs="Times New Roman"/>
                <w:color w:val="auto"/>
                <w:sz w:val="14"/>
                <w:szCs w:val="15"/>
                <w:highlight w:val="none"/>
              </w:rPr>
            </w:pP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4"/>
                <w:szCs w:val="15"/>
                <w:highlight w:val="none"/>
              </w:rPr>
            </w:pPr>
            <w:r>
              <w:rPr>
                <w:rFonts w:ascii="Times New Roman" w:hAnsi="Times New Roman" w:eastAsia="宋体" w:cs="Times New Roman"/>
                <w:color w:val="auto"/>
                <w:sz w:val="14"/>
                <w:szCs w:val="15"/>
                <w:highlight w:val="none"/>
              </w:rPr>
              <w:t>881,755.68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013" w:type="dxa"/>
            <w:shd w:val="clear" w:color="auto" w:fill="auto"/>
            <w:vAlign w:val="center"/>
          </w:tcPr>
          <w:p>
            <w:pPr>
              <w:snapToGrid w:val="0"/>
              <w:spacing w:line="200" w:lineRule="atLeast"/>
              <w:jc w:val="center"/>
              <w:rPr>
                <w:rFonts w:ascii="Times New Roman" w:hAnsi="Times New Roman" w:eastAsia="宋体" w:cs="Times New Roman"/>
                <w:color w:val="auto"/>
                <w:sz w:val="14"/>
                <w:szCs w:val="15"/>
                <w:highlight w:val="none"/>
              </w:rPr>
            </w:pPr>
            <w:r>
              <w:rPr>
                <w:rFonts w:ascii="Times New Roman" w:hAnsi="Times New Roman" w:eastAsia="宋体" w:cs="Times New Roman"/>
                <w:color w:val="auto"/>
                <w:sz w:val="14"/>
                <w:szCs w:val="15"/>
                <w:highlight w:val="none"/>
              </w:rPr>
              <w:t>合计</w:t>
            </w: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4"/>
                <w:szCs w:val="15"/>
                <w:highlight w:val="none"/>
              </w:rPr>
            </w:pPr>
            <w:r>
              <w:rPr>
                <w:rFonts w:ascii="Times New Roman" w:hAnsi="Times New Roman" w:eastAsia="宋体" w:cs="Times New Roman"/>
                <w:color w:val="auto"/>
                <w:sz w:val="14"/>
                <w:szCs w:val="15"/>
                <w:highlight w:val="none"/>
              </w:rPr>
              <w:t>1,250,559,757.63</w:t>
            </w:r>
          </w:p>
        </w:tc>
        <w:tc>
          <w:tcPr>
            <w:tcW w:w="1004" w:type="dxa"/>
            <w:shd w:val="clear" w:color="auto" w:fill="auto"/>
            <w:vAlign w:val="center"/>
          </w:tcPr>
          <w:p>
            <w:pPr>
              <w:snapToGrid w:val="0"/>
              <w:spacing w:line="200" w:lineRule="atLeast"/>
              <w:jc w:val="right"/>
              <w:rPr>
                <w:rFonts w:ascii="Times New Roman" w:hAnsi="Times New Roman" w:eastAsia="宋体" w:cs="Times New Roman"/>
                <w:color w:val="auto"/>
                <w:sz w:val="14"/>
                <w:szCs w:val="15"/>
                <w:highlight w:val="none"/>
              </w:rPr>
            </w:pPr>
            <w:r>
              <w:rPr>
                <w:rFonts w:ascii="Times New Roman" w:hAnsi="Times New Roman" w:eastAsia="宋体" w:cs="Times New Roman"/>
                <w:color w:val="auto"/>
                <w:sz w:val="14"/>
                <w:szCs w:val="15"/>
                <w:highlight w:val="none"/>
              </w:rPr>
              <w:t>2,929,127.30</w:t>
            </w:r>
          </w:p>
        </w:tc>
        <w:tc>
          <w:tcPr>
            <w:tcW w:w="1274" w:type="dxa"/>
            <w:shd w:val="clear" w:color="auto" w:fill="auto"/>
            <w:vAlign w:val="center"/>
          </w:tcPr>
          <w:p>
            <w:pPr>
              <w:snapToGrid w:val="0"/>
              <w:spacing w:line="200" w:lineRule="atLeast"/>
              <w:jc w:val="right"/>
              <w:rPr>
                <w:rFonts w:ascii="Times New Roman" w:hAnsi="Times New Roman" w:eastAsia="宋体" w:cs="Times New Roman"/>
                <w:color w:val="auto"/>
                <w:sz w:val="14"/>
                <w:szCs w:val="15"/>
                <w:highlight w:val="none"/>
              </w:rPr>
            </w:pPr>
            <w:r>
              <w:rPr>
                <w:rFonts w:ascii="Times New Roman" w:hAnsi="Times New Roman" w:eastAsia="宋体" w:cs="Times New Roman"/>
                <w:color w:val="auto"/>
                <w:sz w:val="14"/>
                <w:szCs w:val="15"/>
                <w:highlight w:val="none"/>
              </w:rPr>
              <w:t>1,247,630,630.33</w:t>
            </w:r>
          </w:p>
        </w:tc>
        <w:tc>
          <w:tcPr>
            <w:tcW w:w="1274" w:type="dxa"/>
            <w:shd w:val="clear" w:color="auto" w:fill="auto"/>
            <w:vAlign w:val="center"/>
          </w:tcPr>
          <w:p>
            <w:pPr>
              <w:snapToGrid w:val="0"/>
              <w:spacing w:line="200" w:lineRule="atLeast"/>
              <w:jc w:val="right"/>
              <w:rPr>
                <w:rFonts w:ascii="Times New Roman" w:hAnsi="Times New Roman" w:eastAsia="宋体" w:cs="Times New Roman"/>
                <w:color w:val="auto"/>
                <w:sz w:val="14"/>
                <w:szCs w:val="15"/>
                <w:highlight w:val="none"/>
              </w:rPr>
            </w:pPr>
            <w:r>
              <w:rPr>
                <w:rFonts w:ascii="Times New Roman" w:hAnsi="Times New Roman" w:eastAsia="宋体" w:cs="Times New Roman"/>
                <w:color w:val="auto"/>
                <w:sz w:val="14"/>
                <w:szCs w:val="15"/>
                <w:highlight w:val="none"/>
              </w:rPr>
              <w:t>1,604,657,043.31</w:t>
            </w:r>
          </w:p>
        </w:tc>
        <w:tc>
          <w:tcPr>
            <w:tcW w:w="1091" w:type="dxa"/>
            <w:shd w:val="clear" w:color="auto" w:fill="auto"/>
            <w:vAlign w:val="center"/>
          </w:tcPr>
          <w:p>
            <w:pPr>
              <w:snapToGrid w:val="0"/>
              <w:spacing w:line="200" w:lineRule="atLeast"/>
              <w:jc w:val="right"/>
              <w:rPr>
                <w:rFonts w:ascii="Times New Roman" w:hAnsi="Times New Roman" w:eastAsia="宋体" w:cs="Times New Roman"/>
                <w:color w:val="auto"/>
                <w:sz w:val="14"/>
                <w:szCs w:val="15"/>
                <w:highlight w:val="none"/>
              </w:rPr>
            </w:pPr>
            <w:r>
              <w:rPr>
                <w:rFonts w:ascii="Times New Roman" w:hAnsi="Times New Roman" w:eastAsia="宋体" w:cs="Times New Roman"/>
                <w:color w:val="auto"/>
                <w:sz w:val="14"/>
                <w:szCs w:val="15"/>
                <w:highlight w:val="none"/>
              </w:rPr>
              <w:t>90,908,977.59</w:t>
            </w: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4"/>
                <w:szCs w:val="15"/>
                <w:highlight w:val="none"/>
              </w:rPr>
            </w:pPr>
            <w:r>
              <w:rPr>
                <w:rFonts w:ascii="Times New Roman" w:hAnsi="Times New Roman" w:eastAsia="宋体" w:cs="Times New Roman"/>
                <w:color w:val="auto"/>
                <w:sz w:val="14"/>
                <w:szCs w:val="15"/>
                <w:highlight w:val="none"/>
              </w:rPr>
              <w:t>1,513,748,065.72</w:t>
            </w:r>
          </w:p>
        </w:tc>
      </w:tr>
    </w:tbl>
    <w:p>
      <w:pPr>
        <w:pStyle w:val="35"/>
        <w:rPr>
          <w:rFonts w:hint="eastAsia" w:eastAsiaTheme="minorEastAsia"/>
          <w:color w:val="auto"/>
          <w:highlight w:val="none"/>
        </w:rPr>
      </w:pPr>
      <w:r>
        <w:rPr>
          <w:rFonts w:eastAsiaTheme="minorEastAsia"/>
          <w:color w:val="auto"/>
          <w:highlight w:val="none"/>
        </w:rPr>
        <w:fldChar w:fldCharType="end"/>
      </w:r>
    </w:p>
    <w:p>
      <w:pPr>
        <w:pStyle w:val="35"/>
        <w:rPr>
          <w:rFonts w:eastAsiaTheme="minorEastAsia"/>
          <w:color w:val="auto"/>
          <w:highlight w:val="none"/>
        </w:rPr>
      </w:pPr>
    </w:p>
    <w:p>
      <w:pPr>
        <w:pStyle w:val="37"/>
        <w:rPr>
          <w:rFonts w:eastAsiaTheme="minorEastAsia"/>
          <w:color w:val="auto"/>
          <w:highlight w:val="none"/>
        </w:rPr>
      </w:pPr>
      <w:r>
        <w:rPr>
          <w:rFonts w:hint="eastAsia" w:eastAsiaTheme="minorEastAsia"/>
          <w:color w:val="auto"/>
          <w:highlight w:val="none"/>
        </w:rPr>
        <w:t>合同</w:t>
      </w:r>
      <w:r>
        <w:rPr>
          <w:rFonts w:eastAsiaTheme="minorEastAsia"/>
          <w:color w:val="auto"/>
          <w:highlight w:val="none"/>
        </w:rPr>
        <w:t>资产</w:t>
      </w:r>
    </w:p>
    <w:p>
      <w:pPr>
        <w:pStyle w:val="44"/>
        <w:numPr>
          <w:ilvl w:val="0"/>
          <w:numId w:val="0"/>
        </w:numPr>
        <w:ind w:left="1276"/>
        <w:rPr>
          <w:color w:val="auto"/>
          <w:highlight w:val="none"/>
        </w:rPr>
      </w:pPr>
      <w:r>
        <w:rPr>
          <w:color w:val="auto"/>
          <w:highlight w:val="none"/>
        </w:rPr>
        <w:t>合同资产情况</w:t>
      </w:r>
    </w:p>
    <w:p>
      <w:pPr>
        <w:pStyle w:val="35"/>
        <w:rPr>
          <w:color w:val="auto"/>
          <w:szCs w:val="22"/>
          <w:highlight w:val="none"/>
        </w:rPr>
      </w:pPr>
      <w:r>
        <w:rPr>
          <w:color w:val="auto"/>
          <w:highlight w:val="none"/>
        </w:rPr>
        <w:fldChar w:fldCharType="begin"/>
      </w:r>
      <w:r>
        <w:rPr>
          <w:color w:val="auto"/>
          <w:highlight w:val="none"/>
        </w:rPr>
        <w:instrText xml:space="preserve"> LINK Excel.SheetMacroEnabled.12 "D:\\vsWorkspace\\branches\\20180822\\StandardTemplateTool\\template\\SASAC\\Frame\\201812\\SASACFinancialReports.xlsm" "合并附注!合同资产" \f 4 \h \* MERGEFORMAT </w:instrText>
      </w:r>
      <w:r>
        <w:rPr>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872"/>
        <w:gridCol w:w="1345"/>
        <w:gridCol w:w="871"/>
        <w:gridCol w:w="1345"/>
        <w:gridCol w:w="1442"/>
        <w:gridCol w:w="871"/>
        <w:gridCol w:w="1442"/>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872"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3561" w:type="dxa"/>
            <w:gridSpan w:val="3"/>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期末数</w:t>
            </w:r>
          </w:p>
        </w:tc>
        <w:tc>
          <w:tcPr>
            <w:tcW w:w="3755" w:type="dxa"/>
            <w:gridSpan w:val="3"/>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期初数</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872"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34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账面余额</w:t>
            </w:r>
          </w:p>
        </w:tc>
        <w:tc>
          <w:tcPr>
            <w:tcW w:w="87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减值准备</w:t>
            </w:r>
          </w:p>
        </w:tc>
        <w:tc>
          <w:tcPr>
            <w:tcW w:w="134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账面价值</w:t>
            </w:r>
          </w:p>
        </w:tc>
        <w:tc>
          <w:tcPr>
            <w:tcW w:w="1442"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账面余额</w:t>
            </w:r>
          </w:p>
        </w:tc>
        <w:tc>
          <w:tcPr>
            <w:tcW w:w="87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减值准备</w:t>
            </w:r>
          </w:p>
        </w:tc>
        <w:tc>
          <w:tcPr>
            <w:tcW w:w="1442"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账面价值</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87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工程款</w:t>
            </w:r>
          </w:p>
        </w:tc>
        <w:tc>
          <w:tcPr>
            <w:tcW w:w="13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12,478,726.78</w:t>
            </w:r>
          </w:p>
        </w:tc>
        <w:tc>
          <w:tcPr>
            <w:tcW w:w="87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12,478,726.78</w:t>
            </w:r>
          </w:p>
        </w:tc>
        <w:tc>
          <w:tcPr>
            <w:tcW w:w="144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140,752,360.47</w:t>
            </w:r>
          </w:p>
        </w:tc>
        <w:tc>
          <w:tcPr>
            <w:tcW w:w="87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4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140,752,360.47</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872"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13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12,478,726.78</w:t>
            </w:r>
          </w:p>
        </w:tc>
        <w:tc>
          <w:tcPr>
            <w:tcW w:w="87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12,478,726.78</w:t>
            </w:r>
          </w:p>
        </w:tc>
        <w:tc>
          <w:tcPr>
            <w:tcW w:w="144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140,752,360.47</w:t>
            </w:r>
          </w:p>
        </w:tc>
        <w:tc>
          <w:tcPr>
            <w:tcW w:w="87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4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140,752,360.47</w:t>
            </w:r>
          </w:p>
        </w:tc>
      </w:tr>
    </w:tbl>
    <w:p>
      <w:pPr>
        <w:pStyle w:val="35"/>
        <w:rPr>
          <w:color w:val="auto"/>
          <w:highlight w:val="none"/>
        </w:rPr>
      </w:pPr>
      <w:r>
        <w:rPr>
          <w:color w:val="auto"/>
          <w:highlight w:val="none"/>
        </w:rPr>
        <w:fldChar w:fldCharType="end"/>
      </w:r>
    </w:p>
    <w:p>
      <w:pPr>
        <w:pStyle w:val="37"/>
        <w:rPr>
          <w:rFonts w:eastAsiaTheme="minorEastAsia"/>
          <w:color w:val="auto"/>
          <w:highlight w:val="none"/>
        </w:rPr>
      </w:pPr>
      <w:r>
        <w:rPr>
          <w:rFonts w:eastAsiaTheme="minorEastAsia"/>
          <w:color w:val="auto"/>
          <w:highlight w:val="none"/>
        </w:rPr>
        <w:t>其他流动资产</w:t>
      </w:r>
    </w:p>
    <w:p>
      <w:pPr>
        <w:pStyle w:val="38"/>
        <w:rPr>
          <w:rFonts w:eastAsiaTheme="minorEastAsia"/>
          <w:color w:val="auto"/>
          <w:szCs w:val="22"/>
          <w:highlight w:val="none"/>
        </w:rPr>
      </w:pPr>
      <w:r>
        <w:rPr>
          <w:rFonts w:eastAsiaTheme="minorEastAsia"/>
          <w:b/>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!其他流动资产 \f 4 \h \* MERGEFORMAT </w:instrText>
      </w:r>
      <w:r>
        <w:rPr>
          <w:rFonts w:eastAsiaTheme="minorEastAsia"/>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3878"/>
        <w:gridCol w:w="2155"/>
        <w:gridCol w:w="2155"/>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387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215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c>
          <w:tcPr>
            <w:tcW w:w="215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878"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未抵扣进项税</w:t>
            </w:r>
          </w:p>
        </w:tc>
        <w:tc>
          <w:tcPr>
            <w:tcW w:w="215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1,319,682,381.64</w:t>
            </w:r>
          </w:p>
        </w:tc>
        <w:tc>
          <w:tcPr>
            <w:tcW w:w="215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1,242,483,415.54</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878"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预缴税金</w:t>
            </w:r>
          </w:p>
        </w:tc>
        <w:tc>
          <w:tcPr>
            <w:tcW w:w="215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77,510,547.45</w:t>
            </w:r>
          </w:p>
        </w:tc>
        <w:tc>
          <w:tcPr>
            <w:tcW w:w="215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36,905,344.20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878"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碳排放权资产</w:t>
            </w:r>
          </w:p>
        </w:tc>
        <w:tc>
          <w:tcPr>
            <w:tcW w:w="215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376.23</w:t>
            </w:r>
          </w:p>
        </w:tc>
        <w:tc>
          <w:tcPr>
            <w:tcW w:w="215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35,093,817.62</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878"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待处理财产损溢</w:t>
            </w:r>
          </w:p>
        </w:tc>
        <w:tc>
          <w:tcPr>
            <w:tcW w:w="215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215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325,474.97</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87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215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1,397,193,305.32</w:t>
            </w:r>
          </w:p>
        </w:tc>
        <w:tc>
          <w:tcPr>
            <w:tcW w:w="215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1,314,808,052.33</w:t>
            </w:r>
          </w:p>
        </w:tc>
      </w:tr>
    </w:tbl>
    <w:p>
      <w:pPr>
        <w:pStyle w:val="38"/>
        <w:rPr>
          <w:rFonts w:eastAsiaTheme="minorEastAsia"/>
          <w:color w:val="auto"/>
          <w:highlight w:val="none"/>
        </w:rPr>
      </w:pPr>
      <w:r>
        <w:rPr>
          <w:rFonts w:eastAsiaTheme="minorEastAsia"/>
          <w:color w:val="auto"/>
          <w:highlight w:val="none"/>
        </w:rPr>
        <w:fldChar w:fldCharType="end"/>
      </w:r>
    </w:p>
    <w:p>
      <w:pPr>
        <w:pStyle w:val="37"/>
        <w:rPr>
          <w:color w:val="auto"/>
          <w:highlight w:val="none"/>
        </w:rPr>
      </w:pPr>
      <w:r>
        <w:rPr>
          <w:rFonts w:hint="eastAsia"/>
          <w:color w:val="auto"/>
          <w:highlight w:val="none"/>
        </w:rPr>
        <w:t>债权</w:t>
      </w:r>
      <w:r>
        <w:rPr>
          <w:color w:val="auto"/>
          <w:highlight w:val="none"/>
        </w:rPr>
        <w:t>投资</w:t>
      </w:r>
    </w:p>
    <w:p>
      <w:pPr>
        <w:pStyle w:val="44"/>
        <w:numPr>
          <w:ilvl w:val="0"/>
          <w:numId w:val="0"/>
        </w:numPr>
        <w:ind w:left="1276"/>
        <w:rPr>
          <w:color w:val="auto"/>
          <w:highlight w:val="none"/>
        </w:rPr>
      </w:pPr>
      <w:r>
        <w:rPr>
          <w:rFonts w:hint="eastAsia"/>
          <w:color w:val="auto"/>
          <w:highlight w:val="none"/>
        </w:rPr>
        <w:t>债权</w:t>
      </w:r>
      <w:r>
        <w:rPr>
          <w:color w:val="auto"/>
          <w:highlight w:val="none"/>
        </w:rPr>
        <w:t>投资情况</w:t>
      </w:r>
    </w:p>
    <w:p>
      <w:pPr>
        <w:pStyle w:val="35"/>
        <w:rPr>
          <w:color w:val="auto"/>
          <w:highlight w:val="none"/>
        </w:rPr>
      </w:pPr>
      <w:r>
        <w:rPr>
          <w:b/>
          <w:color w:val="auto"/>
          <w:highlight w:val="none"/>
        </w:rPr>
        <w:fldChar w:fldCharType="begin"/>
      </w:r>
      <w:r>
        <w:rPr>
          <w:color w:val="auto"/>
          <w:highlight w:val="none"/>
        </w:rPr>
        <w:instrText xml:space="preserve"> LINK Excel.Sheet.12 E:\\雍\\附注排版\\2014年年报格式\\附注过渡表20150130V0910.xlsx </w:instrText>
      </w:r>
      <w:r>
        <w:rPr>
          <w:rFonts w:hint="eastAsia"/>
          <w:color w:val="auto"/>
          <w:highlight w:val="none"/>
        </w:rPr>
        <w:instrText xml:space="preserve">债权投资</w:instrText>
      </w:r>
      <w:r>
        <w:rPr>
          <w:color w:val="auto"/>
          <w:highlight w:val="none"/>
        </w:rPr>
        <w:instrText xml:space="preserve">!</w:instrText>
      </w:r>
      <w:r>
        <w:rPr>
          <w:rFonts w:hint="eastAsia"/>
          <w:color w:val="auto"/>
          <w:highlight w:val="none"/>
        </w:rPr>
        <w:instrText xml:space="preserve">债权投资</w:instrText>
      </w:r>
      <w:r>
        <w:rPr>
          <w:color w:val="auto"/>
          <w:highlight w:val="none"/>
        </w:rPr>
        <w:instrText xml:space="preserve"> \f 4 \h \* MERGEFORMAT </w:instrText>
      </w:r>
      <w:r>
        <w:rPr>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776"/>
        <w:gridCol w:w="1587"/>
        <w:gridCol w:w="1060"/>
        <w:gridCol w:w="1587"/>
        <w:gridCol w:w="1060"/>
        <w:gridCol w:w="1060"/>
        <w:gridCol w:w="1058"/>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776"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4234" w:type="dxa"/>
            <w:gridSpan w:val="3"/>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期末数</w:t>
            </w:r>
          </w:p>
        </w:tc>
        <w:tc>
          <w:tcPr>
            <w:tcW w:w="3178" w:type="dxa"/>
            <w:gridSpan w:val="3"/>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期初数</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776"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58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账面余额</w:t>
            </w:r>
          </w:p>
        </w:tc>
        <w:tc>
          <w:tcPr>
            <w:tcW w:w="1060"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减值准备</w:t>
            </w:r>
          </w:p>
        </w:tc>
        <w:tc>
          <w:tcPr>
            <w:tcW w:w="158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账面价值</w:t>
            </w:r>
          </w:p>
        </w:tc>
        <w:tc>
          <w:tcPr>
            <w:tcW w:w="1060"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账面余额</w:t>
            </w:r>
          </w:p>
        </w:tc>
        <w:tc>
          <w:tcPr>
            <w:tcW w:w="1060"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减值准备</w:t>
            </w:r>
          </w:p>
        </w:tc>
        <w:tc>
          <w:tcPr>
            <w:tcW w:w="105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账面价值</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77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委托借款</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5,556,721,330.61</w:t>
            </w:r>
          </w:p>
        </w:tc>
        <w:tc>
          <w:tcPr>
            <w:tcW w:w="106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5,556,721,330.61</w:t>
            </w:r>
          </w:p>
        </w:tc>
        <w:tc>
          <w:tcPr>
            <w:tcW w:w="106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06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05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776"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5,556,721,330.61</w:t>
            </w:r>
          </w:p>
        </w:tc>
        <w:tc>
          <w:tcPr>
            <w:tcW w:w="106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5,556,721,330.61</w:t>
            </w:r>
          </w:p>
        </w:tc>
        <w:tc>
          <w:tcPr>
            <w:tcW w:w="106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06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05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bl>
    <w:p>
      <w:pPr>
        <w:pStyle w:val="35"/>
        <w:rPr>
          <w:color w:val="auto"/>
          <w:highlight w:val="none"/>
        </w:rPr>
      </w:pPr>
      <w:r>
        <w:rPr>
          <w:color w:val="auto"/>
          <w:highlight w:val="none"/>
        </w:rPr>
        <w:fldChar w:fldCharType="end"/>
      </w:r>
    </w:p>
    <w:p>
      <w:pPr>
        <w:pStyle w:val="37"/>
        <w:rPr>
          <w:color w:val="auto"/>
          <w:highlight w:val="none"/>
        </w:rPr>
      </w:pPr>
      <w:r>
        <w:rPr>
          <w:rFonts w:hint="eastAsia"/>
          <w:color w:val="auto"/>
          <w:highlight w:val="none"/>
        </w:rPr>
        <w:t>其他</w:t>
      </w:r>
      <w:r>
        <w:rPr>
          <w:color w:val="auto"/>
          <w:highlight w:val="none"/>
        </w:rPr>
        <w:t>债权投资</w:t>
      </w:r>
    </w:p>
    <w:p>
      <w:pPr>
        <w:pStyle w:val="44"/>
        <w:numPr>
          <w:ilvl w:val="0"/>
          <w:numId w:val="0"/>
        </w:numPr>
        <w:ind w:left="1276"/>
        <w:rPr>
          <w:color w:val="auto"/>
          <w:highlight w:val="none"/>
        </w:rPr>
      </w:pPr>
      <w:r>
        <w:rPr>
          <w:color w:val="auto"/>
          <w:highlight w:val="none"/>
        </w:rPr>
        <w:t>其他债权投资情况</w:t>
      </w:r>
    </w:p>
    <w:p>
      <w:pPr>
        <w:pStyle w:val="35"/>
        <w:rPr>
          <w:color w:val="auto"/>
          <w:highlight w:val="none"/>
        </w:rPr>
      </w:pPr>
      <w:r>
        <w:rPr>
          <w:color w:val="auto"/>
          <w:highlight w:val="none"/>
        </w:rPr>
        <w:fldChar w:fldCharType="begin"/>
      </w:r>
      <w:r>
        <w:rPr>
          <w:color w:val="auto"/>
          <w:highlight w:val="none"/>
        </w:rPr>
        <w:instrText xml:space="preserve"> LINK Excel.Sheet.12 "D:\\tonylee\\立信标准化审计报告工具\\2018年报\\其他\\上海市国有企业财务报告参考格式（201902）\\上海国资委V2.xlsx" "其他债权投资!其他债权投资" \f 4 \h \* MERGEFORMAT </w:instrText>
      </w:r>
      <w:r>
        <w:rPr>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3687"/>
        <w:gridCol w:w="2307"/>
        <w:gridCol w:w="2194"/>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368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230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c>
          <w:tcPr>
            <w:tcW w:w="2194"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8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委托借款</w:t>
            </w:r>
          </w:p>
        </w:tc>
        <w:tc>
          <w:tcPr>
            <w:tcW w:w="230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219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3,095,369,600.92</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8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230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219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3,095,369,600.92</w:t>
            </w:r>
          </w:p>
        </w:tc>
      </w:tr>
    </w:tbl>
    <w:p>
      <w:pPr>
        <w:pStyle w:val="35"/>
        <w:rPr>
          <w:color w:val="auto"/>
          <w:highlight w:val="none"/>
        </w:rPr>
      </w:pPr>
      <w:r>
        <w:rPr>
          <w:color w:val="auto"/>
          <w:highlight w:val="none"/>
        </w:rPr>
        <w:fldChar w:fldCharType="end"/>
      </w:r>
    </w:p>
    <w:p>
      <w:pPr>
        <w:pStyle w:val="35"/>
        <w:rPr>
          <w:color w:val="auto"/>
          <w:highlight w:val="none"/>
        </w:rPr>
      </w:pPr>
    </w:p>
    <w:p>
      <w:pPr>
        <w:pStyle w:val="35"/>
        <w:rPr>
          <w:color w:val="auto"/>
          <w:highlight w:val="none"/>
        </w:rPr>
      </w:pPr>
      <w:r>
        <w:rPr>
          <w:color w:val="auto"/>
          <w:highlight w:val="none"/>
        </w:rPr>
        <w:br w:type="page"/>
      </w:r>
    </w:p>
    <w:p>
      <w:pPr>
        <w:pStyle w:val="35"/>
        <w:rPr>
          <w:color w:val="auto"/>
          <w:highlight w:val="none"/>
        </w:rPr>
        <w:sectPr>
          <w:pgSz w:w="11907" w:h="16839"/>
          <w:pgMar w:top="1440" w:right="1797" w:bottom="1440" w:left="1797" w:header="680" w:footer="992" w:gutter="0"/>
          <w:cols w:space="425" w:num="1"/>
          <w:docGrid w:linePitch="312" w:charSpace="0"/>
        </w:sectPr>
      </w:pPr>
    </w:p>
    <w:p>
      <w:pPr>
        <w:pStyle w:val="37"/>
        <w:rPr>
          <w:rFonts w:eastAsiaTheme="minorEastAsia"/>
          <w:color w:val="auto"/>
          <w:highlight w:val="none"/>
        </w:rPr>
      </w:pPr>
      <w:r>
        <w:rPr>
          <w:rFonts w:eastAsiaTheme="minorEastAsia"/>
          <w:color w:val="auto"/>
          <w:highlight w:val="none"/>
        </w:rPr>
        <w:t>长期应收款</w:t>
      </w:r>
    </w:p>
    <w:p>
      <w:pPr>
        <w:pStyle w:val="44"/>
        <w:numPr>
          <w:ilvl w:val="0"/>
          <w:numId w:val="0"/>
        </w:numPr>
        <w:ind w:left="1276"/>
        <w:rPr>
          <w:rFonts w:eastAsiaTheme="minorEastAsia"/>
          <w:color w:val="auto"/>
          <w:highlight w:val="none"/>
        </w:rPr>
      </w:pPr>
      <w:r>
        <w:rPr>
          <w:rFonts w:eastAsiaTheme="minorEastAsia"/>
          <w:color w:val="auto"/>
          <w:highlight w:val="none"/>
        </w:rPr>
        <w:t>长期应收款情况</w:t>
      </w:r>
    </w:p>
    <w:p>
      <w:pPr>
        <w:pStyle w:val="35"/>
        <w:rPr>
          <w:rFonts w:eastAsiaTheme="minorEastAsia"/>
          <w:bCs/>
          <w:color w:val="auto"/>
          <w:szCs w:val="22"/>
          <w:highlight w:val="none"/>
        </w:rPr>
      </w:pPr>
      <w:r>
        <w:rPr>
          <w:rFonts w:eastAsiaTheme="minorEastAsia"/>
          <w:b/>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!长期应收款 \f 4 \h \* MERGEFORMAT </w:instrText>
      </w:r>
      <w:r>
        <w:rPr>
          <w:rFonts w:eastAsiaTheme="minorEastAsia"/>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2185"/>
        <w:gridCol w:w="1707"/>
        <w:gridCol w:w="1707"/>
        <w:gridCol w:w="1706"/>
        <w:gridCol w:w="1872"/>
        <w:gridCol w:w="1706"/>
        <w:gridCol w:w="1706"/>
        <w:gridCol w:w="1019"/>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2185"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项目</w:t>
            </w:r>
          </w:p>
        </w:tc>
        <w:tc>
          <w:tcPr>
            <w:tcW w:w="5120" w:type="dxa"/>
            <w:gridSpan w:val="3"/>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期末数</w:t>
            </w:r>
          </w:p>
        </w:tc>
        <w:tc>
          <w:tcPr>
            <w:tcW w:w="5284" w:type="dxa"/>
            <w:gridSpan w:val="3"/>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期初数</w:t>
            </w:r>
          </w:p>
        </w:tc>
        <w:tc>
          <w:tcPr>
            <w:tcW w:w="1019"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期末折现率区间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2185"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707"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账面余额</w:t>
            </w:r>
          </w:p>
        </w:tc>
        <w:tc>
          <w:tcPr>
            <w:tcW w:w="1707"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坏账准备</w:t>
            </w:r>
          </w:p>
        </w:tc>
        <w:tc>
          <w:tcPr>
            <w:tcW w:w="1706"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账面价值</w:t>
            </w:r>
          </w:p>
        </w:tc>
        <w:tc>
          <w:tcPr>
            <w:tcW w:w="1872"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账面余额</w:t>
            </w:r>
          </w:p>
        </w:tc>
        <w:tc>
          <w:tcPr>
            <w:tcW w:w="1706"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坏账准备</w:t>
            </w:r>
          </w:p>
        </w:tc>
        <w:tc>
          <w:tcPr>
            <w:tcW w:w="1706"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账面价值</w:t>
            </w:r>
          </w:p>
        </w:tc>
        <w:tc>
          <w:tcPr>
            <w:tcW w:w="1019"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185"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融资租赁款</w:t>
            </w:r>
          </w:p>
        </w:tc>
        <w:tc>
          <w:tcPr>
            <w:tcW w:w="17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43,535,058.50</w:t>
            </w:r>
          </w:p>
        </w:tc>
        <w:tc>
          <w:tcPr>
            <w:tcW w:w="17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706"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43,535,058.50</w:t>
            </w:r>
          </w:p>
        </w:tc>
        <w:tc>
          <w:tcPr>
            <w:tcW w:w="187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184,170,970.84</w:t>
            </w:r>
          </w:p>
        </w:tc>
        <w:tc>
          <w:tcPr>
            <w:tcW w:w="1706"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706"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184,170,970.84</w:t>
            </w:r>
          </w:p>
        </w:tc>
        <w:tc>
          <w:tcPr>
            <w:tcW w:w="1019"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185"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其中：未实现融资收益</w:t>
            </w:r>
          </w:p>
        </w:tc>
        <w:tc>
          <w:tcPr>
            <w:tcW w:w="17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111,718.94</w:t>
            </w:r>
          </w:p>
        </w:tc>
        <w:tc>
          <w:tcPr>
            <w:tcW w:w="17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706"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111,718.94</w:t>
            </w:r>
          </w:p>
        </w:tc>
        <w:tc>
          <w:tcPr>
            <w:tcW w:w="187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338,992.97</w:t>
            </w:r>
          </w:p>
        </w:tc>
        <w:tc>
          <w:tcPr>
            <w:tcW w:w="1706"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706"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338,992.97</w:t>
            </w:r>
          </w:p>
        </w:tc>
        <w:tc>
          <w:tcPr>
            <w:tcW w:w="1019"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185"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分期收款销售商品</w:t>
            </w:r>
          </w:p>
        </w:tc>
        <w:tc>
          <w:tcPr>
            <w:tcW w:w="17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46,547,782.60</w:t>
            </w:r>
          </w:p>
        </w:tc>
        <w:tc>
          <w:tcPr>
            <w:tcW w:w="17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46,547,782.60</w:t>
            </w:r>
          </w:p>
        </w:tc>
        <w:tc>
          <w:tcPr>
            <w:tcW w:w="1706"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87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46,547,782.60</w:t>
            </w:r>
          </w:p>
        </w:tc>
        <w:tc>
          <w:tcPr>
            <w:tcW w:w="1706"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46,547,782.60</w:t>
            </w:r>
          </w:p>
        </w:tc>
        <w:tc>
          <w:tcPr>
            <w:tcW w:w="1706"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19"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185"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其他</w:t>
            </w:r>
          </w:p>
        </w:tc>
        <w:tc>
          <w:tcPr>
            <w:tcW w:w="17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848,806,939.70</w:t>
            </w:r>
          </w:p>
        </w:tc>
        <w:tc>
          <w:tcPr>
            <w:tcW w:w="17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666,811,100.00</w:t>
            </w:r>
          </w:p>
        </w:tc>
        <w:tc>
          <w:tcPr>
            <w:tcW w:w="1706"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181,995,839.70</w:t>
            </w:r>
          </w:p>
        </w:tc>
        <w:tc>
          <w:tcPr>
            <w:tcW w:w="187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852,172,845.00</w:t>
            </w:r>
          </w:p>
        </w:tc>
        <w:tc>
          <w:tcPr>
            <w:tcW w:w="1706"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666,811,100.00</w:t>
            </w:r>
          </w:p>
        </w:tc>
        <w:tc>
          <w:tcPr>
            <w:tcW w:w="1706"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185,361,745.00</w:t>
            </w:r>
          </w:p>
        </w:tc>
        <w:tc>
          <w:tcPr>
            <w:tcW w:w="1019"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185"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合计</w:t>
            </w:r>
          </w:p>
        </w:tc>
        <w:tc>
          <w:tcPr>
            <w:tcW w:w="17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938,889,780.80</w:t>
            </w:r>
          </w:p>
        </w:tc>
        <w:tc>
          <w:tcPr>
            <w:tcW w:w="17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713,358,882.60</w:t>
            </w:r>
          </w:p>
        </w:tc>
        <w:tc>
          <w:tcPr>
            <w:tcW w:w="1706"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225,530,898.20</w:t>
            </w:r>
          </w:p>
        </w:tc>
        <w:tc>
          <w:tcPr>
            <w:tcW w:w="187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1,082,891,598.44</w:t>
            </w:r>
          </w:p>
        </w:tc>
        <w:tc>
          <w:tcPr>
            <w:tcW w:w="1706"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713,358,882.60</w:t>
            </w:r>
          </w:p>
        </w:tc>
        <w:tc>
          <w:tcPr>
            <w:tcW w:w="1706"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369,532,715.84</w:t>
            </w:r>
          </w:p>
        </w:tc>
        <w:tc>
          <w:tcPr>
            <w:tcW w:w="1019"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p>
        </w:tc>
      </w:tr>
    </w:tbl>
    <w:p>
      <w:pPr>
        <w:pStyle w:val="35"/>
        <w:rPr>
          <w:rFonts w:eastAsiaTheme="minorEastAsia"/>
          <w:color w:val="auto"/>
          <w:highlight w:val="none"/>
        </w:rPr>
      </w:pPr>
      <w:r>
        <w:rPr>
          <w:rFonts w:eastAsiaTheme="minorEastAsia"/>
          <w:color w:val="auto"/>
          <w:highlight w:val="none"/>
        </w:rPr>
        <w:fldChar w:fldCharType="end"/>
      </w:r>
    </w:p>
    <w:p>
      <w:pPr>
        <w:pStyle w:val="35"/>
        <w:rPr>
          <w:color w:val="auto"/>
          <w:highlight w:val="none"/>
        </w:rPr>
        <w:sectPr>
          <w:pgSz w:w="16839" w:h="11907" w:orient="landscape"/>
          <w:pgMar w:top="1797" w:right="1440" w:bottom="1797" w:left="1440" w:header="680" w:footer="992" w:gutter="0"/>
          <w:cols w:space="425" w:num="1"/>
          <w:docGrid w:linePitch="312" w:charSpace="0"/>
        </w:sectPr>
      </w:pPr>
    </w:p>
    <w:p>
      <w:pPr>
        <w:pStyle w:val="37"/>
        <w:rPr>
          <w:rFonts w:eastAsiaTheme="minorEastAsia"/>
          <w:color w:val="auto"/>
          <w:highlight w:val="none"/>
        </w:rPr>
      </w:pPr>
      <w:r>
        <w:rPr>
          <w:rFonts w:eastAsiaTheme="minorEastAsia"/>
          <w:color w:val="auto"/>
          <w:highlight w:val="none"/>
        </w:rPr>
        <w:t>长期股权投资</w:t>
      </w:r>
    </w:p>
    <w:p>
      <w:pPr>
        <w:pStyle w:val="44"/>
        <w:rPr>
          <w:color w:val="auto"/>
          <w:highlight w:val="none"/>
        </w:rPr>
      </w:pPr>
      <w:r>
        <w:rPr>
          <w:color w:val="auto"/>
          <w:highlight w:val="none"/>
        </w:rPr>
        <w:t>长期股权投资分类</w:t>
      </w:r>
    </w:p>
    <w:p>
      <w:pPr>
        <w:pStyle w:val="35"/>
        <w:rPr>
          <w:color w:val="auto"/>
          <w:highlight w:val="none"/>
        </w:rPr>
      </w:pPr>
      <w:r>
        <w:rPr>
          <w:color w:val="auto"/>
          <w:highlight w:val="none"/>
        </w:rPr>
        <w:fldChar w:fldCharType="begin"/>
      </w:r>
      <w:r>
        <w:rPr>
          <w:color w:val="auto"/>
          <w:highlight w:val="none"/>
        </w:rPr>
        <w:instrText xml:space="preserve"> LINK Excel.SheetMacroEnabled.12 "D:\\tonylee\\立信\\新附注排版工具\\2015央企年报格式\\中央企业财务报表和报表附注20160818.xlsm" "合并附注!长期股权投资" \f 4 \h \* MERGEFORMAT </w:instrText>
      </w:r>
      <w:r>
        <w:rPr>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2204"/>
        <w:gridCol w:w="1587"/>
        <w:gridCol w:w="1442"/>
        <w:gridCol w:w="1368"/>
        <w:gridCol w:w="1587"/>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2204"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158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w:t>
            </w:r>
          </w:p>
        </w:tc>
        <w:tc>
          <w:tcPr>
            <w:tcW w:w="1442"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本期增加</w:t>
            </w:r>
          </w:p>
        </w:tc>
        <w:tc>
          <w:tcPr>
            <w:tcW w:w="136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本期减少</w:t>
            </w:r>
          </w:p>
        </w:tc>
        <w:tc>
          <w:tcPr>
            <w:tcW w:w="158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20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对合营企业投资</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13,722,308.13</w:t>
            </w:r>
          </w:p>
        </w:tc>
        <w:tc>
          <w:tcPr>
            <w:tcW w:w="144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2,294,833.48</w:t>
            </w:r>
          </w:p>
        </w:tc>
        <w:tc>
          <w:tcPr>
            <w:tcW w:w="136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681,534.10</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15,335,607.51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20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对联营企业投资</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1,507,952,964.16</w:t>
            </w:r>
          </w:p>
        </w:tc>
        <w:tc>
          <w:tcPr>
            <w:tcW w:w="144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468,024,187.45</w:t>
            </w:r>
          </w:p>
        </w:tc>
        <w:tc>
          <w:tcPr>
            <w:tcW w:w="136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68,708,199.84</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1,907,268,951.77</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204"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小计</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1,521,675,272.29</w:t>
            </w:r>
          </w:p>
        </w:tc>
        <w:tc>
          <w:tcPr>
            <w:tcW w:w="144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470,319,020.93</w:t>
            </w:r>
          </w:p>
        </w:tc>
        <w:tc>
          <w:tcPr>
            <w:tcW w:w="136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69,389,733.94</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1,922,604,559.28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20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减：长期股权投资减值准备</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181,000,000.00</w:t>
            </w:r>
          </w:p>
        </w:tc>
        <w:tc>
          <w:tcPr>
            <w:tcW w:w="144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6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181,000,000.00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204"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1,340,675,272.29</w:t>
            </w:r>
          </w:p>
        </w:tc>
        <w:tc>
          <w:tcPr>
            <w:tcW w:w="144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470,319,020.93</w:t>
            </w:r>
          </w:p>
        </w:tc>
        <w:tc>
          <w:tcPr>
            <w:tcW w:w="136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69,389,733.94</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1,741,604,559.28</w:t>
            </w:r>
          </w:p>
        </w:tc>
      </w:tr>
    </w:tbl>
    <w:p>
      <w:pPr>
        <w:pStyle w:val="35"/>
        <w:rPr>
          <w:color w:val="auto"/>
          <w:highlight w:val="none"/>
        </w:rPr>
      </w:pPr>
      <w:r>
        <w:rPr>
          <w:color w:val="auto"/>
          <w:highlight w:val="none"/>
        </w:rPr>
        <w:fldChar w:fldCharType="end"/>
      </w:r>
    </w:p>
    <w:p>
      <w:pPr>
        <w:pStyle w:val="35"/>
        <w:rPr>
          <w:color w:val="auto"/>
          <w:highlight w:val="none"/>
        </w:rPr>
      </w:pPr>
    </w:p>
    <w:p>
      <w:pPr>
        <w:pStyle w:val="44"/>
        <w:rPr>
          <w:color w:val="auto"/>
          <w:highlight w:val="none"/>
        </w:rPr>
        <w:sectPr>
          <w:pgSz w:w="11907" w:h="16839"/>
          <w:pgMar w:top="1440" w:right="1797" w:bottom="1440" w:left="1797" w:header="680" w:footer="992" w:gutter="0"/>
          <w:cols w:space="425" w:num="1"/>
          <w:docGrid w:linePitch="312" w:charSpace="0"/>
        </w:sectPr>
      </w:pPr>
    </w:p>
    <w:p>
      <w:pPr>
        <w:pStyle w:val="44"/>
        <w:rPr>
          <w:color w:val="auto"/>
          <w:highlight w:val="none"/>
        </w:rPr>
      </w:pPr>
      <w:r>
        <w:rPr>
          <w:color w:val="auto"/>
          <w:highlight w:val="none"/>
        </w:rPr>
        <w:t>长期股权投资明细</w:t>
      </w:r>
    </w:p>
    <w:p>
      <w:pPr>
        <w:pStyle w:val="35"/>
        <w:rPr>
          <w:color w:val="auto"/>
          <w:szCs w:val="22"/>
          <w:highlight w:val="none"/>
        </w:rPr>
      </w:pPr>
      <w:r>
        <w:rPr>
          <w:b/>
          <w:color w:val="auto"/>
          <w:highlight w:val="none"/>
        </w:rPr>
        <w:fldChar w:fldCharType="begin"/>
      </w:r>
      <w:r>
        <w:rPr>
          <w:color w:val="auto"/>
          <w:highlight w:val="none"/>
        </w:rPr>
        <w:instrText xml:space="preserve"> LINK Excel.Sheet.12 E:\\雍\\附注排版\\2014年年报格式\\附注过渡表20150130V0910.xlsx</w:instrText>
      </w:r>
      <w:r>
        <w:rPr>
          <w:rFonts w:hint="eastAsia"/>
          <w:color w:val="auto"/>
          <w:highlight w:val="none"/>
        </w:rPr>
        <w:instrText xml:space="preserve"> </w:instrText>
      </w:r>
      <w:r>
        <w:rPr>
          <w:rFonts w:hint="eastAsia" w:eastAsiaTheme="minorEastAsia"/>
          <w:color w:val="auto"/>
          <w:highlight w:val="none"/>
        </w:rPr>
        <w:instrText xml:space="preserve">合并附注</w:instrText>
      </w:r>
      <w:r>
        <w:rPr>
          <w:color w:val="auto"/>
          <w:highlight w:val="none"/>
        </w:rPr>
        <w:instrText xml:space="preserve">!长期股权投资</w:instrText>
      </w:r>
      <w:r>
        <w:rPr>
          <w:rFonts w:hint="eastAsia"/>
          <w:color w:val="auto"/>
          <w:highlight w:val="none"/>
        </w:rPr>
        <w:instrText xml:space="preserve">1</w:instrText>
      </w:r>
      <w:r>
        <w:rPr>
          <w:color w:val="auto"/>
          <w:highlight w:val="none"/>
        </w:rPr>
        <w:instrText xml:space="preserve"> \f 4 \h \* MERGEFORMAT </w:instrText>
      </w:r>
      <w:r>
        <w:rPr>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2061"/>
        <w:gridCol w:w="1273"/>
        <w:gridCol w:w="1266"/>
        <w:gridCol w:w="1154"/>
        <w:gridCol w:w="402"/>
        <w:gridCol w:w="1132"/>
        <w:gridCol w:w="485"/>
        <w:gridCol w:w="1101"/>
        <w:gridCol w:w="691"/>
        <w:gridCol w:w="469"/>
        <w:gridCol w:w="1154"/>
        <w:gridCol w:w="1266"/>
        <w:gridCol w:w="1154"/>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2061"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被投资单位</w:t>
            </w:r>
          </w:p>
        </w:tc>
        <w:tc>
          <w:tcPr>
            <w:tcW w:w="1273"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投资成本</w:t>
            </w:r>
          </w:p>
        </w:tc>
        <w:tc>
          <w:tcPr>
            <w:tcW w:w="1266"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期初余额</w:t>
            </w:r>
          </w:p>
        </w:tc>
        <w:tc>
          <w:tcPr>
            <w:tcW w:w="6588" w:type="dxa"/>
            <w:gridSpan w:val="8"/>
            <w:shd w:val="clear" w:color="auto" w:fill="auto"/>
            <w:vAlign w:val="center"/>
          </w:tcPr>
          <w:p>
            <w:pPr>
              <w:snapToGrid w:val="0"/>
              <w:spacing w:line="200" w:lineRule="atLeast"/>
              <w:jc w:val="center"/>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本期增减变动</w:t>
            </w:r>
          </w:p>
        </w:tc>
        <w:tc>
          <w:tcPr>
            <w:tcW w:w="1266"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期末余额</w:t>
            </w:r>
          </w:p>
        </w:tc>
        <w:tc>
          <w:tcPr>
            <w:tcW w:w="1154"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减值准备期末余额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2061" w:type="dxa"/>
            <w:vMerge w:val="continue"/>
            <w:shd w:val="clear" w:color="auto" w:fill="auto"/>
            <w:vAlign w:val="center"/>
          </w:tcPr>
          <w:p>
            <w:pPr>
              <w:spacing w:line="200" w:lineRule="atLeast"/>
              <w:jc w:val="both"/>
              <w:rPr>
                <w:rFonts w:ascii="Times New Roman" w:hAnsi="Times New Roman" w:eastAsia="宋体" w:cs="Times New Roman"/>
                <w:color w:val="auto"/>
                <w:sz w:val="12"/>
                <w:highlight w:val="none"/>
              </w:rPr>
            </w:pPr>
          </w:p>
        </w:tc>
        <w:tc>
          <w:tcPr>
            <w:tcW w:w="1273" w:type="dxa"/>
            <w:vMerge w:val="continue"/>
            <w:shd w:val="clear" w:color="auto" w:fill="auto"/>
            <w:vAlign w:val="center"/>
          </w:tcPr>
          <w:p>
            <w:pPr>
              <w:spacing w:line="200" w:lineRule="atLeast"/>
              <w:jc w:val="both"/>
              <w:rPr>
                <w:rFonts w:ascii="Times New Roman" w:hAnsi="Times New Roman" w:eastAsia="宋体" w:cs="Times New Roman"/>
                <w:color w:val="auto"/>
                <w:sz w:val="12"/>
                <w:highlight w:val="none"/>
              </w:rPr>
            </w:pPr>
          </w:p>
        </w:tc>
        <w:tc>
          <w:tcPr>
            <w:tcW w:w="1266" w:type="dxa"/>
            <w:vMerge w:val="continue"/>
            <w:shd w:val="clear" w:color="auto" w:fill="auto"/>
            <w:vAlign w:val="center"/>
          </w:tcPr>
          <w:p>
            <w:pPr>
              <w:spacing w:line="200" w:lineRule="atLeast"/>
              <w:jc w:val="both"/>
              <w:rPr>
                <w:rFonts w:ascii="Times New Roman" w:hAnsi="Times New Roman" w:eastAsia="宋体" w:cs="Times New Roman"/>
                <w:color w:val="auto"/>
                <w:sz w:val="12"/>
                <w:highlight w:val="none"/>
              </w:rPr>
            </w:pPr>
          </w:p>
        </w:tc>
        <w:tc>
          <w:tcPr>
            <w:tcW w:w="1154" w:type="dxa"/>
            <w:shd w:val="clear" w:color="auto" w:fill="auto"/>
            <w:vAlign w:val="center"/>
          </w:tcPr>
          <w:p>
            <w:pPr>
              <w:snapToGrid w:val="0"/>
              <w:spacing w:line="200" w:lineRule="atLeast"/>
              <w:jc w:val="center"/>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追加投资</w:t>
            </w:r>
          </w:p>
        </w:tc>
        <w:tc>
          <w:tcPr>
            <w:tcW w:w="402" w:type="dxa"/>
            <w:shd w:val="clear" w:color="auto" w:fill="auto"/>
            <w:vAlign w:val="center"/>
          </w:tcPr>
          <w:p>
            <w:pPr>
              <w:snapToGrid w:val="0"/>
              <w:spacing w:line="200" w:lineRule="atLeast"/>
              <w:jc w:val="center"/>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减少投资</w:t>
            </w:r>
          </w:p>
        </w:tc>
        <w:tc>
          <w:tcPr>
            <w:tcW w:w="1132" w:type="dxa"/>
            <w:shd w:val="clear" w:color="auto" w:fill="auto"/>
            <w:vAlign w:val="center"/>
          </w:tcPr>
          <w:p>
            <w:pPr>
              <w:snapToGrid w:val="0"/>
              <w:spacing w:line="200" w:lineRule="atLeast"/>
              <w:jc w:val="center"/>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权益法下确认的投资损益</w:t>
            </w:r>
          </w:p>
        </w:tc>
        <w:tc>
          <w:tcPr>
            <w:tcW w:w="485" w:type="dxa"/>
            <w:shd w:val="clear" w:color="auto" w:fill="auto"/>
            <w:vAlign w:val="center"/>
          </w:tcPr>
          <w:p>
            <w:pPr>
              <w:snapToGrid w:val="0"/>
              <w:spacing w:line="200" w:lineRule="atLeast"/>
              <w:jc w:val="center"/>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其他综合收益调整</w:t>
            </w:r>
          </w:p>
        </w:tc>
        <w:tc>
          <w:tcPr>
            <w:tcW w:w="1101" w:type="dxa"/>
            <w:shd w:val="clear" w:color="auto" w:fill="auto"/>
            <w:vAlign w:val="center"/>
          </w:tcPr>
          <w:p>
            <w:pPr>
              <w:snapToGrid w:val="0"/>
              <w:spacing w:line="200" w:lineRule="atLeast"/>
              <w:jc w:val="center"/>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其他权益变动</w:t>
            </w:r>
          </w:p>
        </w:tc>
        <w:tc>
          <w:tcPr>
            <w:tcW w:w="691" w:type="dxa"/>
            <w:shd w:val="clear" w:color="auto" w:fill="auto"/>
            <w:vAlign w:val="center"/>
          </w:tcPr>
          <w:p>
            <w:pPr>
              <w:snapToGrid w:val="0"/>
              <w:spacing w:line="200" w:lineRule="atLeast"/>
              <w:jc w:val="center"/>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宣告发放现金股利或利润</w:t>
            </w:r>
          </w:p>
        </w:tc>
        <w:tc>
          <w:tcPr>
            <w:tcW w:w="469" w:type="dxa"/>
            <w:shd w:val="clear" w:color="auto" w:fill="auto"/>
            <w:vAlign w:val="center"/>
          </w:tcPr>
          <w:p>
            <w:pPr>
              <w:snapToGrid w:val="0"/>
              <w:spacing w:line="200" w:lineRule="atLeast"/>
              <w:jc w:val="center"/>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计提减值准备</w:t>
            </w:r>
          </w:p>
        </w:tc>
        <w:tc>
          <w:tcPr>
            <w:tcW w:w="1154" w:type="dxa"/>
            <w:shd w:val="clear" w:color="auto" w:fill="auto"/>
            <w:vAlign w:val="center"/>
          </w:tcPr>
          <w:p>
            <w:pPr>
              <w:snapToGrid w:val="0"/>
              <w:spacing w:line="200" w:lineRule="atLeast"/>
              <w:jc w:val="center"/>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其他</w:t>
            </w:r>
          </w:p>
        </w:tc>
        <w:tc>
          <w:tcPr>
            <w:tcW w:w="1266" w:type="dxa"/>
            <w:vMerge w:val="continue"/>
            <w:shd w:val="clear" w:color="auto" w:fill="auto"/>
            <w:vAlign w:val="center"/>
          </w:tcPr>
          <w:p>
            <w:pPr>
              <w:spacing w:line="200" w:lineRule="atLeast"/>
              <w:jc w:val="both"/>
              <w:rPr>
                <w:rFonts w:ascii="Times New Roman" w:hAnsi="Times New Roman" w:eastAsia="宋体" w:cs="Times New Roman"/>
                <w:color w:val="auto"/>
                <w:sz w:val="12"/>
                <w:highlight w:val="none"/>
              </w:rPr>
            </w:pPr>
          </w:p>
        </w:tc>
        <w:tc>
          <w:tcPr>
            <w:tcW w:w="1154" w:type="dxa"/>
            <w:vMerge w:val="continue"/>
            <w:shd w:val="clear" w:color="auto" w:fill="auto"/>
            <w:vAlign w:val="center"/>
          </w:tcPr>
          <w:p>
            <w:pPr>
              <w:spacing w:line="200" w:lineRule="atLeast"/>
              <w:jc w:val="both"/>
              <w:rPr>
                <w:rFonts w:ascii="Times New Roman" w:hAnsi="Times New Roman" w:eastAsia="宋体" w:cs="Times New Roman"/>
                <w:color w:val="auto"/>
                <w:sz w:val="12"/>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61" w:type="dxa"/>
            <w:shd w:val="clear" w:color="auto" w:fill="auto"/>
            <w:vAlign w:val="center"/>
          </w:tcPr>
          <w:p>
            <w:pPr>
              <w:snapToGrid w:val="0"/>
              <w:spacing w:line="200" w:lineRule="atLeast"/>
              <w:jc w:val="center"/>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合计</w:t>
            </w:r>
          </w:p>
        </w:tc>
        <w:tc>
          <w:tcPr>
            <w:tcW w:w="1273"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2,994,749,457.28</w:t>
            </w: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1,521,675,272.29</w:t>
            </w: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163,096,300.00</w:t>
            </w:r>
          </w:p>
        </w:tc>
        <w:tc>
          <w:tcPr>
            <w:tcW w:w="40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44,407,853.19</w:t>
            </w:r>
          </w:p>
        </w:tc>
        <w:tc>
          <w:tcPr>
            <w:tcW w:w="485"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0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-2,509,730.11</w:t>
            </w:r>
          </w:p>
        </w:tc>
        <w:tc>
          <w:tcPr>
            <w:tcW w:w="69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69"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195,934,863.91</w:t>
            </w: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1,922,604,559.28</w:t>
            </w: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181,000,000.00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61" w:type="dxa"/>
            <w:shd w:val="clear" w:color="auto" w:fill="auto"/>
            <w:vAlign w:val="center"/>
          </w:tcPr>
          <w:p>
            <w:pPr>
              <w:snapToGrid w:val="0"/>
              <w:spacing w:line="200" w:lineRule="atLeast"/>
              <w:jc w:val="lef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一、合营企业</w:t>
            </w:r>
          </w:p>
        </w:tc>
        <w:tc>
          <w:tcPr>
            <w:tcW w:w="1273"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11,800,000.00</w:t>
            </w: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13,722,308.13</w:t>
            </w: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1,500,000.00</w:t>
            </w:r>
          </w:p>
        </w:tc>
        <w:tc>
          <w:tcPr>
            <w:tcW w:w="40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515,855.43</w:t>
            </w:r>
          </w:p>
        </w:tc>
        <w:tc>
          <w:tcPr>
            <w:tcW w:w="485"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0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278,978.05</w:t>
            </w:r>
          </w:p>
        </w:tc>
        <w:tc>
          <w:tcPr>
            <w:tcW w:w="69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69"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-681,534.10</w:t>
            </w: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15,335,607.51</w:t>
            </w: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61" w:type="dxa"/>
            <w:shd w:val="clear" w:color="auto" w:fill="auto"/>
            <w:vAlign w:val="center"/>
          </w:tcPr>
          <w:p>
            <w:pPr>
              <w:snapToGrid w:val="0"/>
              <w:spacing w:line="200" w:lineRule="atLeast"/>
              <w:jc w:val="lef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阿拉善金元新能源有限公司</w:t>
            </w:r>
          </w:p>
        </w:tc>
        <w:tc>
          <w:tcPr>
            <w:tcW w:w="1273"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9,800,000.00</w:t>
            </w: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13,222,308.13</w:t>
            </w: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0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332,139.46</w:t>
            </w:r>
          </w:p>
        </w:tc>
        <w:tc>
          <w:tcPr>
            <w:tcW w:w="485"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0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278,978.05</w:t>
            </w:r>
          </w:p>
        </w:tc>
        <w:tc>
          <w:tcPr>
            <w:tcW w:w="69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69"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13,833,425.64</w:t>
            </w: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61" w:type="dxa"/>
            <w:shd w:val="clear" w:color="auto" w:fill="auto"/>
            <w:vAlign w:val="center"/>
          </w:tcPr>
          <w:p>
            <w:pPr>
              <w:snapToGrid w:val="0"/>
              <w:spacing w:line="200" w:lineRule="atLeast"/>
              <w:jc w:val="lef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贵州绿动能源有限公司</w:t>
            </w:r>
          </w:p>
        </w:tc>
        <w:tc>
          <w:tcPr>
            <w:tcW w:w="1273"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1,500,000.00</w:t>
            </w: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1,500,000.00</w:t>
            </w:r>
          </w:p>
        </w:tc>
        <w:tc>
          <w:tcPr>
            <w:tcW w:w="40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2,181.87</w:t>
            </w:r>
          </w:p>
        </w:tc>
        <w:tc>
          <w:tcPr>
            <w:tcW w:w="485"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0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69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69"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1,502,181.87</w:t>
            </w: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61" w:type="dxa"/>
            <w:shd w:val="clear" w:color="auto" w:fill="auto"/>
            <w:vAlign w:val="center"/>
          </w:tcPr>
          <w:p>
            <w:pPr>
              <w:snapToGrid w:val="0"/>
              <w:spacing w:line="200" w:lineRule="atLeast"/>
              <w:jc w:val="lef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青海金旗新能源有限责任公司</w:t>
            </w:r>
          </w:p>
        </w:tc>
        <w:tc>
          <w:tcPr>
            <w:tcW w:w="1273"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500,000.00</w:t>
            </w: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500,000.00</w:t>
            </w: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0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181,534.10</w:t>
            </w:r>
          </w:p>
        </w:tc>
        <w:tc>
          <w:tcPr>
            <w:tcW w:w="485"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0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69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69"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-681,534.10</w:t>
            </w: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61" w:type="dxa"/>
            <w:shd w:val="clear" w:color="auto" w:fill="auto"/>
            <w:vAlign w:val="center"/>
          </w:tcPr>
          <w:p>
            <w:pPr>
              <w:snapToGrid w:val="0"/>
              <w:spacing w:line="200" w:lineRule="atLeast"/>
              <w:jc w:val="lef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二、联营企业</w:t>
            </w:r>
          </w:p>
        </w:tc>
        <w:tc>
          <w:tcPr>
            <w:tcW w:w="1273"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2,982,949,457.28</w:t>
            </w: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1,507,952,964.16</w:t>
            </w: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161,596,300.00</w:t>
            </w:r>
          </w:p>
        </w:tc>
        <w:tc>
          <w:tcPr>
            <w:tcW w:w="40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43,891,997.76</w:t>
            </w:r>
          </w:p>
        </w:tc>
        <w:tc>
          <w:tcPr>
            <w:tcW w:w="485"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0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-2,788,708.16</w:t>
            </w:r>
          </w:p>
        </w:tc>
        <w:tc>
          <w:tcPr>
            <w:tcW w:w="69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69"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196,616,398.01</w:t>
            </w: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1,907,268,951.77</w:t>
            </w: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181,000,000.00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61" w:type="dxa"/>
            <w:shd w:val="clear" w:color="auto" w:fill="auto"/>
            <w:vAlign w:val="center"/>
          </w:tcPr>
          <w:p>
            <w:pPr>
              <w:snapToGrid w:val="0"/>
              <w:spacing w:line="200" w:lineRule="atLeast"/>
              <w:jc w:val="lef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贵州织金平远清洁能源有限责任公司</w:t>
            </w:r>
          </w:p>
        </w:tc>
        <w:tc>
          <w:tcPr>
            <w:tcW w:w="1273"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380,000,000.00</w:t>
            </w: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250,000,000.00</w:t>
            </w: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130,000,000.00</w:t>
            </w:r>
          </w:p>
        </w:tc>
        <w:tc>
          <w:tcPr>
            <w:tcW w:w="40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85"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0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69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69"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380,000,000.00</w:t>
            </w: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61" w:type="dxa"/>
            <w:shd w:val="clear" w:color="auto" w:fill="auto"/>
            <w:vAlign w:val="center"/>
          </w:tcPr>
          <w:p>
            <w:pPr>
              <w:snapToGrid w:val="0"/>
              <w:spacing w:line="200" w:lineRule="atLeast"/>
              <w:jc w:val="lef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贵州黔西能源开发有限公司</w:t>
            </w:r>
          </w:p>
        </w:tc>
        <w:tc>
          <w:tcPr>
            <w:tcW w:w="1273"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37,500,000.00</w:t>
            </w: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252,672,321.91</w:t>
            </w: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0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46,273,781.32</w:t>
            </w:r>
          </w:p>
        </w:tc>
        <w:tc>
          <w:tcPr>
            <w:tcW w:w="485"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0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2,469,335.75</w:t>
            </w:r>
          </w:p>
        </w:tc>
        <w:tc>
          <w:tcPr>
            <w:tcW w:w="69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69"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301,415,438.98</w:t>
            </w: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61" w:type="dxa"/>
            <w:shd w:val="clear" w:color="auto" w:fill="auto"/>
            <w:vAlign w:val="center"/>
          </w:tcPr>
          <w:p>
            <w:pPr>
              <w:snapToGrid w:val="0"/>
              <w:spacing w:line="200" w:lineRule="atLeast"/>
              <w:jc w:val="lef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贵州能发电力燃料开发有限公司</w:t>
            </w:r>
          </w:p>
        </w:tc>
        <w:tc>
          <w:tcPr>
            <w:tcW w:w="1273"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132,097,375.24</w:t>
            </w: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0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85"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0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69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69"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265,324,550.31</w:t>
            </w: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265,324,550.31</w:t>
            </w: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61" w:type="dxa"/>
            <w:shd w:val="clear" w:color="auto" w:fill="auto"/>
            <w:vAlign w:val="center"/>
          </w:tcPr>
          <w:p>
            <w:pPr>
              <w:snapToGrid w:val="0"/>
              <w:spacing w:line="200" w:lineRule="atLeast"/>
              <w:jc w:val="lef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贵州省西威新能源有限公司</w:t>
            </w:r>
          </w:p>
        </w:tc>
        <w:tc>
          <w:tcPr>
            <w:tcW w:w="1273"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186,383,365.00</w:t>
            </w: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235,209,786.52</w:t>
            </w: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0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15,089,852.15</w:t>
            </w:r>
          </w:p>
        </w:tc>
        <w:tc>
          <w:tcPr>
            <w:tcW w:w="485"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0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1,219,745.52</w:t>
            </w:r>
          </w:p>
        </w:tc>
        <w:tc>
          <w:tcPr>
            <w:tcW w:w="69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69"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251,519,384.19</w:t>
            </w: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61" w:type="dxa"/>
            <w:shd w:val="clear" w:color="auto" w:fill="auto"/>
            <w:vAlign w:val="center"/>
          </w:tcPr>
          <w:p>
            <w:pPr>
              <w:snapToGrid w:val="0"/>
              <w:spacing w:line="200" w:lineRule="atLeast"/>
              <w:jc w:val="lef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贵州发耳煤业有限公司</w:t>
            </w:r>
          </w:p>
        </w:tc>
        <w:tc>
          <w:tcPr>
            <w:tcW w:w="1273"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81,990,000.00</w:t>
            </w: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237,027,441.04</w:t>
            </w: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0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-34,307.66</w:t>
            </w:r>
          </w:p>
        </w:tc>
        <w:tc>
          <w:tcPr>
            <w:tcW w:w="485"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0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-6,850,511.57</w:t>
            </w:r>
          </w:p>
        </w:tc>
        <w:tc>
          <w:tcPr>
            <w:tcW w:w="69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69"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230,142,621.81</w:t>
            </w: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61" w:type="dxa"/>
            <w:shd w:val="clear" w:color="auto" w:fill="auto"/>
            <w:vAlign w:val="center"/>
          </w:tcPr>
          <w:p>
            <w:pPr>
              <w:snapToGrid w:val="0"/>
              <w:spacing w:line="200" w:lineRule="atLeast"/>
              <w:jc w:val="lef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国家电投集团（贵安新区）数据中心有限公司</w:t>
            </w:r>
          </w:p>
        </w:tc>
        <w:tc>
          <w:tcPr>
            <w:tcW w:w="1273"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138,796,300.00</w:t>
            </w: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107,200,000.00</w:t>
            </w: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31,596,300.00</w:t>
            </w:r>
          </w:p>
        </w:tc>
        <w:tc>
          <w:tcPr>
            <w:tcW w:w="40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1,224,571.37</w:t>
            </w:r>
          </w:p>
        </w:tc>
        <w:tc>
          <w:tcPr>
            <w:tcW w:w="485"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0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69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69"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140,020,871.37</w:t>
            </w: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61" w:type="dxa"/>
            <w:shd w:val="clear" w:color="auto" w:fill="auto"/>
            <w:vAlign w:val="center"/>
          </w:tcPr>
          <w:p>
            <w:pPr>
              <w:snapToGrid w:val="0"/>
              <w:spacing w:line="200" w:lineRule="atLeast"/>
              <w:jc w:val="lef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贵州钟山野马寨热电有限责任公司</w:t>
            </w:r>
          </w:p>
        </w:tc>
        <w:tc>
          <w:tcPr>
            <w:tcW w:w="1273"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100,000,000.00</w:t>
            </w: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100,000,000.00</w:t>
            </w: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0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85"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0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69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69"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100,000,000.00</w:t>
            </w: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100,000,000.00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61" w:type="dxa"/>
            <w:shd w:val="clear" w:color="auto" w:fill="auto"/>
            <w:vAlign w:val="center"/>
          </w:tcPr>
          <w:p>
            <w:pPr>
              <w:snapToGrid w:val="0"/>
              <w:spacing w:line="200" w:lineRule="atLeast"/>
              <w:jc w:val="lef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贵州红威公路有限责任公司</w:t>
            </w:r>
          </w:p>
        </w:tc>
        <w:tc>
          <w:tcPr>
            <w:tcW w:w="1273"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77,000,000.00</w:t>
            </w: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77,000,000.00</w:t>
            </w: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0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85"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0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69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69"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77,000,000.00</w:t>
            </w: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77,000,000.00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61" w:type="dxa"/>
            <w:shd w:val="clear" w:color="auto" w:fill="auto"/>
            <w:vAlign w:val="center"/>
          </w:tcPr>
          <w:p>
            <w:pPr>
              <w:snapToGrid w:val="0"/>
              <w:spacing w:line="200" w:lineRule="atLeast"/>
              <w:jc w:val="lef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贵州远达金元环保有限公司</w:t>
            </w:r>
          </w:p>
        </w:tc>
        <w:tc>
          <w:tcPr>
            <w:tcW w:w="1273"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45,000,000.00</w:t>
            </w: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61,515,828.85</w:t>
            </w: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0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4,810,471.05</w:t>
            </w:r>
          </w:p>
        </w:tc>
        <w:tc>
          <w:tcPr>
            <w:tcW w:w="485"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0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69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69"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66,326,299.90</w:t>
            </w: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61" w:type="dxa"/>
            <w:shd w:val="clear" w:color="auto" w:fill="auto"/>
            <w:vAlign w:val="center"/>
          </w:tcPr>
          <w:p>
            <w:pPr>
              <w:snapToGrid w:val="0"/>
              <w:spacing w:line="200" w:lineRule="atLeast"/>
              <w:jc w:val="lef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四川兴鼎电力有限责任公司</w:t>
            </w:r>
          </w:p>
        </w:tc>
        <w:tc>
          <w:tcPr>
            <w:tcW w:w="1273"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450,000,000.00</w:t>
            </w: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33,349,033.20</w:t>
            </w: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0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6,902,623.83</w:t>
            </w:r>
          </w:p>
        </w:tc>
        <w:tc>
          <w:tcPr>
            <w:tcW w:w="485"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0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121,045.80</w:t>
            </w:r>
          </w:p>
        </w:tc>
        <w:tc>
          <w:tcPr>
            <w:tcW w:w="69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69"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40,372,702.83</w:t>
            </w: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61" w:type="dxa"/>
            <w:shd w:val="clear" w:color="auto" w:fill="auto"/>
            <w:vAlign w:val="center"/>
          </w:tcPr>
          <w:p>
            <w:pPr>
              <w:snapToGrid w:val="0"/>
              <w:spacing w:line="200" w:lineRule="atLeast"/>
              <w:jc w:val="lef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贵州金泽新能源科技有限公司</w:t>
            </w:r>
          </w:p>
        </w:tc>
        <w:tc>
          <w:tcPr>
            <w:tcW w:w="1273"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72,000,000.00</w:t>
            </w: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61,909,484.55</w:t>
            </w: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0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-32,008,814.38</w:t>
            </w:r>
          </w:p>
        </w:tc>
        <w:tc>
          <w:tcPr>
            <w:tcW w:w="485"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0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217,768.27</w:t>
            </w:r>
          </w:p>
        </w:tc>
        <w:tc>
          <w:tcPr>
            <w:tcW w:w="69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69"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30,118,438.44</w:t>
            </w: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61" w:type="dxa"/>
            <w:shd w:val="clear" w:color="auto" w:fill="auto"/>
            <w:vAlign w:val="center"/>
          </w:tcPr>
          <w:p>
            <w:pPr>
              <w:snapToGrid w:val="0"/>
              <w:spacing w:line="200" w:lineRule="atLeast"/>
              <w:jc w:val="lef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国能荔波荔都水电发展有限责任公司</w:t>
            </w:r>
          </w:p>
        </w:tc>
        <w:tc>
          <w:tcPr>
            <w:tcW w:w="1273"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10,462,000.00</w:t>
            </w: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17,606,174.55</w:t>
            </w: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0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3,336,969.39</w:t>
            </w:r>
          </w:p>
        </w:tc>
        <w:tc>
          <w:tcPr>
            <w:tcW w:w="485"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0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33,908.07</w:t>
            </w:r>
          </w:p>
        </w:tc>
        <w:tc>
          <w:tcPr>
            <w:tcW w:w="69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69"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47.54</w:t>
            </w: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20,977,099.55</w:t>
            </w: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61" w:type="dxa"/>
            <w:shd w:val="clear" w:color="auto" w:fill="auto"/>
            <w:vAlign w:val="center"/>
          </w:tcPr>
          <w:p>
            <w:pPr>
              <w:snapToGrid w:val="0"/>
              <w:spacing w:line="200" w:lineRule="atLeast"/>
              <w:jc w:val="lef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贵州云之龙电煤运输投资有限公司</w:t>
            </w:r>
          </w:p>
        </w:tc>
        <w:tc>
          <w:tcPr>
            <w:tcW w:w="1273"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4,000,000.00</w:t>
            </w: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4,000,000.00</w:t>
            </w: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0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85"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0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69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69"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4,000,000.00</w:t>
            </w: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4,000,000.00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61" w:type="dxa"/>
            <w:shd w:val="clear" w:color="auto" w:fill="auto"/>
            <w:vAlign w:val="center"/>
          </w:tcPr>
          <w:p>
            <w:pPr>
              <w:snapToGrid w:val="0"/>
              <w:spacing w:line="200" w:lineRule="atLeast"/>
              <w:jc w:val="lef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深圳金深新能源有限公司</w:t>
            </w:r>
          </w:p>
        </w:tc>
        <w:tc>
          <w:tcPr>
            <w:tcW w:w="1273"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4,200,000.00</w:t>
            </w: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2,962,469.54</w:t>
            </w: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0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-2,910,934.15</w:t>
            </w:r>
          </w:p>
        </w:tc>
        <w:tc>
          <w:tcPr>
            <w:tcW w:w="485"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0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69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69"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51,535.39</w:t>
            </w: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61" w:type="dxa"/>
            <w:shd w:val="clear" w:color="auto" w:fill="auto"/>
            <w:vAlign w:val="center"/>
          </w:tcPr>
          <w:p>
            <w:pPr>
              <w:snapToGrid w:val="0"/>
              <w:spacing w:line="200" w:lineRule="atLeast"/>
              <w:jc w:val="lef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贵州金诚能源有限责任公司</w:t>
            </w:r>
          </w:p>
        </w:tc>
        <w:tc>
          <w:tcPr>
            <w:tcW w:w="1273"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9.00</w:t>
            </w: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9.00</w:t>
            </w: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0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85"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0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69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69"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9.00</w:t>
            </w: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61" w:type="dxa"/>
            <w:shd w:val="clear" w:color="auto" w:fill="auto"/>
            <w:vAlign w:val="center"/>
          </w:tcPr>
          <w:p>
            <w:pPr>
              <w:snapToGrid w:val="0"/>
              <w:spacing w:line="200" w:lineRule="atLeast"/>
              <w:jc w:val="lef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大唐贵州发耳发电有限公司</w:t>
            </w:r>
          </w:p>
        </w:tc>
        <w:tc>
          <w:tcPr>
            <w:tcW w:w="1273"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829,475,062.50</w:t>
            </w: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0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85"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0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69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69"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61" w:type="dxa"/>
            <w:shd w:val="clear" w:color="auto" w:fill="auto"/>
            <w:vAlign w:val="center"/>
          </w:tcPr>
          <w:p>
            <w:pPr>
              <w:snapToGrid w:val="0"/>
              <w:spacing w:line="200" w:lineRule="atLeast"/>
              <w:jc w:val="lef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贵州大方发电有限公司</w:t>
            </w:r>
          </w:p>
        </w:tc>
        <w:tc>
          <w:tcPr>
            <w:tcW w:w="1273"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202,845,345.54</w:t>
            </w: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0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85"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0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69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69"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61" w:type="dxa"/>
            <w:shd w:val="clear" w:color="auto" w:fill="auto"/>
            <w:vAlign w:val="center"/>
          </w:tcPr>
          <w:p>
            <w:pPr>
              <w:snapToGrid w:val="0"/>
              <w:spacing w:line="200" w:lineRule="atLeast"/>
              <w:jc w:val="lef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遵义智源配售电有限公司</w:t>
            </w:r>
          </w:p>
        </w:tc>
        <w:tc>
          <w:tcPr>
            <w:tcW w:w="1273"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67,500,000.00</w:t>
            </w: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67,500,415.00</w:t>
            </w: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0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1,207,784.84</w:t>
            </w:r>
          </w:p>
        </w:tc>
        <w:tc>
          <w:tcPr>
            <w:tcW w:w="485"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0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69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69"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-68,708,199.84</w:t>
            </w: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61" w:type="dxa"/>
            <w:shd w:val="clear" w:color="auto" w:fill="auto"/>
            <w:vAlign w:val="center"/>
          </w:tcPr>
          <w:p>
            <w:pPr>
              <w:snapToGrid w:val="0"/>
              <w:spacing w:line="200" w:lineRule="atLeast"/>
              <w:jc w:val="lef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贵州五轮山煤业有限公司</w:t>
            </w:r>
          </w:p>
        </w:tc>
        <w:tc>
          <w:tcPr>
            <w:tcW w:w="1273"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60,000,000.00</w:t>
            </w: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0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85"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0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69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69"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61" w:type="dxa"/>
            <w:shd w:val="clear" w:color="auto" w:fill="auto"/>
            <w:vAlign w:val="center"/>
          </w:tcPr>
          <w:p>
            <w:pPr>
              <w:snapToGrid w:val="0"/>
              <w:spacing w:line="200" w:lineRule="atLeast"/>
              <w:jc w:val="lef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贵州能发高山矿业有限公司</w:t>
            </w:r>
          </w:p>
        </w:tc>
        <w:tc>
          <w:tcPr>
            <w:tcW w:w="1273"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51,000,000.00</w:t>
            </w: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0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85"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0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69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69"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61" w:type="dxa"/>
            <w:shd w:val="clear" w:color="auto" w:fill="auto"/>
            <w:vAlign w:val="center"/>
          </w:tcPr>
          <w:p>
            <w:pPr>
              <w:snapToGrid w:val="0"/>
              <w:spacing w:line="200" w:lineRule="atLeast"/>
              <w:jc w:val="lef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贵州比德煤业有限公司</w:t>
            </w:r>
          </w:p>
        </w:tc>
        <w:tc>
          <w:tcPr>
            <w:tcW w:w="1273"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48,000,000.00</w:t>
            </w: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0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85"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0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69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69"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61" w:type="dxa"/>
            <w:shd w:val="clear" w:color="auto" w:fill="auto"/>
            <w:vAlign w:val="center"/>
          </w:tcPr>
          <w:p>
            <w:pPr>
              <w:snapToGrid w:val="0"/>
              <w:spacing w:line="200" w:lineRule="atLeast"/>
              <w:jc w:val="lef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贵州玉舍煤业有限公司</w:t>
            </w:r>
          </w:p>
        </w:tc>
        <w:tc>
          <w:tcPr>
            <w:tcW w:w="1273"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4,200,000.00</w:t>
            </w: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0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85"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0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69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69"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61" w:type="dxa"/>
            <w:shd w:val="clear" w:color="auto" w:fill="auto"/>
            <w:vAlign w:val="center"/>
          </w:tcPr>
          <w:p>
            <w:pPr>
              <w:snapToGrid w:val="0"/>
              <w:spacing w:line="200" w:lineRule="atLeast"/>
              <w:jc w:val="lef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贵州泰元能源有限责任公司</w:t>
            </w:r>
          </w:p>
        </w:tc>
        <w:tc>
          <w:tcPr>
            <w:tcW w:w="1273"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r>
              <w:rPr>
                <w:rFonts w:ascii="Times New Roman" w:hAnsi="Times New Roman" w:eastAsia="宋体" w:cs="Times New Roman"/>
                <w:color w:val="auto"/>
                <w:sz w:val="12"/>
                <w:szCs w:val="15"/>
                <w:highlight w:val="none"/>
              </w:rPr>
              <w:t>500,000.00</w:t>
            </w: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0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85"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0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691"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469"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266"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c>
          <w:tcPr>
            <w:tcW w:w="1154" w:type="dxa"/>
            <w:shd w:val="clear" w:color="auto" w:fill="auto"/>
            <w:vAlign w:val="center"/>
          </w:tcPr>
          <w:p>
            <w:pPr>
              <w:snapToGrid w:val="0"/>
              <w:spacing w:line="200" w:lineRule="atLeast"/>
              <w:jc w:val="right"/>
              <w:rPr>
                <w:rFonts w:ascii="Times New Roman" w:hAnsi="Times New Roman" w:eastAsia="宋体" w:cs="Times New Roman"/>
                <w:color w:val="auto"/>
                <w:sz w:val="12"/>
                <w:szCs w:val="15"/>
                <w:highlight w:val="none"/>
              </w:rPr>
            </w:pPr>
          </w:p>
        </w:tc>
      </w:tr>
    </w:tbl>
    <w:p>
      <w:pPr>
        <w:pStyle w:val="35"/>
        <w:rPr>
          <w:color w:val="auto"/>
          <w:highlight w:val="none"/>
        </w:rPr>
      </w:pPr>
      <w:r>
        <w:rPr>
          <w:color w:val="auto"/>
          <w:highlight w:val="none"/>
        </w:rPr>
        <w:fldChar w:fldCharType="end"/>
      </w:r>
      <w:r>
        <w:rPr>
          <w:rFonts w:hint="eastAsia"/>
          <w:color w:val="auto"/>
          <w:highlight w:val="none"/>
        </w:rPr>
        <w:t>注：本期增减变动中，“其他”变动</w:t>
      </w:r>
      <w:r>
        <w:rPr>
          <w:color w:val="auto"/>
          <w:highlight w:val="none"/>
        </w:rPr>
        <w:t>195,934,863.91</w:t>
      </w:r>
      <w:r>
        <w:rPr>
          <w:rFonts w:hint="eastAsia"/>
          <w:color w:val="auto"/>
          <w:highlight w:val="none"/>
        </w:rPr>
        <w:t>元，构成如下：</w:t>
      </w:r>
    </w:p>
    <w:p>
      <w:pPr>
        <w:pStyle w:val="35"/>
        <w:rPr>
          <w:color w:val="auto"/>
          <w:highlight w:val="none"/>
        </w:rPr>
      </w:pPr>
      <w:r>
        <w:rPr>
          <w:rFonts w:hint="eastAsia"/>
          <w:color w:val="auto"/>
          <w:highlight w:val="none"/>
        </w:rPr>
        <w:t>①本期公司对青海金旗新能源有限责任公司长期股权投资核算方式由权益法转为成本法，其他变动</w:t>
      </w:r>
      <w:r>
        <w:rPr>
          <w:color w:val="auto"/>
          <w:highlight w:val="none"/>
        </w:rPr>
        <w:t>-681,534.10</w:t>
      </w:r>
      <w:r>
        <w:rPr>
          <w:rFonts w:hint="eastAsia"/>
          <w:color w:val="auto"/>
          <w:highlight w:val="none"/>
        </w:rPr>
        <w:t>元；</w:t>
      </w:r>
    </w:p>
    <w:p>
      <w:pPr>
        <w:pStyle w:val="35"/>
        <w:rPr>
          <w:color w:val="auto"/>
          <w:highlight w:val="none"/>
        </w:rPr>
      </w:pPr>
      <w:r>
        <w:rPr>
          <w:rFonts w:hint="eastAsia"/>
          <w:color w:val="auto"/>
          <w:highlight w:val="none"/>
        </w:rPr>
        <w:t>②本期公司对遵义智源配售电有限公司长期股权投资核算方式由权益法转为成本法，其他变动-</w:t>
      </w:r>
      <w:r>
        <w:rPr>
          <w:color w:val="auto"/>
          <w:highlight w:val="none"/>
        </w:rPr>
        <w:t>68,708,199.84</w:t>
      </w:r>
      <w:r>
        <w:rPr>
          <w:rFonts w:hint="eastAsia"/>
          <w:color w:val="auto"/>
          <w:highlight w:val="none"/>
        </w:rPr>
        <w:t>元；</w:t>
      </w:r>
    </w:p>
    <w:p>
      <w:pPr>
        <w:pStyle w:val="35"/>
        <w:rPr>
          <w:color w:val="auto"/>
          <w:highlight w:val="none"/>
        </w:rPr>
      </w:pPr>
      <w:r>
        <w:rPr>
          <w:rFonts w:hint="eastAsia"/>
          <w:color w:val="auto"/>
          <w:highlight w:val="none"/>
        </w:rPr>
        <w:t>③本期公司对贵州能发电力燃料开发有限公司长期股权投资核算方式由成本法转为权益法，其他变动</w:t>
      </w:r>
      <w:r>
        <w:rPr>
          <w:color w:val="auto"/>
          <w:highlight w:val="none"/>
        </w:rPr>
        <w:t>265,324,550.31</w:t>
      </w:r>
      <w:r>
        <w:rPr>
          <w:rFonts w:hint="eastAsia"/>
          <w:color w:val="auto"/>
          <w:highlight w:val="none"/>
        </w:rPr>
        <w:t>元，详见“财务报表附注七、（三）本期不再纳入合并范围的原子公司”。</w:t>
      </w:r>
    </w:p>
    <w:p>
      <w:pPr>
        <w:pStyle w:val="35"/>
        <w:rPr>
          <w:color w:val="auto"/>
          <w:highlight w:val="none"/>
        </w:rPr>
      </w:pPr>
      <w:r>
        <w:rPr>
          <w:rFonts w:hint="eastAsia"/>
          <w:color w:val="auto"/>
          <w:highlight w:val="none"/>
        </w:rPr>
        <w:t>④本期公司调整以前年度对国能荔波荔都水电发展有限责任公司确认的分红尾差，其他变动47.54元。</w:t>
      </w:r>
    </w:p>
    <w:p>
      <w:pPr>
        <w:pStyle w:val="38"/>
        <w:rPr>
          <w:rFonts w:eastAsiaTheme="minorEastAsia"/>
          <w:color w:val="auto"/>
          <w:highlight w:val="none"/>
        </w:rPr>
        <w:sectPr>
          <w:pgSz w:w="16839" w:h="11907" w:orient="landscape"/>
          <w:pgMar w:top="1797" w:right="1440" w:bottom="1797" w:left="1440" w:header="794" w:footer="992" w:gutter="0"/>
          <w:cols w:space="425" w:num="1"/>
          <w:docGrid w:linePitch="312" w:charSpace="0"/>
        </w:sectPr>
      </w:pPr>
    </w:p>
    <w:p>
      <w:pPr>
        <w:pStyle w:val="44"/>
        <w:rPr>
          <w:color w:val="auto"/>
          <w:highlight w:val="none"/>
        </w:rPr>
      </w:pPr>
      <w:r>
        <w:rPr>
          <w:rFonts w:hint="eastAsia"/>
          <w:color w:val="auto"/>
          <w:highlight w:val="none"/>
        </w:rPr>
        <w:t>重要联</w:t>
      </w:r>
      <w:r>
        <w:rPr>
          <w:color w:val="auto"/>
          <w:highlight w:val="none"/>
        </w:rPr>
        <w:t>营企业</w:t>
      </w:r>
      <w:r>
        <w:rPr>
          <w:rFonts w:hint="eastAsia"/>
          <w:color w:val="auto"/>
          <w:highlight w:val="none"/>
        </w:rPr>
        <w:t>的主要财务信息</w:t>
      </w:r>
    </w:p>
    <w:p>
      <w:pPr>
        <w:pStyle w:val="35"/>
        <w:rPr>
          <w:color w:val="auto"/>
          <w:highlight w:val="none"/>
        </w:rPr>
      </w:pPr>
      <w:r>
        <w:rPr>
          <w:color w:val="auto"/>
          <w:highlight w:val="none"/>
        </w:rPr>
        <w:fldChar w:fldCharType="begin"/>
      </w:r>
      <w:r>
        <w:rPr>
          <w:color w:val="auto"/>
          <w:highlight w:val="none"/>
        </w:rPr>
        <w:instrText xml:space="preserve"> LINK Excel.SheetMacroEnabled.12 "D:\\tonylee\\立信\\新附注排版工具\\2015央企年报格式\\中央企业财务报表和报表附注20160818.xlsm" "合并附注!长期股权投资3" \f 4 \h \* MERGEFORMAT </w:instrText>
      </w:r>
      <w:r>
        <w:rPr>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2586"/>
        <w:gridCol w:w="1372"/>
        <w:gridCol w:w="1371"/>
        <w:gridCol w:w="1372"/>
        <w:gridCol w:w="1487"/>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2586"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项目</w:t>
            </w:r>
          </w:p>
        </w:tc>
        <w:tc>
          <w:tcPr>
            <w:tcW w:w="2743"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本期数</w:t>
            </w:r>
          </w:p>
        </w:tc>
        <w:tc>
          <w:tcPr>
            <w:tcW w:w="2859"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上期数</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2586"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372"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贵州织金平远清洁能源有限责任公司</w:t>
            </w:r>
          </w:p>
        </w:tc>
        <w:tc>
          <w:tcPr>
            <w:tcW w:w="1371"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四川兴鼎电力有限责任公司</w:t>
            </w:r>
          </w:p>
        </w:tc>
        <w:tc>
          <w:tcPr>
            <w:tcW w:w="1372"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贵州织金平远清洁能源有限责任公司</w:t>
            </w:r>
          </w:p>
        </w:tc>
        <w:tc>
          <w:tcPr>
            <w:tcW w:w="1487"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四川兴鼎电力有限责任公司</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586"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流动资产</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344,768,593.79</w:t>
            </w:r>
          </w:p>
        </w:tc>
        <w:tc>
          <w:tcPr>
            <w:tcW w:w="137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23,357,997.63</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93,245,780.49</w:t>
            </w:r>
          </w:p>
        </w:tc>
        <w:tc>
          <w:tcPr>
            <w:tcW w:w="148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72,293,080.98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586"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非流动资产</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2,905,422,807.55</w:t>
            </w:r>
          </w:p>
        </w:tc>
        <w:tc>
          <w:tcPr>
            <w:tcW w:w="137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4,820,758,941.42</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1,238,201,676.25</w:t>
            </w:r>
          </w:p>
        </w:tc>
        <w:tc>
          <w:tcPr>
            <w:tcW w:w="148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4,512,638,660.65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586"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资产合计</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3,250,191,401.34</w:t>
            </w:r>
          </w:p>
        </w:tc>
        <w:tc>
          <w:tcPr>
            <w:tcW w:w="137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4,844,116,939.05</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1,331,447,456.74</w:t>
            </w:r>
          </w:p>
        </w:tc>
        <w:tc>
          <w:tcPr>
            <w:tcW w:w="148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4,584,931,741.63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586"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流动负债</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46,162,126.68</w:t>
            </w:r>
          </w:p>
        </w:tc>
        <w:tc>
          <w:tcPr>
            <w:tcW w:w="137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610,033,451.12</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3,418,182.08</w:t>
            </w:r>
          </w:p>
        </w:tc>
        <w:tc>
          <w:tcPr>
            <w:tcW w:w="148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323,727,768.60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586"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非流动负债</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2,444,029,274.66</w:t>
            </w:r>
          </w:p>
        </w:tc>
        <w:tc>
          <w:tcPr>
            <w:tcW w:w="137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3,319,784,168.75</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828,029,274.66</w:t>
            </w:r>
          </w:p>
        </w:tc>
        <w:tc>
          <w:tcPr>
            <w:tcW w:w="148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3,380,750,078.23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586"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负债合计</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2,490,191,401.34</w:t>
            </w:r>
          </w:p>
        </w:tc>
        <w:tc>
          <w:tcPr>
            <w:tcW w:w="137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3,929,817,619.87</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831,447,456.74</w:t>
            </w:r>
          </w:p>
        </w:tc>
        <w:tc>
          <w:tcPr>
            <w:tcW w:w="148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3,704,477,846.83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586"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净资产</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760,000,000.00</w:t>
            </w:r>
          </w:p>
        </w:tc>
        <w:tc>
          <w:tcPr>
            <w:tcW w:w="137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913,405,695.34</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500,000,000.00</w:t>
            </w:r>
          </w:p>
        </w:tc>
        <w:tc>
          <w:tcPr>
            <w:tcW w:w="148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880,453,894.80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586"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按持股比例计算的净资产份额</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380,000,000.00</w:t>
            </w:r>
          </w:p>
        </w:tc>
        <w:tc>
          <w:tcPr>
            <w:tcW w:w="137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40,372,702.83</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250,000,000.00</w:t>
            </w:r>
          </w:p>
        </w:tc>
        <w:tc>
          <w:tcPr>
            <w:tcW w:w="148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188,681,269.66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586"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调整事项</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7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48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586"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对联营企业权益投资的账面价值</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380,000,000.00</w:t>
            </w:r>
          </w:p>
        </w:tc>
        <w:tc>
          <w:tcPr>
            <w:tcW w:w="137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40,372,702.83</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380,000,000.00</w:t>
            </w:r>
          </w:p>
        </w:tc>
        <w:tc>
          <w:tcPr>
            <w:tcW w:w="148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33,349,033.20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586"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存在公开报价的权益投资的公允价值</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7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48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586"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营业收入</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7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137,289,777.96</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48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151,911,986.62</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586"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净利润</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7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57,429,135.66</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48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68,631,212.90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586"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其他综合收益</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7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48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586"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综合收益总额</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7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57,429,135.66</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48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68,631,212.90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586"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企业本期收到的来自联营企业的股利</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7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48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r>
    </w:tbl>
    <w:p>
      <w:pPr>
        <w:pStyle w:val="35"/>
        <w:rPr>
          <w:color w:val="auto"/>
          <w:highlight w:val="none"/>
        </w:rPr>
      </w:pPr>
      <w:r>
        <w:rPr>
          <w:color w:val="auto"/>
          <w:highlight w:val="none"/>
        </w:rPr>
        <w:fldChar w:fldCharType="end"/>
      </w:r>
    </w:p>
    <w:p>
      <w:pPr>
        <w:pStyle w:val="44"/>
        <w:rPr>
          <w:color w:val="auto"/>
          <w:highlight w:val="none"/>
        </w:rPr>
      </w:pPr>
      <w:r>
        <w:rPr>
          <w:rFonts w:hint="eastAsia"/>
          <w:color w:val="auto"/>
          <w:highlight w:val="none"/>
        </w:rPr>
        <w:t>不重要合营企业和联</w:t>
      </w:r>
      <w:r>
        <w:rPr>
          <w:color w:val="auto"/>
          <w:highlight w:val="none"/>
        </w:rPr>
        <w:t>营企业</w:t>
      </w:r>
      <w:r>
        <w:rPr>
          <w:rFonts w:hint="eastAsia"/>
          <w:color w:val="auto"/>
          <w:highlight w:val="none"/>
        </w:rPr>
        <w:t>的汇总信息</w:t>
      </w:r>
    </w:p>
    <w:p>
      <w:pPr>
        <w:pStyle w:val="35"/>
        <w:rPr>
          <w:rFonts w:asciiTheme="minorHAnsi" w:hAnsiTheme="minorHAnsi" w:eastAsiaTheme="minorEastAsia" w:cstheme="minorBidi"/>
          <w:color w:val="auto"/>
          <w:highlight w:val="none"/>
        </w:rPr>
      </w:pPr>
      <w:r>
        <w:rPr>
          <w:color w:val="auto"/>
          <w:highlight w:val="none"/>
        </w:rPr>
        <w:fldChar w:fldCharType="begin"/>
      </w:r>
      <w:r>
        <w:rPr>
          <w:color w:val="auto"/>
          <w:highlight w:val="none"/>
        </w:rPr>
        <w:instrText xml:space="preserve"> LINK Excel.SheetMacroEnabled.12 "D:\\tonylee\\立信\\新附注排版工具\\2015央企年报格式\\中央企业财务报表和报表附注20160818.xlsm" "合并附注!长期股权投资4" \f 4 \h \* MERGEFORMAT </w:instrText>
      </w:r>
      <w:r>
        <w:rPr>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4053"/>
        <w:gridCol w:w="2081"/>
        <w:gridCol w:w="2054"/>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4053"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项目</w:t>
            </w:r>
          </w:p>
        </w:tc>
        <w:tc>
          <w:tcPr>
            <w:tcW w:w="2081"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本期数</w:t>
            </w:r>
          </w:p>
        </w:tc>
        <w:tc>
          <w:tcPr>
            <w:tcW w:w="2054"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上期数</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05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合营企业：</w:t>
            </w:r>
          </w:p>
        </w:tc>
        <w:tc>
          <w:tcPr>
            <w:tcW w:w="208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205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05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投资账面价值合计</w:t>
            </w:r>
          </w:p>
        </w:tc>
        <w:tc>
          <w:tcPr>
            <w:tcW w:w="208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15,335,607.51</w:t>
            </w:r>
          </w:p>
        </w:tc>
        <w:tc>
          <w:tcPr>
            <w:tcW w:w="205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13,722,308.13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05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下列各项按持股比例计算的合计数</w:t>
            </w:r>
          </w:p>
        </w:tc>
        <w:tc>
          <w:tcPr>
            <w:tcW w:w="208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205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05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净利润</w:t>
            </w:r>
          </w:p>
        </w:tc>
        <w:tc>
          <w:tcPr>
            <w:tcW w:w="208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513,673.56</w:t>
            </w:r>
          </w:p>
        </w:tc>
        <w:tc>
          <w:tcPr>
            <w:tcW w:w="205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3,422,308.13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05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其他综合收益</w:t>
            </w:r>
          </w:p>
        </w:tc>
        <w:tc>
          <w:tcPr>
            <w:tcW w:w="208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205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05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综合收益总额</w:t>
            </w:r>
          </w:p>
        </w:tc>
        <w:tc>
          <w:tcPr>
            <w:tcW w:w="208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513,673.56</w:t>
            </w:r>
          </w:p>
        </w:tc>
        <w:tc>
          <w:tcPr>
            <w:tcW w:w="205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3,422,308.13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05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联营企业：</w:t>
            </w:r>
          </w:p>
        </w:tc>
        <w:tc>
          <w:tcPr>
            <w:tcW w:w="208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205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05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投资账面价值合计</w:t>
            </w:r>
          </w:p>
        </w:tc>
        <w:tc>
          <w:tcPr>
            <w:tcW w:w="208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1,305,896,248.94</w:t>
            </w:r>
          </w:p>
        </w:tc>
        <w:tc>
          <w:tcPr>
            <w:tcW w:w="205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1,043,603,930.96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05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下列各项按持股比例计算的合计数</w:t>
            </w:r>
          </w:p>
        </w:tc>
        <w:tc>
          <w:tcPr>
            <w:tcW w:w="208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205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05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净利润</w:t>
            </w:r>
          </w:p>
        </w:tc>
        <w:tc>
          <w:tcPr>
            <w:tcW w:w="208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32,180,956.41</w:t>
            </w:r>
          </w:p>
        </w:tc>
        <w:tc>
          <w:tcPr>
            <w:tcW w:w="205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55,487,964.40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05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其他综合收益</w:t>
            </w:r>
          </w:p>
        </w:tc>
        <w:tc>
          <w:tcPr>
            <w:tcW w:w="208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205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05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综合收益总额</w:t>
            </w:r>
          </w:p>
        </w:tc>
        <w:tc>
          <w:tcPr>
            <w:tcW w:w="208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32,180,956.41</w:t>
            </w:r>
          </w:p>
        </w:tc>
        <w:tc>
          <w:tcPr>
            <w:tcW w:w="205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55,487,964.40</w:t>
            </w:r>
          </w:p>
        </w:tc>
      </w:tr>
    </w:tbl>
    <w:p>
      <w:pPr>
        <w:pStyle w:val="35"/>
        <w:ind w:left="0"/>
        <w:rPr>
          <w:color w:val="auto"/>
          <w:highlight w:val="none"/>
        </w:rPr>
        <w:sectPr>
          <w:pgSz w:w="11907" w:h="16839"/>
          <w:pgMar w:top="1440" w:right="1797" w:bottom="1440" w:left="1797" w:header="680" w:footer="992" w:gutter="0"/>
          <w:cols w:space="425" w:num="1"/>
          <w:docGrid w:linePitch="312" w:charSpace="0"/>
        </w:sectPr>
      </w:pPr>
      <w:r>
        <w:rPr>
          <w:color w:val="auto"/>
          <w:highlight w:val="none"/>
        </w:rPr>
        <w:fldChar w:fldCharType="end"/>
      </w:r>
    </w:p>
    <w:p>
      <w:pPr>
        <w:pStyle w:val="37"/>
        <w:rPr>
          <w:rFonts w:eastAsiaTheme="minorEastAsia"/>
          <w:color w:val="auto"/>
          <w:highlight w:val="none"/>
        </w:rPr>
      </w:pPr>
      <w:r>
        <w:rPr>
          <w:rFonts w:hint="eastAsia" w:eastAsiaTheme="minorEastAsia"/>
          <w:color w:val="auto"/>
          <w:highlight w:val="none"/>
        </w:rPr>
        <w:t>其他</w:t>
      </w:r>
      <w:r>
        <w:rPr>
          <w:rFonts w:eastAsiaTheme="minorEastAsia"/>
          <w:color w:val="auto"/>
          <w:highlight w:val="none"/>
        </w:rPr>
        <w:t>权益工具投资</w:t>
      </w:r>
    </w:p>
    <w:p>
      <w:pPr>
        <w:pStyle w:val="38"/>
        <w:rPr>
          <w:b/>
          <w:bCs/>
          <w:color w:val="auto"/>
          <w:highlight w:val="none"/>
        </w:rPr>
      </w:pPr>
      <w:r>
        <w:rPr>
          <w:rFonts w:hint="eastAsia"/>
          <w:b/>
          <w:bCs/>
          <w:color w:val="auto"/>
          <w:highlight w:val="none"/>
        </w:rPr>
        <w:t>其他权益工具投资情况</w:t>
      </w:r>
    </w:p>
    <w:p>
      <w:pPr>
        <w:pStyle w:val="38"/>
        <w:rPr>
          <w:rFonts w:asciiTheme="minorHAnsi" w:hAnsiTheme="minorHAnsi" w:cstheme="minorBidi"/>
          <w:color w:val="auto"/>
          <w:highlight w:val="none"/>
        </w:rPr>
      </w:pPr>
      <w:r>
        <w:rPr>
          <w:color w:val="auto"/>
          <w:highlight w:val="none"/>
        </w:rPr>
        <w:fldChar w:fldCharType="begin"/>
      </w:r>
      <w:r>
        <w:rPr>
          <w:color w:val="auto"/>
          <w:highlight w:val="none"/>
        </w:rPr>
        <w:instrText xml:space="preserve"> LINK Excel.Sheet.12 "D:\\vsWorkspace\\branches\\20190430\\StandardTemplateTool\\template\\SASAC\\Frame\\202412\\SASACFinancialReports.xlsx" "其他权益工具投资!其他权益工具投资" \f 4 \h \* MERGEFORMAT </w:instrText>
      </w:r>
      <w:r>
        <w:rPr>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3199"/>
        <w:gridCol w:w="1747"/>
        <w:gridCol w:w="1601"/>
        <w:gridCol w:w="1456"/>
        <w:gridCol w:w="1457"/>
        <w:gridCol w:w="1601"/>
        <w:gridCol w:w="1311"/>
        <w:gridCol w:w="1236"/>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3199"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174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c>
          <w:tcPr>
            <w:tcW w:w="160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w:t>
            </w:r>
          </w:p>
        </w:tc>
        <w:tc>
          <w:tcPr>
            <w:tcW w:w="1456"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本期确认的股利收入</w:t>
            </w:r>
          </w:p>
        </w:tc>
        <w:tc>
          <w:tcPr>
            <w:tcW w:w="145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本期计入其他综合收益的利得或损失</w:t>
            </w:r>
          </w:p>
        </w:tc>
        <w:tc>
          <w:tcPr>
            <w:tcW w:w="160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截至期末累计计入其他综合收益的利得或损失</w:t>
            </w:r>
          </w:p>
        </w:tc>
        <w:tc>
          <w:tcPr>
            <w:tcW w:w="131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其他综合收益转入留存收益的金额</w:t>
            </w:r>
          </w:p>
        </w:tc>
        <w:tc>
          <w:tcPr>
            <w:tcW w:w="1236"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其他综合收益转入留存收益的原因</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199"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贵州西能煤炭勘查开发有限公司</w:t>
            </w:r>
          </w:p>
        </w:tc>
        <w:tc>
          <w:tcPr>
            <w:tcW w:w="174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39,351,550.65</w:t>
            </w:r>
          </w:p>
        </w:tc>
        <w:tc>
          <w:tcPr>
            <w:tcW w:w="160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38,826,104.46</w:t>
            </w:r>
          </w:p>
        </w:tc>
        <w:tc>
          <w:tcPr>
            <w:tcW w:w="1456"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c>
          <w:tcPr>
            <w:tcW w:w="145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525,446.19</w:t>
            </w:r>
          </w:p>
        </w:tc>
        <w:tc>
          <w:tcPr>
            <w:tcW w:w="160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24,351,550.65</w:t>
            </w:r>
          </w:p>
        </w:tc>
        <w:tc>
          <w:tcPr>
            <w:tcW w:w="131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c>
          <w:tcPr>
            <w:tcW w:w="1236"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199"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贵州电力交易中心有限责任公司</w:t>
            </w:r>
          </w:p>
        </w:tc>
        <w:tc>
          <w:tcPr>
            <w:tcW w:w="174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10,120,234.80</w:t>
            </w:r>
          </w:p>
        </w:tc>
        <w:tc>
          <w:tcPr>
            <w:tcW w:w="160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9,497,797.20</w:t>
            </w:r>
          </w:p>
        </w:tc>
        <w:tc>
          <w:tcPr>
            <w:tcW w:w="1456"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c>
          <w:tcPr>
            <w:tcW w:w="145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622,437.60</w:t>
            </w:r>
          </w:p>
        </w:tc>
        <w:tc>
          <w:tcPr>
            <w:tcW w:w="160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3,489,503.09</w:t>
            </w:r>
          </w:p>
        </w:tc>
        <w:tc>
          <w:tcPr>
            <w:tcW w:w="131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c>
          <w:tcPr>
            <w:tcW w:w="1236"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199"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黄织铁路有限责任公司</w:t>
            </w:r>
          </w:p>
        </w:tc>
        <w:tc>
          <w:tcPr>
            <w:tcW w:w="174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c>
          <w:tcPr>
            <w:tcW w:w="160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w:t>
            </w:r>
          </w:p>
        </w:tc>
        <w:tc>
          <w:tcPr>
            <w:tcW w:w="1456"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c>
          <w:tcPr>
            <w:tcW w:w="145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c>
          <w:tcPr>
            <w:tcW w:w="160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-67,271,000.00</w:t>
            </w:r>
          </w:p>
        </w:tc>
        <w:tc>
          <w:tcPr>
            <w:tcW w:w="131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c>
          <w:tcPr>
            <w:tcW w:w="1236"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199"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贵州北盘江电力股份有限公司</w:t>
            </w:r>
          </w:p>
        </w:tc>
        <w:tc>
          <w:tcPr>
            <w:tcW w:w="174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842,077,987.54</w:t>
            </w:r>
          </w:p>
        </w:tc>
        <w:tc>
          <w:tcPr>
            <w:tcW w:w="160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822,467,317.49</w:t>
            </w:r>
          </w:p>
        </w:tc>
        <w:tc>
          <w:tcPr>
            <w:tcW w:w="1456"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36,232,800.00</w:t>
            </w:r>
          </w:p>
        </w:tc>
        <w:tc>
          <w:tcPr>
            <w:tcW w:w="145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19,610,670.05</w:t>
            </w:r>
          </w:p>
        </w:tc>
        <w:tc>
          <w:tcPr>
            <w:tcW w:w="160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389,167,987.54</w:t>
            </w:r>
          </w:p>
        </w:tc>
        <w:tc>
          <w:tcPr>
            <w:tcW w:w="131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c>
          <w:tcPr>
            <w:tcW w:w="1236"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199"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贵州乾朗钢材物流有限公司</w:t>
            </w:r>
          </w:p>
        </w:tc>
        <w:tc>
          <w:tcPr>
            <w:tcW w:w="174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12,640,571.56</w:t>
            </w:r>
          </w:p>
        </w:tc>
        <w:tc>
          <w:tcPr>
            <w:tcW w:w="160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9,194,800.00</w:t>
            </w:r>
          </w:p>
        </w:tc>
        <w:tc>
          <w:tcPr>
            <w:tcW w:w="1456"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c>
          <w:tcPr>
            <w:tcW w:w="145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3,445,771.56</w:t>
            </w:r>
          </w:p>
        </w:tc>
        <w:tc>
          <w:tcPr>
            <w:tcW w:w="160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3,445,771.56</w:t>
            </w:r>
          </w:p>
        </w:tc>
        <w:tc>
          <w:tcPr>
            <w:tcW w:w="131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c>
          <w:tcPr>
            <w:tcW w:w="1236"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199"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贵州中岭矿业有限责任公司</w:t>
            </w:r>
          </w:p>
        </w:tc>
        <w:tc>
          <w:tcPr>
            <w:tcW w:w="174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0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5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5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0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-31,786,150.00</w:t>
            </w:r>
          </w:p>
        </w:tc>
        <w:tc>
          <w:tcPr>
            <w:tcW w:w="131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23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199"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贵州湘能实业有限公司</w:t>
            </w:r>
          </w:p>
        </w:tc>
        <w:tc>
          <w:tcPr>
            <w:tcW w:w="174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0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5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5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0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-60,000,000.00</w:t>
            </w:r>
          </w:p>
        </w:tc>
        <w:tc>
          <w:tcPr>
            <w:tcW w:w="131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23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199"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174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904,190,344.55</w:t>
            </w:r>
          </w:p>
        </w:tc>
        <w:tc>
          <w:tcPr>
            <w:tcW w:w="160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879,986,019.15</w:t>
            </w:r>
          </w:p>
        </w:tc>
        <w:tc>
          <w:tcPr>
            <w:tcW w:w="145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36,232,800.00</w:t>
            </w:r>
          </w:p>
        </w:tc>
        <w:tc>
          <w:tcPr>
            <w:tcW w:w="145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24,204,325.40</w:t>
            </w:r>
          </w:p>
        </w:tc>
        <w:tc>
          <w:tcPr>
            <w:tcW w:w="160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261,397,662.84</w:t>
            </w:r>
          </w:p>
        </w:tc>
        <w:tc>
          <w:tcPr>
            <w:tcW w:w="131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23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p>
        </w:tc>
      </w:tr>
    </w:tbl>
    <w:p>
      <w:pPr>
        <w:pStyle w:val="38"/>
        <w:rPr>
          <w:color w:val="auto"/>
          <w:highlight w:val="none"/>
        </w:rPr>
      </w:pPr>
      <w:r>
        <w:rPr>
          <w:color w:val="auto"/>
          <w:highlight w:val="none"/>
        </w:rPr>
        <w:fldChar w:fldCharType="end"/>
      </w:r>
    </w:p>
    <w:p>
      <w:pPr>
        <w:pStyle w:val="35"/>
        <w:rPr>
          <w:rFonts w:eastAsiaTheme="minorEastAsia"/>
          <w:color w:val="auto"/>
          <w:highlight w:val="none"/>
        </w:rPr>
      </w:pPr>
    </w:p>
    <w:p>
      <w:pPr>
        <w:pStyle w:val="38"/>
        <w:rPr>
          <w:color w:val="auto"/>
          <w:highlight w:val="none"/>
        </w:rPr>
        <w:sectPr>
          <w:pgSz w:w="16839" w:h="11907" w:orient="landscape"/>
          <w:pgMar w:top="1797" w:right="1440" w:bottom="1797" w:left="1440" w:header="680" w:footer="992" w:gutter="0"/>
          <w:cols w:space="425" w:num="1"/>
          <w:docGrid w:linePitch="312" w:charSpace="0"/>
        </w:sectPr>
      </w:pPr>
    </w:p>
    <w:p>
      <w:pPr>
        <w:pStyle w:val="37"/>
        <w:rPr>
          <w:color w:val="auto"/>
          <w:highlight w:val="none"/>
        </w:rPr>
      </w:pPr>
      <w:r>
        <w:rPr>
          <w:rFonts w:eastAsiaTheme="minorEastAsia"/>
          <w:color w:val="auto"/>
          <w:highlight w:val="none"/>
        </w:rPr>
        <w:t>投资性房地产</w:t>
      </w:r>
    </w:p>
    <w:p>
      <w:pPr>
        <w:pStyle w:val="44"/>
        <w:rPr>
          <w:rFonts w:eastAsiaTheme="minorEastAsia"/>
          <w:color w:val="auto"/>
          <w:highlight w:val="none"/>
        </w:rPr>
      </w:pPr>
      <w:r>
        <w:rPr>
          <w:rFonts w:hint="eastAsia" w:eastAsiaTheme="minorEastAsia"/>
          <w:color w:val="auto"/>
          <w:highlight w:val="none"/>
        </w:rPr>
        <w:t>以公允价值计量</w:t>
      </w:r>
    </w:p>
    <w:p>
      <w:pPr>
        <w:pStyle w:val="35"/>
        <w:rPr>
          <w:rFonts w:eastAsiaTheme="minorEastAsia"/>
          <w:color w:val="auto"/>
          <w:szCs w:val="22"/>
          <w:highlight w:val="none"/>
        </w:rPr>
      </w:pPr>
      <w:r>
        <w:rPr>
          <w:rFonts w:eastAsiaTheme="minorEastAsia"/>
          <w:b/>
          <w:bCs/>
          <w:color w:val="auto"/>
          <w:highlight w:val="none"/>
          <w:shd w:val="pct10" w:color="auto" w:fill="FFFFFF"/>
        </w:rPr>
        <w:fldChar w:fldCharType="begin"/>
      </w:r>
      <w:r>
        <w:rPr>
          <w:rFonts w:eastAsiaTheme="minorEastAsia"/>
          <w:color w:val="auto"/>
          <w:highlight w:val="none"/>
          <w:shd w:val="pct10" w:color="auto" w:fill="FFFFFF"/>
        </w:rPr>
        <w:instrText xml:space="preserve"> LINK Excel.Sheet.12 E:\\雍\\附注排版\\2014年年报格式\\附注过渡表20150130V0910.xlsx</w:instrText>
      </w:r>
      <w:r>
        <w:rPr>
          <w:rFonts w:hint="eastAsia" w:eastAsiaTheme="minorEastAsia"/>
          <w:color w:val="auto"/>
          <w:highlight w:val="none"/>
          <w:shd w:val="pct10" w:color="auto" w:fill="FFFFFF"/>
        </w:rPr>
        <w:instrText xml:space="preserve"> </w:instrText>
      </w:r>
      <w:r>
        <w:rPr>
          <w:rFonts w:hint="eastAsia" w:eastAsiaTheme="minorEastAsia"/>
          <w:color w:val="auto"/>
          <w:highlight w:val="none"/>
        </w:rPr>
        <w:instrText xml:space="preserve">合并附注</w:instrText>
      </w:r>
      <w:r>
        <w:rPr>
          <w:rFonts w:eastAsiaTheme="minorEastAsia"/>
          <w:color w:val="auto"/>
          <w:highlight w:val="none"/>
          <w:shd w:val="pct10" w:color="auto" w:fill="FFFFFF"/>
        </w:rPr>
        <w:instrText xml:space="preserve">!投资性房地产1 \f 4 \h \* MERGEFORMAT </w:instrText>
      </w:r>
      <w:r>
        <w:rPr>
          <w:rFonts w:eastAsiaTheme="minorEastAsia"/>
          <w:b/>
          <w:bCs/>
          <w:color w:val="auto"/>
          <w:highlight w:val="none"/>
          <w:shd w:val="pct10" w:color="auto" w:fill="FFFFFF"/>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2932"/>
        <w:gridCol w:w="1635"/>
        <w:gridCol w:w="1505"/>
        <w:gridCol w:w="1505"/>
        <w:gridCol w:w="1505"/>
        <w:gridCol w:w="1505"/>
        <w:gridCol w:w="1505"/>
        <w:gridCol w:w="1516"/>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2932"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1635"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期初公允价值</w:t>
            </w:r>
          </w:p>
        </w:tc>
        <w:tc>
          <w:tcPr>
            <w:tcW w:w="4515" w:type="dxa"/>
            <w:gridSpan w:val="3"/>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本期增加</w:t>
            </w:r>
          </w:p>
        </w:tc>
        <w:tc>
          <w:tcPr>
            <w:tcW w:w="3010"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本期减少</w:t>
            </w:r>
          </w:p>
        </w:tc>
        <w:tc>
          <w:tcPr>
            <w:tcW w:w="1516"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期末公允价值</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2932"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635"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50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购置</w:t>
            </w:r>
          </w:p>
        </w:tc>
        <w:tc>
          <w:tcPr>
            <w:tcW w:w="150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自用房地产或存货转入</w:t>
            </w:r>
          </w:p>
        </w:tc>
        <w:tc>
          <w:tcPr>
            <w:tcW w:w="150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公允价值变动损益</w:t>
            </w:r>
          </w:p>
        </w:tc>
        <w:tc>
          <w:tcPr>
            <w:tcW w:w="150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处置</w:t>
            </w:r>
          </w:p>
        </w:tc>
        <w:tc>
          <w:tcPr>
            <w:tcW w:w="150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转为自用房地产</w:t>
            </w:r>
          </w:p>
        </w:tc>
        <w:tc>
          <w:tcPr>
            <w:tcW w:w="1516"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93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一、成本合计</w:t>
            </w:r>
          </w:p>
        </w:tc>
        <w:tc>
          <w:tcPr>
            <w:tcW w:w="163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796,161,290.05</w:t>
            </w:r>
          </w:p>
        </w:tc>
        <w:tc>
          <w:tcPr>
            <w:tcW w:w="15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796,161,290.05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93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其中：1、房屋、建筑物</w:t>
            </w:r>
          </w:p>
        </w:tc>
        <w:tc>
          <w:tcPr>
            <w:tcW w:w="163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660,871,369.20</w:t>
            </w:r>
          </w:p>
        </w:tc>
        <w:tc>
          <w:tcPr>
            <w:tcW w:w="15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660,871,369.20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93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2、土地使用权</w:t>
            </w:r>
          </w:p>
        </w:tc>
        <w:tc>
          <w:tcPr>
            <w:tcW w:w="163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135,289,920.85</w:t>
            </w:r>
          </w:p>
        </w:tc>
        <w:tc>
          <w:tcPr>
            <w:tcW w:w="15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135,289,920.85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93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二、公允价值变动合计</w:t>
            </w:r>
          </w:p>
        </w:tc>
        <w:tc>
          <w:tcPr>
            <w:tcW w:w="163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203,783,935.74</w:t>
            </w:r>
          </w:p>
        </w:tc>
        <w:tc>
          <w:tcPr>
            <w:tcW w:w="15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-23,661,070.91</w:t>
            </w:r>
          </w:p>
        </w:tc>
        <w:tc>
          <w:tcPr>
            <w:tcW w:w="15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1,285,710.30</w:t>
            </w:r>
          </w:p>
        </w:tc>
        <w:tc>
          <w:tcPr>
            <w:tcW w:w="15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178,837,154.53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93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其中：1、房屋、建筑物</w:t>
            </w:r>
          </w:p>
        </w:tc>
        <w:tc>
          <w:tcPr>
            <w:tcW w:w="163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131,468,834.66</w:t>
            </w:r>
          </w:p>
        </w:tc>
        <w:tc>
          <w:tcPr>
            <w:tcW w:w="15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-23,248,573.71</w:t>
            </w:r>
          </w:p>
        </w:tc>
        <w:tc>
          <w:tcPr>
            <w:tcW w:w="15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1,285,710.30</w:t>
            </w:r>
          </w:p>
        </w:tc>
        <w:tc>
          <w:tcPr>
            <w:tcW w:w="15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106,934,550.65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93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2、土地使用权</w:t>
            </w:r>
          </w:p>
        </w:tc>
        <w:tc>
          <w:tcPr>
            <w:tcW w:w="163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72,315,101.08</w:t>
            </w:r>
          </w:p>
        </w:tc>
        <w:tc>
          <w:tcPr>
            <w:tcW w:w="15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-412,497.20</w:t>
            </w:r>
          </w:p>
        </w:tc>
        <w:tc>
          <w:tcPr>
            <w:tcW w:w="15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71,902,603.88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93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三、投资性房地产账面价值合计</w:t>
            </w:r>
          </w:p>
        </w:tc>
        <w:tc>
          <w:tcPr>
            <w:tcW w:w="163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999,945,225.79</w:t>
            </w:r>
          </w:p>
        </w:tc>
        <w:tc>
          <w:tcPr>
            <w:tcW w:w="15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-23,661,070.91</w:t>
            </w:r>
          </w:p>
        </w:tc>
        <w:tc>
          <w:tcPr>
            <w:tcW w:w="15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1,285,710.30</w:t>
            </w:r>
          </w:p>
        </w:tc>
        <w:tc>
          <w:tcPr>
            <w:tcW w:w="15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974,998,444.58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93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其中：1、房屋、建筑物</w:t>
            </w:r>
          </w:p>
        </w:tc>
        <w:tc>
          <w:tcPr>
            <w:tcW w:w="163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792,340,203.86</w:t>
            </w:r>
          </w:p>
        </w:tc>
        <w:tc>
          <w:tcPr>
            <w:tcW w:w="15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-23,248,573.71</w:t>
            </w:r>
          </w:p>
        </w:tc>
        <w:tc>
          <w:tcPr>
            <w:tcW w:w="15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1,285,710.30</w:t>
            </w:r>
          </w:p>
        </w:tc>
        <w:tc>
          <w:tcPr>
            <w:tcW w:w="15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767,805,919.85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93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2、土地使用权</w:t>
            </w:r>
          </w:p>
        </w:tc>
        <w:tc>
          <w:tcPr>
            <w:tcW w:w="163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207,605,021.93</w:t>
            </w:r>
          </w:p>
        </w:tc>
        <w:tc>
          <w:tcPr>
            <w:tcW w:w="15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-412,497.20</w:t>
            </w:r>
          </w:p>
        </w:tc>
        <w:tc>
          <w:tcPr>
            <w:tcW w:w="15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207,192,524.73</w:t>
            </w:r>
          </w:p>
        </w:tc>
      </w:tr>
    </w:tbl>
    <w:p>
      <w:pPr>
        <w:pStyle w:val="35"/>
        <w:rPr>
          <w:rFonts w:eastAsiaTheme="minorEastAsia"/>
          <w:color w:val="auto"/>
          <w:highlight w:val="none"/>
        </w:rPr>
      </w:pPr>
      <w:r>
        <w:rPr>
          <w:rFonts w:eastAsiaTheme="minorEastAsia"/>
          <w:color w:val="auto"/>
          <w:highlight w:val="none"/>
          <w:shd w:val="pct10" w:color="auto" w:fill="FFFFFF"/>
        </w:rPr>
        <w:fldChar w:fldCharType="end"/>
      </w:r>
    </w:p>
    <w:p>
      <w:pPr>
        <w:snapToGrid w:val="0"/>
        <w:ind w:firstLine="1589" w:firstLineChars="757"/>
        <w:rPr>
          <w:rFonts w:eastAsia="宋体"/>
          <w:color w:val="auto"/>
          <w:highlight w:val="none"/>
        </w:rPr>
        <w:sectPr>
          <w:pgSz w:w="16839" w:h="11907" w:orient="landscape"/>
          <w:pgMar w:top="1797" w:right="1440" w:bottom="1797" w:left="1440" w:header="794" w:footer="992" w:gutter="0"/>
          <w:cols w:space="425" w:num="1"/>
          <w:docGrid w:linePitch="312" w:charSpace="0"/>
        </w:sectPr>
      </w:pPr>
    </w:p>
    <w:p>
      <w:pPr>
        <w:pStyle w:val="44"/>
        <w:rPr>
          <w:color w:val="auto"/>
          <w:highlight w:val="none"/>
        </w:rPr>
      </w:pPr>
      <w:r>
        <w:rPr>
          <w:rFonts w:hint="eastAsia"/>
          <w:color w:val="auto"/>
          <w:highlight w:val="none"/>
        </w:rPr>
        <w:t>未办妥产权证书的投资性房地产情况</w:t>
      </w:r>
    </w:p>
    <w:p>
      <w:pPr>
        <w:pStyle w:val="38"/>
        <w:rPr>
          <w:rFonts w:asciiTheme="minorHAnsi" w:hAnsiTheme="minorHAnsi" w:eastAsiaTheme="minorEastAsia" w:cstheme="minorBidi"/>
          <w:color w:val="auto"/>
          <w:highlight w:val="none"/>
        </w:rPr>
      </w:pPr>
      <w:r>
        <w:rPr>
          <w:color w:val="auto"/>
          <w:highlight w:val="none"/>
        </w:rPr>
        <w:fldChar w:fldCharType="begin"/>
      </w:r>
      <w:r>
        <w:rPr>
          <w:color w:val="auto"/>
          <w:highlight w:val="none"/>
        </w:rPr>
        <w:instrText xml:space="preserve"> LINK Excel.SheetMacroEnabled.12 "D:\\tonylee\\立信\\新附注排版工具\\2016央企年报格式\\中央企业财务报表和报表附注20170109V1.xlsm" "合并附注!投资性房地产2" \f 4 \h \* MERGEFORMAT </w:instrText>
      </w:r>
      <w:r>
        <w:rPr>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3692"/>
        <w:gridCol w:w="2305"/>
        <w:gridCol w:w="2191"/>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3692"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230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账面价值</w:t>
            </w:r>
          </w:p>
        </w:tc>
        <w:tc>
          <w:tcPr>
            <w:tcW w:w="219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未办妥产权证书的原因</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9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元龙公司投资性房地产</w:t>
            </w:r>
          </w:p>
        </w:tc>
        <w:tc>
          <w:tcPr>
            <w:tcW w:w="23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55,814,700.00</w:t>
            </w:r>
          </w:p>
        </w:tc>
        <w:tc>
          <w:tcPr>
            <w:tcW w:w="2191"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正在办理中</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9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绥阳公司投资性房地产</w:t>
            </w:r>
          </w:p>
        </w:tc>
        <w:tc>
          <w:tcPr>
            <w:tcW w:w="23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34,280,724.73</w:t>
            </w:r>
          </w:p>
        </w:tc>
        <w:tc>
          <w:tcPr>
            <w:tcW w:w="2191"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正在办理中</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9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金元母公司投资性房地产</w:t>
            </w:r>
          </w:p>
        </w:tc>
        <w:tc>
          <w:tcPr>
            <w:tcW w:w="23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7,854,800.00</w:t>
            </w:r>
          </w:p>
        </w:tc>
        <w:tc>
          <w:tcPr>
            <w:tcW w:w="2191"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正在办理中</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9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西电公司投资性房地产</w:t>
            </w:r>
          </w:p>
        </w:tc>
        <w:tc>
          <w:tcPr>
            <w:tcW w:w="23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3,447,800.00</w:t>
            </w:r>
          </w:p>
        </w:tc>
        <w:tc>
          <w:tcPr>
            <w:tcW w:w="2191"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正在办理中</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9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中水公司投资性房地产</w:t>
            </w:r>
          </w:p>
        </w:tc>
        <w:tc>
          <w:tcPr>
            <w:tcW w:w="23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901,300.00</w:t>
            </w:r>
          </w:p>
        </w:tc>
        <w:tc>
          <w:tcPr>
            <w:tcW w:w="2191"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正在办理中</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92"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23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102,299,324.73</w:t>
            </w:r>
          </w:p>
        </w:tc>
        <w:tc>
          <w:tcPr>
            <w:tcW w:w="21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bl>
    <w:p>
      <w:pPr>
        <w:pStyle w:val="38"/>
        <w:rPr>
          <w:rFonts w:eastAsiaTheme="minorEastAsia"/>
          <w:color w:val="auto"/>
          <w:highlight w:val="none"/>
        </w:rPr>
      </w:pPr>
      <w:r>
        <w:rPr>
          <w:color w:val="auto"/>
          <w:highlight w:val="none"/>
        </w:rPr>
        <w:fldChar w:fldCharType="end"/>
      </w:r>
    </w:p>
    <w:p>
      <w:pPr>
        <w:pStyle w:val="37"/>
        <w:rPr>
          <w:color w:val="auto"/>
          <w:highlight w:val="none"/>
        </w:rPr>
      </w:pPr>
      <w:r>
        <w:rPr>
          <w:color w:val="auto"/>
          <w:highlight w:val="none"/>
        </w:rPr>
        <w:t>固定资产</w:t>
      </w:r>
    </w:p>
    <w:p>
      <w:pPr>
        <w:pStyle w:val="38"/>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LINK Excel.SheetMacroEnabled.12 "D:\\vsWorkspace\\branches\\20180822\\StandardTemplateTool\\template\\SASAC\\Frame\\201812\\SASACFinancialReports.xlsm" "合并附注!固定资产总表" \f 4 \h \* MERGEFORMAT </w:instrText>
      </w:r>
      <w:r>
        <w:rPr>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3692"/>
        <w:gridCol w:w="2305"/>
        <w:gridCol w:w="2191"/>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3692"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230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期末账面价值</w:t>
            </w:r>
          </w:p>
        </w:tc>
        <w:tc>
          <w:tcPr>
            <w:tcW w:w="219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期初账面价值</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9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固定资产</w:t>
            </w:r>
          </w:p>
        </w:tc>
        <w:tc>
          <w:tcPr>
            <w:tcW w:w="23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43,960,156,324.04</w:t>
            </w:r>
          </w:p>
        </w:tc>
        <w:tc>
          <w:tcPr>
            <w:tcW w:w="21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41,580,785,493.46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9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固定资产清理</w:t>
            </w:r>
          </w:p>
        </w:tc>
        <w:tc>
          <w:tcPr>
            <w:tcW w:w="23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7,252,827.57</w:t>
            </w:r>
          </w:p>
        </w:tc>
        <w:tc>
          <w:tcPr>
            <w:tcW w:w="21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1,258,575.85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92"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23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43,967,409,151.61</w:t>
            </w:r>
          </w:p>
        </w:tc>
        <w:tc>
          <w:tcPr>
            <w:tcW w:w="21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41,582,044,069.31</w:t>
            </w:r>
          </w:p>
        </w:tc>
      </w:tr>
    </w:tbl>
    <w:p>
      <w:pPr>
        <w:pStyle w:val="38"/>
        <w:rPr>
          <w:color w:val="auto"/>
          <w:highlight w:val="none"/>
        </w:rPr>
      </w:pPr>
      <w:r>
        <w:rPr>
          <w:color w:val="auto"/>
          <w:highlight w:val="none"/>
        </w:rPr>
        <w:fldChar w:fldCharType="end"/>
      </w:r>
    </w:p>
    <w:p>
      <w:pPr>
        <w:pStyle w:val="44"/>
        <w:rPr>
          <w:rFonts w:eastAsiaTheme="minorEastAsia"/>
          <w:bCs/>
          <w:color w:val="auto"/>
          <w:szCs w:val="22"/>
          <w:highlight w:val="none"/>
        </w:rPr>
      </w:pPr>
      <w:r>
        <w:rPr>
          <w:rFonts w:eastAsiaTheme="minorEastAsia"/>
          <w:color w:val="auto"/>
          <w:highlight w:val="none"/>
        </w:rPr>
        <w:t>固定资产情况</w:t>
      </w:r>
    </w:p>
    <w:p>
      <w:pPr>
        <w:pStyle w:val="35"/>
        <w:rPr>
          <w:bCs/>
          <w:color w:val="auto"/>
          <w:szCs w:val="22"/>
          <w:highlight w:val="none"/>
        </w:rPr>
      </w:pPr>
      <w:r>
        <w:rPr>
          <w:color w:val="auto"/>
          <w:highlight w:val="none"/>
        </w:rPr>
        <w:fldChar w:fldCharType="begin"/>
      </w:r>
      <w:r>
        <w:rPr>
          <w:color w:val="auto"/>
          <w:highlight w:val="none"/>
        </w:rPr>
        <w:instrText xml:space="preserve"> LINK Excel.Sheet.12 E:\\雍\\附注排版\\2014年年报格式\\附注过渡表20150130V0910.xlsx</w:instrText>
      </w:r>
      <w:r>
        <w:rPr>
          <w:rFonts w:hint="eastAsia"/>
          <w:color w:val="auto"/>
          <w:highlight w:val="none"/>
        </w:rPr>
        <w:instrText xml:space="preserve"> </w:instrText>
      </w:r>
      <w:r>
        <w:rPr>
          <w:rFonts w:hint="eastAsia" w:eastAsiaTheme="minorEastAsia"/>
          <w:color w:val="auto"/>
          <w:highlight w:val="none"/>
        </w:rPr>
        <w:instrText xml:space="preserve">合并附注</w:instrText>
      </w:r>
      <w:r>
        <w:rPr>
          <w:color w:val="auto"/>
          <w:highlight w:val="none"/>
        </w:rPr>
        <w:instrText xml:space="preserve">!固定资产 \f 4 \h \* MERGEFORMAT </w:instrText>
      </w:r>
      <w:r>
        <w:rPr>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1994"/>
        <w:gridCol w:w="1622"/>
        <w:gridCol w:w="1476"/>
        <w:gridCol w:w="1530"/>
        <w:gridCol w:w="1566"/>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994"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1622"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w:t>
            </w:r>
          </w:p>
        </w:tc>
        <w:tc>
          <w:tcPr>
            <w:tcW w:w="1476"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本期增加</w:t>
            </w:r>
          </w:p>
        </w:tc>
        <w:tc>
          <w:tcPr>
            <w:tcW w:w="1530"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本期减少</w:t>
            </w:r>
          </w:p>
        </w:tc>
        <w:tc>
          <w:tcPr>
            <w:tcW w:w="1566"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一、账面原值合计：</w:t>
            </w:r>
          </w:p>
        </w:tc>
        <w:tc>
          <w:tcPr>
            <w:tcW w:w="162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70,923,243,008.86</w:t>
            </w:r>
          </w:p>
        </w:tc>
        <w:tc>
          <w:tcPr>
            <w:tcW w:w="14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8,810,699,885.43</w:t>
            </w: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5,563,264,101.76</w:t>
            </w:r>
          </w:p>
        </w:tc>
        <w:tc>
          <w:tcPr>
            <w:tcW w:w="156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74,170,678,792.53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房屋及建筑物</w:t>
            </w:r>
          </w:p>
        </w:tc>
        <w:tc>
          <w:tcPr>
            <w:tcW w:w="162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23,460,283,635.57</w:t>
            </w:r>
          </w:p>
        </w:tc>
        <w:tc>
          <w:tcPr>
            <w:tcW w:w="14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110,605,107.12</w:t>
            </w: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2,701,461,504.73</w:t>
            </w:r>
          </w:p>
        </w:tc>
        <w:tc>
          <w:tcPr>
            <w:tcW w:w="156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20,869,427,237.96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机器设备</w:t>
            </w:r>
          </w:p>
        </w:tc>
        <w:tc>
          <w:tcPr>
            <w:tcW w:w="162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43,028,346,163.77</w:t>
            </w:r>
          </w:p>
        </w:tc>
        <w:tc>
          <w:tcPr>
            <w:tcW w:w="14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7,279,654,264.36</w:t>
            </w: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468,026,123.29</w:t>
            </w:r>
          </w:p>
        </w:tc>
        <w:tc>
          <w:tcPr>
            <w:tcW w:w="156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49,839,974,304.84</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运输工具</w:t>
            </w:r>
          </w:p>
        </w:tc>
        <w:tc>
          <w:tcPr>
            <w:tcW w:w="162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237,347,536.76</w:t>
            </w:r>
          </w:p>
        </w:tc>
        <w:tc>
          <w:tcPr>
            <w:tcW w:w="14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4,232,471.81</w:t>
            </w: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72,254,537.45</w:t>
            </w:r>
          </w:p>
        </w:tc>
        <w:tc>
          <w:tcPr>
            <w:tcW w:w="156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169,325,471.12</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电子设备</w:t>
            </w:r>
          </w:p>
        </w:tc>
        <w:tc>
          <w:tcPr>
            <w:tcW w:w="162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293,392,547.33</w:t>
            </w:r>
          </w:p>
        </w:tc>
        <w:tc>
          <w:tcPr>
            <w:tcW w:w="14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38,798,025.12</w:t>
            </w: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25,342,062.93</w:t>
            </w:r>
          </w:p>
        </w:tc>
        <w:tc>
          <w:tcPr>
            <w:tcW w:w="156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306,848,509.52</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办公设备</w:t>
            </w:r>
          </w:p>
        </w:tc>
        <w:tc>
          <w:tcPr>
            <w:tcW w:w="162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17,221,731.32</w:t>
            </w:r>
          </w:p>
        </w:tc>
        <w:tc>
          <w:tcPr>
            <w:tcW w:w="14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905,488.08</w:t>
            </w: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7,358,308.67</w:t>
            </w:r>
          </w:p>
        </w:tc>
        <w:tc>
          <w:tcPr>
            <w:tcW w:w="156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10,768,910.73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其他</w:t>
            </w:r>
          </w:p>
        </w:tc>
        <w:tc>
          <w:tcPr>
            <w:tcW w:w="162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3,886,651,394.11</w:t>
            </w:r>
          </w:p>
        </w:tc>
        <w:tc>
          <w:tcPr>
            <w:tcW w:w="14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1,376,504,528.94</w:t>
            </w: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2,288,821,564.69</w:t>
            </w:r>
          </w:p>
        </w:tc>
        <w:tc>
          <w:tcPr>
            <w:tcW w:w="156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2,974,334,358.36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二、累计折旧合计：</w:t>
            </w:r>
          </w:p>
        </w:tc>
        <w:tc>
          <w:tcPr>
            <w:tcW w:w="162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23,078,823,003.43</w:t>
            </w:r>
          </w:p>
        </w:tc>
        <w:tc>
          <w:tcPr>
            <w:tcW w:w="14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4,841,562,906.37</w:t>
            </w: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3,876,909,039.66</w:t>
            </w:r>
          </w:p>
        </w:tc>
        <w:tc>
          <w:tcPr>
            <w:tcW w:w="156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24,043,476,870.14</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房屋及建筑物</w:t>
            </w:r>
          </w:p>
        </w:tc>
        <w:tc>
          <w:tcPr>
            <w:tcW w:w="162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7,791,512,919.16</w:t>
            </w:r>
          </w:p>
        </w:tc>
        <w:tc>
          <w:tcPr>
            <w:tcW w:w="14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480,642,962.79</w:t>
            </w: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2,194,022,216.56</w:t>
            </w:r>
          </w:p>
        </w:tc>
        <w:tc>
          <w:tcPr>
            <w:tcW w:w="156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6,078,133,665.39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机器设备</w:t>
            </w:r>
          </w:p>
        </w:tc>
        <w:tc>
          <w:tcPr>
            <w:tcW w:w="162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13,936,210,098.42</w:t>
            </w:r>
          </w:p>
        </w:tc>
        <w:tc>
          <w:tcPr>
            <w:tcW w:w="14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4,143,306,851.01</w:t>
            </w: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724,757,859.59</w:t>
            </w:r>
          </w:p>
        </w:tc>
        <w:tc>
          <w:tcPr>
            <w:tcW w:w="156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17,354,759,089.84</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运输工具</w:t>
            </w:r>
          </w:p>
        </w:tc>
        <w:tc>
          <w:tcPr>
            <w:tcW w:w="162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191,540,819.39</w:t>
            </w:r>
          </w:p>
        </w:tc>
        <w:tc>
          <w:tcPr>
            <w:tcW w:w="14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5,733,361.37</w:t>
            </w: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51,127,593.03</w:t>
            </w:r>
          </w:p>
        </w:tc>
        <w:tc>
          <w:tcPr>
            <w:tcW w:w="156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146,146,587.73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电子设备</w:t>
            </w:r>
          </w:p>
        </w:tc>
        <w:tc>
          <w:tcPr>
            <w:tcW w:w="162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153,074,351.13</w:t>
            </w:r>
          </w:p>
        </w:tc>
        <w:tc>
          <w:tcPr>
            <w:tcW w:w="14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25,519,576.62</w:t>
            </w: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30,502,173.47</w:t>
            </w:r>
          </w:p>
        </w:tc>
        <w:tc>
          <w:tcPr>
            <w:tcW w:w="156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148,091,754.28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办公设备</w:t>
            </w:r>
          </w:p>
        </w:tc>
        <w:tc>
          <w:tcPr>
            <w:tcW w:w="162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12,671,449.95</w:t>
            </w:r>
          </w:p>
        </w:tc>
        <w:tc>
          <w:tcPr>
            <w:tcW w:w="14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1,173,919.95</w:t>
            </w: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6,071,991.66</w:t>
            </w:r>
          </w:p>
        </w:tc>
        <w:tc>
          <w:tcPr>
            <w:tcW w:w="156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7,773,378.24</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其他</w:t>
            </w:r>
          </w:p>
        </w:tc>
        <w:tc>
          <w:tcPr>
            <w:tcW w:w="162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993,813,365.38</w:t>
            </w:r>
          </w:p>
        </w:tc>
        <w:tc>
          <w:tcPr>
            <w:tcW w:w="14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185,186,234.63</w:t>
            </w: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870,427,205.35</w:t>
            </w:r>
          </w:p>
        </w:tc>
        <w:tc>
          <w:tcPr>
            <w:tcW w:w="156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308,572,394.66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三、固定资产账面净值合计</w:t>
            </w:r>
          </w:p>
        </w:tc>
        <w:tc>
          <w:tcPr>
            <w:tcW w:w="162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47,844,420,005.43</w:t>
            </w:r>
          </w:p>
        </w:tc>
        <w:tc>
          <w:tcPr>
            <w:tcW w:w="14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6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50,127,201,922.39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房屋及建筑物</w:t>
            </w:r>
          </w:p>
        </w:tc>
        <w:tc>
          <w:tcPr>
            <w:tcW w:w="162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15,668,770,716.41</w:t>
            </w:r>
          </w:p>
        </w:tc>
        <w:tc>
          <w:tcPr>
            <w:tcW w:w="14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6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14,791,293,572.57</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机器设备</w:t>
            </w:r>
          </w:p>
        </w:tc>
        <w:tc>
          <w:tcPr>
            <w:tcW w:w="162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29,092,136,065.35</w:t>
            </w:r>
          </w:p>
        </w:tc>
        <w:tc>
          <w:tcPr>
            <w:tcW w:w="14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6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32,485,215,215.00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运输工具</w:t>
            </w:r>
          </w:p>
        </w:tc>
        <w:tc>
          <w:tcPr>
            <w:tcW w:w="162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45,806,717.37</w:t>
            </w:r>
          </w:p>
        </w:tc>
        <w:tc>
          <w:tcPr>
            <w:tcW w:w="14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6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23,178,883.39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电子设备</w:t>
            </w:r>
          </w:p>
        </w:tc>
        <w:tc>
          <w:tcPr>
            <w:tcW w:w="162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140,318,196.20</w:t>
            </w:r>
          </w:p>
        </w:tc>
        <w:tc>
          <w:tcPr>
            <w:tcW w:w="14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6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158,756,755.24</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办公设备</w:t>
            </w:r>
          </w:p>
        </w:tc>
        <w:tc>
          <w:tcPr>
            <w:tcW w:w="162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4,550,281.37</w:t>
            </w:r>
          </w:p>
        </w:tc>
        <w:tc>
          <w:tcPr>
            <w:tcW w:w="14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6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2,995,532.49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其他</w:t>
            </w:r>
          </w:p>
        </w:tc>
        <w:tc>
          <w:tcPr>
            <w:tcW w:w="162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2,892,838,028.73</w:t>
            </w:r>
          </w:p>
        </w:tc>
        <w:tc>
          <w:tcPr>
            <w:tcW w:w="14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6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2,665,761,963.70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四、减值准备合计</w:t>
            </w:r>
          </w:p>
        </w:tc>
        <w:tc>
          <w:tcPr>
            <w:tcW w:w="162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6,263,634,511.97</w:t>
            </w:r>
          </w:p>
        </w:tc>
        <w:tc>
          <w:tcPr>
            <w:tcW w:w="14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508,041,073.66</w:t>
            </w: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604,629,987.28</w:t>
            </w:r>
          </w:p>
        </w:tc>
        <w:tc>
          <w:tcPr>
            <w:tcW w:w="156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6,167,045,598.35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房屋及建筑物</w:t>
            </w:r>
          </w:p>
        </w:tc>
        <w:tc>
          <w:tcPr>
            <w:tcW w:w="162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3,445,471,514.81</w:t>
            </w:r>
          </w:p>
        </w:tc>
        <w:tc>
          <w:tcPr>
            <w:tcW w:w="14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355,303,216.84</w:t>
            </w:r>
          </w:p>
        </w:tc>
        <w:tc>
          <w:tcPr>
            <w:tcW w:w="156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3,090,168,297.97</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机器设备</w:t>
            </w:r>
          </w:p>
        </w:tc>
        <w:tc>
          <w:tcPr>
            <w:tcW w:w="162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2,662,409,018.33</w:t>
            </w:r>
          </w:p>
        </w:tc>
        <w:tc>
          <w:tcPr>
            <w:tcW w:w="14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143,396,587.72</w:t>
            </w:r>
          </w:p>
        </w:tc>
        <w:tc>
          <w:tcPr>
            <w:tcW w:w="156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2,519,012,430.61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运输工具</w:t>
            </w:r>
          </w:p>
        </w:tc>
        <w:tc>
          <w:tcPr>
            <w:tcW w:w="162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8,374,037.92</w:t>
            </w:r>
          </w:p>
        </w:tc>
        <w:tc>
          <w:tcPr>
            <w:tcW w:w="14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8,058,765.95</w:t>
            </w:r>
          </w:p>
        </w:tc>
        <w:tc>
          <w:tcPr>
            <w:tcW w:w="156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315,271.97</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电子设备</w:t>
            </w:r>
          </w:p>
        </w:tc>
        <w:tc>
          <w:tcPr>
            <w:tcW w:w="162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535,643.45</w:t>
            </w:r>
          </w:p>
        </w:tc>
        <w:tc>
          <w:tcPr>
            <w:tcW w:w="14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83,642,644.07</w:t>
            </w: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981,852.84</w:t>
            </w:r>
          </w:p>
        </w:tc>
        <w:tc>
          <w:tcPr>
            <w:tcW w:w="156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83,196,434.68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办公设备</w:t>
            </w:r>
          </w:p>
        </w:tc>
        <w:tc>
          <w:tcPr>
            <w:tcW w:w="162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2,811.23</w:t>
            </w:r>
          </w:p>
        </w:tc>
        <w:tc>
          <w:tcPr>
            <w:tcW w:w="14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101,504.62</w:t>
            </w: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6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104,315.85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其他</w:t>
            </w:r>
          </w:p>
        </w:tc>
        <w:tc>
          <w:tcPr>
            <w:tcW w:w="162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146,841,486.23</w:t>
            </w:r>
          </w:p>
        </w:tc>
        <w:tc>
          <w:tcPr>
            <w:tcW w:w="14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424,296,924.97</w:t>
            </w: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96,889,563.93</w:t>
            </w:r>
          </w:p>
        </w:tc>
        <w:tc>
          <w:tcPr>
            <w:tcW w:w="156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474,248,847.27</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五、固定资产账面价值合计</w:t>
            </w:r>
          </w:p>
        </w:tc>
        <w:tc>
          <w:tcPr>
            <w:tcW w:w="162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41,580,785,493.46</w:t>
            </w:r>
          </w:p>
        </w:tc>
        <w:tc>
          <w:tcPr>
            <w:tcW w:w="14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6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43,960,156,324.04</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房屋及建筑物</w:t>
            </w:r>
          </w:p>
        </w:tc>
        <w:tc>
          <w:tcPr>
            <w:tcW w:w="162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12,223,299,201.60</w:t>
            </w:r>
          </w:p>
        </w:tc>
        <w:tc>
          <w:tcPr>
            <w:tcW w:w="14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6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11,701,125,274.60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机器设备</w:t>
            </w:r>
          </w:p>
        </w:tc>
        <w:tc>
          <w:tcPr>
            <w:tcW w:w="162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26,429,727,047.02</w:t>
            </w:r>
          </w:p>
        </w:tc>
        <w:tc>
          <w:tcPr>
            <w:tcW w:w="14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6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29,966,202,784.39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运输工具</w:t>
            </w:r>
          </w:p>
        </w:tc>
        <w:tc>
          <w:tcPr>
            <w:tcW w:w="162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37,432,679.45</w:t>
            </w:r>
          </w:p>
        </w:tc>
        <w:tc>
          <w:tcPr>
            <w:tcW w:w="14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6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22,863,611.42</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电子设备</w:t>
            </w:r>
          </w:p>
        </w:tc>
        <w:tc>
          <w:tcPr>
            <w:tcW w:w="162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139,782,552.75</w:t>
            </w:r>
          </w:p>
        </w:tc>
        <w:tc>
          <w:tcPr>
            <w:tcW w:w="14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6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75,560,320.56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办公设备</w:t>
            </w:r>
          </w:p>
        </w:tc>
        <w:tc>
          <w:tcPr>
            <w:tcW w:w="162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4,547,470.14</w:t>
            </w:r>
          </w:p>
        </w:tc>
        <w:tc>
          <w:tcPr>
            <w:tcW w:w="14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6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2,891,216.64</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其他</w:t>
            </w:r>
          </w:p>
        </w:tc>
        <w:tc>
          <w:tcPr>
            <w:tcW w:w="162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2,745,996,542.50</w:t>
            </w:r>
          </w:p>
        </w:tc>
        <w:tc>
          <w:tcPr>
            <w:tcW w:w="14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6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2,191,513,116.43</w:t>
            </w:r>
          </w:p>
        </w:tc>
      </w:tr>
    </w:tbl>
    <w:p>
      <w:pPr>
        <w:pStyle w:val="35"/>
        <w:rPr>
          <w:rFonts w:eastAsiaTheme="minorEastAsia"/>
          <w:color w:val="auto"/>
          <w:highlight w:val="none"/>
        </w:rPr>
      </w:pPr>
      <w:r>
        <w:rPr>
          <w:rFonts w:eastAsiaTheme="minorEastAsia"/>
          <w:color w:val="auto"/>
          <w:highlight w:val="none"/>
        </w:rPr>
        <w:fldChar w:fldCharType="end"/>
      </w:r>
    </w:p>
    <w:p>
      <w:pPr>
        <w:pStyle w:val="44"/>
        <w:rPr>
          <w:rFonts w:eastAsiaTheme="minorEastAsia"/>
          <w:color w:val="auto"/>
          <w:highlight w:val="none"/>
        </w:rPr>
      </w:pPr>
      <w:r>
        <w:rPr>
          <w:rFonts w:eastAsiaTheme="minorEastAsia"/>
          <w:color w:val="auto"/>
          <w:highlight w:val="none"/>
        </w:rPr>
        <w:t>未办妥产权证书的固定资产情况</w:t>
      </w:r>
    </w:p>
    <w:p>
      <w:pPr>
        <w:pStyle w:val="35"/>
        <w:rPr>
          <w:rFonts w:eastAsiaTheme="minorEastAsia"/>
          <w:color w:val="auto"/>
          <w:szCs w:val="22"/>
          <w:highlight w:val="none"/>
        </w:rPr>
      </w:pPr>
      <w:r>
        <w:rPr>
          <w:rFonts w:eastAsiaTheme="minorEastAsia"/>
          <w:b/>
          <w:bCs/>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!固定资产4 \f 4 \h \* MERGEFORMAT </w:instrText>
      </w:r>
      <w:r>
        <w:rPr>
          <w:rFonts w:eastAsiaTheme="minorEastAsia"/>
          <w:b/>
          <w:bCs/>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4415"/>
        <w:gridCol w:w="1524"/>
        <w:gridCol w:w="2249"/>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441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1524"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账面价值</w:t>
            </w:r>
          </w:p>
        </w:tc>
        <w:tc>
          <w:tcPr>
            <w:tcW w:w="2249"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未办妥产权证书的原因</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41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生产用房、升压站、办公楼、配电室及附属设施</w:t>
            </w:r>
          </w:p>
        </w:tc>
        <w:tc>
          <w:tcPr>
            <w:tcW w:w="152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644,867,008.04</w:t>
            </w:r>
          </w:p>
        </w:tc>
        <w:tc>
          <w:tcPr>
            <w:tcW w:w="2249"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正在办理中</w:t>
            </w:r>
          </w:p>
        </w:tc>
      </w:tr>
    </w:tbl>
    <w:p>
      <w:pPr>
        <w:pStyle w:val="35"/>
        <w:rPr>
          <w:rFonts w:eastAsiaTheme="minorEastAsia"/>
          <w:color w:val="auto"/>
          <w:highlight w:val="none"/>
        </w:rPr>
      </w:pPr>
      <w:r>
        <w:rPr>
          <w:rFonts w:eastAsiaTheme="minorEastAsia"/>
          <w:color w:val="auto"/>
          <w:highlight w:val="none"/>
        </w:rPr>
        <w:fldChar w:fldCharType="end"/>
      </w:r>
    </w:p>
    <w:p>
      <w:pPr>
        <w:pStyle w:val="44"/>
        <w:rPr>
          <w:rFonts w:hint="eastAsia"/>
          <w:color w:val="auto"/>
          <w:szCs w:val="22"/>
          <w:highlight w:val="none"/>
        </w:rPr>
      </w:pPr>
      <w:r>
        <w:rPr>
          <w:color w:val="auto"/>
          <w:highlight w:val="none"/>
        </w:rPr>
        <w:t>固定资产清理</w:t>
      </w:r>
    </w:p>
    <w:p>
      <w:pPr>
        <w:pStyle w:val="44"/>
        <w:numPr>
          <w:ilvl w:val="0"/>
          <w:numId w:val="0"/>
        </w:numPr>
        <w:ind w:left="1276"/>
        <w:rPr>
          <w:color w:val="auto"/>
          <w:szCs w:val="22"/>
          <w:highlight w:val="none"/>
        </w:rPr>
      </w:pPr>
      <w:r>
        <w:rPr>
          <w:color w:val="auto"/>
          <w:highlight w:val="none"/>
        </w:rPr>
        <w:fldChar w:fldCharType="begin"/>
      </w:r>
      <w:r>
        <w:rPr>
          <w:color w:val="auto"/>
          <w:highlight w:val="none"/>
        </w:rPr>
        <w:instrText xml:space="preserve"> LINK Excel.Sheet.12 E:\\雍\\附注排版\\2014年年报格式\\附注过渡表20150130V0910.xlsx</w:instrText>
      </w:r>
      <w:r>
        <w:rPr>
          <w:rFonts w:hint="eastAsia"/>
          <w:color w:val="auto"/>
          <w:highlight w:val="none"/>
        </w:rPr>
        <w:instrText xml:space="preserve"> 合并附注</w:instrText>
      </w:r>
      <w:r>
        <w:rPr>
          <w:color w:val="auto"/>
          <w:highlight w:val="none"/>
        </w:rPr>
        <w:instrText xml:space="preserve">!固定资产清理 \f 4 \h \* MERGEFORMAT </w:instrText>
      </w:r>
      <w:r>
        <w:rPr>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2187"/>
        <w:gridCol w:w="2000"/>
        <w:gridCol w:w="2000"/>
        <w:gridCol w:w="2001"/>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218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2000"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期末账面价值</w:t>
            </w:r>
          </w:p>
        </w:tc>
        <w:tc>
          <w:tcPr>
            <w:tcW w:w="2000"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期初账面价值</w:t>
            </w:r>
          </w:p>
        </w:tc>
        <w:tc>
          <w:tcPr>
            <w:tcW w:w="200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转入清理的原因</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18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资产处置</w:t>
            </w:r>
          </w:p>
        </w:tc>
        <w:tc>
          <w:tcPr>
            <w:tcW w:w="200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7,252,827.57</w:t>
            </w:r>
          </w:p>
        </w:tc>
        <w:tc>
          <w:tcPr>
            <w:tcW w:w="200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1,258,575.85</w:t>
            </w:r>
          </w:p>
        </w:tc>
        <w:tc>
          <w:tcPr>
            <w:tcW w:w="2001"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18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200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7,252,827.57</w:t>
            </w:r>
          </w:p>
        </w:tc>
        <w:tc>
          <w:tcPr>
            <w:tcW w:w="200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1,258,575.85</w:t>
            </w:r>
          </w:p>
        </w:tc>
        <w:tc>
          <w:tcPr>
            <w:tcW w:w="2001"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p>
        </w:tc>
      </w:tr>
    </w:tbl>
    <w:p>
      <w:pPr>
        <w:pStyle w:val="35"/>
        <w:rPr>
          <w:color w:val="auto"/>
          <w:highlight w:val="none"/>
        </w:rPr>
        <w:sectPr>
          <w:pgSz w:w="11907" w:h="16839"/>
          <w:pgMar w:top="1440" w:right="1797" w:bottom="1440" w:left="1797" w:header="680" w:footer="992" w:gutter="0"/>
          <w:cols w:space="425" w:num="1"/>
          <w:docGrid w:linePitch="312" w:charSpace="0"/>
        </w:sectPr>
      </w:pPr>
      <w:r>
        <w:rPr>
          <w:color w:val="auto"/>
          <w:highlight w:val="none"/>
        </w:rPr>
        <w:fldChar w:fldCharType="end"/>
      </w:r>
    </w:p>
    <w:p>
      <w:pPr>
        <w:pStyle w:val="37"/>
        <w:rPr>
          <w:rFonts w:eastAsiaTheme="minorEastAsia"/>
          <w:color w:val="auto"/>
          <w:highlight w:val="none"/>
        </w:rPr>
      </w:pPr>
      <w:r>
        <w:rPr>
          <w:rFonts w:eastAsiaTheme="minorEastAsia"/>
          <w:color w:val="auto"/>
          <w:highlight w:val="none"/>
        </w:rPr>
        <w:t>在建工程</w:t>
      </w:r>
    </w:p>
    <w:p>
      <w:pPr>
        <w:pStyle w:val="38"/>
        <w:rPr>
          <w:color w:val="auto"/>
          <w:szCs w:val="22"/>
          <w:highlight w:val="none"/>
        </w:rPr>
      </w:pPr>
      <w:r>
        <w:rPr>
          <w:b/>
          <w:bCs/>
          <w:color w:val="auto"/>
          <w:highlight w:val="none"/>
        </w:rPr>
        <w:fldChar w:fldCharType="begin"/>
      </w:r>
      <w:r>
        <w:rPr>
          <w:color w:val="auto"/>
          <w:highlight w:val="none"/>
        </w:rPr>
        <w:instrText xml:space="preserve"> LINK Excel.Sheet.12 E:\\雍\\附注排版\\2014年年报格式\\附注过渡表20150130V0910.xlsx</w:instrText>
      </w:r>
      <w:r>
        <w:rPr>
          <w:rFonts w:hint="eastAsia"/>
          <w:color w:val="auto"/>
          <w:highlight w:val="none"/>
        </w:rPr>
        <w:instrText xml:space="preserve"> 合并附注</w:instrText>
      </w:r>
      <w:r>
        <w:rPr>
          <w:color w:val="auto"/>
          <w:highlight w:val="none"/>
        </w:rPr>
        <w:instrText xml:space="preserve">!在建工程 \f 4 \h \* MERGEFORMAT </w:instrText>
      </w:r>
      <w:r>
        <w:rPr>
          <w:b/>
          <w:bCs/>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1770"/>
        <w:gridCol w:w="2033"/>
        <w:gridCol w:w="1853"/>
        <w:gridCol w:w="2033"/>
        <w:gridCol w:w="2033"/>
        <w:gridCol w:w="1853"/>
        <w:gridCol w:w="2033"/>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770"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项目</w:t>
            </w:r>
          </w:p>
        </w:tc>
        <w:tc>
          <w:tcPr>
            <w:tcW w:w="5919" w:type="dxa"/>
            <w:gridSpan w:val="3"/>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期末余额</w:t>
            </w:r>
          </w:p>
        </w:tc>
        <w:tc>
          <w:tcPr>
            <w:tcW w:w="5919" w:type="dxa"/>
            <w:gridSpan w:val="3"/>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期初余额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770"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2033"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账面余额</w:t>
            </w:r>
          </w:p>
        </w:tc>
        <w:tc>
          <w:tcPr>
            <w:tcW w:w="1853"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减值准备</w:t>
            </w:r>
          </w:p>
        </w:tc>
        <w:tc>
          <w:tcPr>
            <w:tcW w:w="2033"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账面价值</w:t>
            </w:r>
          </w:p>
        </w:tc>
        <w:tc>
          <w:tcPr>
            <w:tcW w:w="2033"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账面余额</w:t>
            </w:r>
          </w:p>
        </w:tc>
        <w:tc>
          <w:tcPr>
            <w:tcW w:w="1853"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减值准备</w:t>
            </w:r>
          </w:p>
        </w:tc>
        <w:tc>
          <w:tcPr>
            <w:tcW w:w="2033"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账面价值</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77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在建工程</w:t>
            </w:r>
          </w:p>
        </w:tc>
        <w:tc>
          <w:tcPr>
            <w:tcW w:w="203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4,085,497,763.67</w:t>
            </w:r>
          </w:p>
        </w:tc>
        <w:tc>
          <w:tcPr>
            <w:tcW w:w="185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308,328,494.89</w:t>
            </w:r>
          </w:p>
        </w:tc>
        <w:tc>
          <w:tcPr>
            <w:tcW w:w="203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3,777,169,268.78</w:t>
            </w:r>
          </w:p>
        </w:tc>
        <w:tc>
          <w:tcPr>
            <w:tcW w:w="203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5,693,205,193.17</w:t>
            </w:r>
          </w:p>
        </w:tc>
        <w:tc>
          <w:tcPr>
            <w:tcW w:w="185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307,316,728.42</w:t>
            </w:r>
          </w:p>
        </w:tc>
        <w:tc>
          <w:tcPr>
            <w:tcW w:w="203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5,385,888,464.75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77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工程物资</w:t>
            </w:r>
          </w:p>
        </w:tc>
        <w:tc>
          <w:tcPr>
            <w:tcW w:w="203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796,019,433.90</w:t>
            </w:r>
          </w:p>
        </w:tc>
        <w:tc>
          <w:tcPr>
            <w:tcW w:w="185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318,130.12</w:t>
            </w:r>
          </w:p>
        </w:tc>
        <w:tc>
          <w:tcPr>
            <w:tcW w:w="203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795,701,303.78</w:t>
            </w:r>
          </w:p>
        </w:tc>
        <w:tc>
          <w:tcPr>
            <w:tcW w:w="203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12,955,545.90</w:t>
            </w:r>
          </w:p>
        </w:tc>
        <w:tc>
          <w:tcPr>
            <w:tcW w:w="185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318,130.12</w:t>
            </w:r>
          </w:p>
        </w:tc>
        <w:tc>
          <w:tcPr>
            <w:tcW w:w="203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12,637,415.78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770"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合计</w:t>
            </w:r>
          </w:p>
        </w:tc>
        <w:tc>
          <w:tcPr>
            <w:tcW w:w="203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4,881,517,197.57</w:t>
            </w:r>
          </w:p>
        </w:tc>
        <w:tc>
          <w:tcPr>
            <w:tcW w:w="185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308,646,625.01</w:t>
            </w:r>
          </w:p>
        </w:tc>
        <w:tc>
          <w:tcPr>
            <w:tcW w:w="203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4,572,870,572.56</w:t>
            </w:r>
          </w:p>
        </w:tc>
        <w:tc>
          <w:tcPr>
            <w:tcW w:w="203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5,706,160,739.07</w:t>
            </w:r>
          </w:p>
        </w:tc>
        <w:tc>
          <w:tcPr>
            <w:tcW w:w="185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307,634,858.54</w:t>
            </w:r>
          </w:p>
        </w:tc>
        <w:tc>
          <w:tcPr>
            <w:tcW w:w="203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5,398,525,880.53</w:t>
            </w:r>
          </w:p>
        </w:tc>
      </w:tr>
    </w:tbl>
    <w:p>
      <w:pPr>
        <w:pStyle w:val="38"/>
        <w:rPr>
          <w:color w:val="auto"/>
          <w:highlight w:val="none"/>
        </w:rPr>
      </w:pPr>
      <w:r>
        <w:rPr>
          <w:color w:val="auto"/>
          <w:highlight w:val="none"/>
        </w:rPr>
        <w:fldChar w:fldCharType="end"/>
      </w:r>
    </w:p>
    <w:p>
      <w:pPr>
        <w:pStyle w:val="44"/>
        <w:rPr>
          <w:color w:val="auto"/>
          <w:highlight w:val="none"/>
        </w:rPr>
      </w:pPr>
      <w:r>
        <w:rPr>
          <w:color w:val="auto"/>
          <w:highlight w:val="none"/>
        </w:rPr>
        <w:t>在建工程情况</w:t>
      </w:r>
    </w:p>
    <w:p>
      <w:pPr>
        <w:pStyle w:val="35"/>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LINK Excel.SheetMacroEnabled.12 D:\\vsWorkspace\\branches\\20180822\\StandardTemplateTool\\template\\SASAC\\Frame\\201812\\SASACFinancialReports.xlsm </w:instrText>
      </w:r>
      <w:r>
        <w:rPr>
          <w:rFonts w:hint="eastAsia"/>
          <w:color w:val="auto"/>
          <w:highlight w:val="none"/>
        </w:rPr>
        <w:instrText xml:space="preserve">合并附注!在建工程0 </w:instrText>
      </w:r>
      <w:r>
        <w:rPr>
          <w:color w:val="auto"/>
          <w:highlight w:val="none"/>
        </w:rPr>
        <w:instrText xml:space="preserve">\f 4 \h \* MERGEFORMAT </w:instrText>
      </w:r>
      <w:r>
        <w:rPr>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4974"/>
        <w:gridCol w:w="2091"/>
        <w:gridCol w:w="1228"/>
        <w:gridCol w:w="1347"/>
        <w:gridCol w:w="1347"/>
        <w:gridCol w:w="1228"/>
        <w:gridCol w:w="1393"/>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4974"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项目</w:t>
            </w:r>
          </w:p>
        </w:tc>
        <w:tc>
          <w:tcPr>
            <w:tcW w:w="4666" w:type="dxa"/>
            <w:gridSpan w:val="3"/>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期末余额</w:t>
            </w:r>
          </w:p>
        </w:tc>
        <w:tc>
          <w:tcPr>
            <w:tcW w:w="3968" w:type="dxa"/>
            <w:gridSpan w:val="3"/>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期初余额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4974"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2091"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账面余额</w:t>
            </w:r>
          </w:p>
        </w:tc>
        <w:tc>
          <w:tcPr>
            <w:tcW w:w="1228"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减值准备</w:t>
            </w:r>
          </w:p>
        </w:tc>
        <w:tc>
          <w:tcPr>
            <w:tcW w:w="1347"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账面价值</w:t>
            </w:r>
          </w:p>
        </w:tc>
        <w:tc>
          <w:tcPr>
            <w:tcW w:w="1347"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账面余额</w:t>
            </w:r>
          </w:p>
        </w:tc>
        <w:tc>
          <w:tcPr>
            <w:tcW w:w="1228"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减值准备</w:t>
            </w:r>
          </w:p>
        </w:tc>
        <w:tc>
          <w:tcPr>
            <w:tcW w:w="1393"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账面价值</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974"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威宁县海拉海元农业光伏电站</w:t>
            </w:r>
          </w:p>
        </w:tc>
        <w:tc>
          <w:tcPr>
            <w:tcW w:w="209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572,925,176.75</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572,925,176.75</w:t>
            </w: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436,294,031.69</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436,294,031.69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PrEx>
        <w:trPr>
          <w:trHeight w:val="283" w:hRule="atLeast"/>
        </w:trPr>
        <w:tc>
          <w:tcPr>
            <w:tcW w:w="4974"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贵州金元股份有限公司安塞坪桥100MW一期风力发电项目</w:t>
            </w:r>
          </w:p>
        </w:tc>
        <w:tc>
          <w:tcPr>
            <w:tcW w:w="209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478,037,113.36</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478,037,113.36</w:t>
            </w: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21,986,270.40</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21,986,270.40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974"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连州市西江镇、龙坪镇、九陂镇210MW农光互补光伏电站项目</w:t>
            </w:r>
          </w:p>
        </w:tc>
        <w:tc>
          <w:tcPr>
            <w:tcW w:w="209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324,293,043.04</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324,293,043.04</w:t>
            </w: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304,917,764.79</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304,917,764.79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974"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广西田林潞城那帮100MW风电项目</w:t>
            </w:r>
          </w:p>
        </w:tc>
        <w:tc>
          <w:tcPr>
            <w:tcW w:w="209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324,241,039.16</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324,241,039.16</w:t>
            </w: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4,100,787.01</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4,100,787.01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974"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罗定市100MW光伏复合项目</w:t>
            </w:r>
          </w:p>
        </w:tc>
        <w:tc>
          <w:tcPr>
            <w:tcW w:w="209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197,072,596.35</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197,072,596.35</w:t>
            </w: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212,452,641.39</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212,452,641.39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974"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纳雍县骔岭镇杨家箐风电场</w:t>
            </w:r>
          </w:p>
        </w:tc>
        <w:tc>
          <w:tcPr>
            <w:tcW w:w="209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125,411,006.16</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125,411,006.16</w:t>
            </w: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50,553,405.09</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50,553,405.09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974"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威宁县盐仓兰子山农业光伏电站</w:t>
            </w:r>
          </w:p>
        </w:tc>
        <w:tc>
          <w:tcPr>
            <w:tcW w:w="209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127,690,102.54</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127,690,102.54</w:t>
            </w: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3,379,613.48</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3,379,613.48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974"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怀集县幸福街道三多村100MW农光互补光伏发电项目</w:t>
            </w:r>
          </w:p>
        </w:tc>
        <w:tc>
          <w:tcPr>
            <w:tcW w:w="209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101,543,036.83</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101,543,036.83</w:t>
            </w: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91,474,801.35</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91,474,801.35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974"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镇康县勐捧镇绿茵塘100MW农光互补光伏项目</w:t>
            </w:r>
          </w:p>
        </w:tc>
        <w:tc>
          <w:tcPr>
            <w:tcW w:w="209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93,207,819.12</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93,207,819.12</w:t>
            </w: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200,182,055.51</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200,182,055.51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974"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板底双狮山220kV送出工程项目</w:t>
            </w:r>
          </w:p>
        </w:tc>
        <w:tc>
          <w:tcPr>
            <w:tcW w:w="209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91,738,041.55</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91,738,041.55</w:t>
            </w: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20,058,814.39</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20,058,814.39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974"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威宁县石门大梨树农业光伏电站</w:t>
            </w:r>
          </w:p>
        </w:tc>
        <w:tc>
          <w:tcPr>
            <w:tcW w:w="209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67,740,508.24</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67,740,508.24</w:t>
            </w: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3,461,460.44</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3,461,460.44</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974"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威宁县二塘议山农业光伏电站</w:t>
            </w:r>
          </w:p>
        </w:tc>
        <w:tc>
          <w:tcPr>
            <w:tcW w:w="209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67,497,013.15</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67,497,013.15</w:t>
            </w: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4,390,441.93</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4,390,441.93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974"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威宁县二塘红花坡农业光伏电站</w:t>
            </w:r>
          </w:p>
        </w:tc>
        <w:tc>
          <w:tcPr>
            <w:tcW w:w="209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66,922,780.80</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66,922,780.80</w:t>
            </w: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2,413,504.53</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2,413,504.53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974"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威宁县羊街骑龙农业光伏电站</w:t>
            </w:r>
          </w:p>
        </w:tc>
        <w:tc>
          <w:tcPr>
            <w:tcW w:w="209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53,238,934.51</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53,238,934.51</w:t>
            </w: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2,149,246.33</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2,149,246.33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974"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威宁县盐仓老鸦营农业光伏电站</w:t>
            </w:r>
          </w:p>
        </w:tc>
        <w:tc>
          <w:tcPr>
            <w:tcW w:w="209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44,295,823.99</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44,295,823.99</w:t>
            </w: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65,007,149.70</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65,007,149.70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974"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瓮安县建中枫香坪风电场</w:t>
            </w:r>
          </w:p>
        </w:tc>
        <w:tc>
          <w:tcPr>
            <w:tcW w:w="209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38,127,162.37</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38,127,162.37</w:t>
            </w: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6,042,716.51</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6,042,716.51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974"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盐仓老鸦营110kV送出工程项目</w:t>
            </w:r>
          </w:p>
        </w:tc>
        <w:tc>
          <w:tcPr>
            <w:tcW w:w="209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34,211,629.44</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34,211,629.44</w:t>
            </w: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13,286,603.67</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13,286,603.67</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974"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威宁县么站风光互补风电场</w:t>
            </w:r>
          </w:p>
        </w:tc>
        <w:tc>
          <w:tcPr>
            <w:tcW w:w="209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32,976,876.17</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32,976,876.17</w:t>
            </w: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18,050,673.11</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18,050,673.11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974"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平山堡岛新能源有限公司平山县岗南镇100MW光伏发电项目</w:t>
            </w:r>
          </w:p>
        </w:tc>
        <w:tc>
          <w:tcPr>
            <w:tcW w:w="209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26,032,378.43</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26,032,378.43</w:t>
            </w: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77,901,381.76</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77,901,381.76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974"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威宁县板底双狮山农业光伏电站</w:t>
            </w:r>
          </w:p>
        </w:tc>
        <w:tc>
          <w:tcPr>
            <w:tcW w:w="209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37,803,806.25</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37,803,806.25</w:t>
            </w: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4,833,397.62</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4,833,397.62</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974"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海拉海元220KV送出工程项目</w:t>
            </w:r>
          </w:p>
        </w:tc>
        <w:tc>
          <w:tcPr>
            <w:tcW w:w="209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19,898,529.32</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19,898,529.32</w:t>
            </w: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30,636,293.13</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30,636,293.13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974"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镇康县勐捧镇蒿子坝200MW农光互补光伏项目</w:t>
            </w:r>
          </w:p>
        </w:tc>
        <w:tc>
          <w:tcPr>
            <w:tcW w:w="209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17,097,998.71</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17,097,998.71</w:t>
            </w: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974"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平山县北冀建能新能源开发有限责任公司200兆瓦农光互补光伏发电项目(一期100兆瓦)</w:t>
            </w:r>
          </w:p>
        </w:tc>
        <w:tc>
          <w:tcPr>
            <w:tcW w:w="209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2,662,150.85</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2,662,150.85</w:t>
            </w: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236,804,673.14</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236,804,673.14</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974"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威宁县盐仓全麻口子农业光伏电站</w:t>
            </w:r>
          </w:p>
        </w:tc>
        <w:tc>
          <w:tcPr>
            <w:tcW w:w="209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14,150.94</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14,150.94</w:t>
            </w: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126,823,536.21</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126,823,536.21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974"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永仁宜莲光伏基地谢腊230MW复合型光伏电站</w:t>
            </w:r>
          </w:p>
        </w:tc>
        <w:tc>
          <w:tcPr>
            <w:tcW w:w="209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784,185,767.68</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784,185,767.68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974"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威宁县玉龙长坡院子农业光伏电站</w:t>
            </w:r>
          </w:p>
        </w:tc>
        <w:tc>
          <w:tcPr>
            <w:tcW w:w="209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286,074,279.68</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286,074,279.68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974"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广西钦州300MW光伏平价上网示范项目</w:t>
            </w:r>
          </w:p>
        </w:tc>
        <w:tc>
          <w:tcPr>
            <w:tcW w:w="209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284,685,331.82</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284,685,331.82</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974"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海西金元乌图美仁100兆瓦平价光伏发电项目</w:t>
            </w:r>
          </w:p>
        </w:tc>
        <w:tc>
          <w:tcPr>
            <w:tcW w:w="209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177,729,017.92</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177,729,017.92</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974"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广西钦州金安 250MW 平价光伏基地项目（二期150MW）</w:t>
            </w:r>
          </w:p>
        </w:tc>
        <w:tc>
          <w:tcPr>
            <w:tcW w:w="209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152,634,302.66</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152,634,302.66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PrEx>
        <w:trPr>
          <w:trHeight w:val="283" w:hRule="atLeast"/>
        </w:trPr>
        <w:tc>
          <w:tcPr>
            <w:tcW w:w="4974"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威宁县盐仓大地坪子农业光伏电站</w:t>
            </w:r>
          </w:p>
        </w:tc>
        <w:tc>
          <w:tcPr>
            <w:tcW w:w="209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113,624,764.43</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113,624,764.43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974"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关岭县永宁萝卜农业光伏电站</w:t>
            </w:r>
          </w:p>
        </w:tc>
        <w:tc>
          <w:tcPr>
            <w:tcW w:w="209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86,629,917.16</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86,629,917.16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974"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阳山县黎埠50MW农光互补光伏发电项目</w:t>
            </w:r>
          </w:p>
        </w:tc>
        <w:tc>
          <w:tcPr>
            <w:tcW w:w="209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70,647,399.23</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70,647,399.23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974"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阳山县七拱镇岩口村50MW农光互补发电项目</w:t>
            </w:r>
          </w:p>
        </w:tc>
        <w:tc>
          <w:tcPr>
            <w:tcW w:w="209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55,475,689.24</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55,475,689.24</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974"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阳山阳光江英50MW农光互补光伏发电项目</w:t>
            </w:r>
          </w:p>
        </w:tc>
        <w:tc>
          <w:tcPr>
            <w:tcW w:w="209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52,708,287.37</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52,708,287.37</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974"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阳山阳光黎埠40MW农光互补光伏发电项目</w:t>
            </w:r>
          </w:p>
        </w:tc>
        <w:tc>
          <w:tcPr>
            <w:tcW w:w="209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40,754,040.11</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40,754,040.11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974"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其他汇总</w:t>
            </w:r>
          </w:p>
        </w:tc>
        <w:tc>
          <w:tcPr>
            <w:tcW w:w="209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1,140,819,045.64</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308,328,494.89</w:t>
            </w: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832,490,550.75</w:t>
            </w: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1,650,855,132.69</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307,316,728.42</w:t>
            </w: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1,343,538,404.27</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974"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合计</w:t>
            </w:r>
          </w:p>
        </w:tc>
        <w:tc>
          <w:tcPr>
            <w:tcW w:w="209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4,085,497,763.67</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308,328,494.89</w:t>
            </w: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3,777,169,268.78</w:t>
            </w:r>
          </w:p>
        </w:tc>
        <w:tc>
          <w:tcPr>
            <w:tcW w:w="134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5,693,205,193.17</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307,316,728.42</w:t>
            </w: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5,385,888,464.75</w:t>
            </w:r>
          </w:p>
        </w:tc>
      </w:tr>
    </w:tbl>
    <w:p>
      <w:pPr>
        <w:pStyle w:val="35"/>
        <w:rPr>
          <w:color w:val="auto"/>
          <w:highlight w:val="none"/>
        </w:rPr>
      </w:pPr>
      <w:r>
        <w:rPr>
          <w:color w:val="auto"/>
          <w:highlight w:val="none"/>
        </w:rPr>
        <w:fldChar w:fldCharType="end"/>
      </w:r>
    </w:p>
    <w:p>
      <w:pPr>
        <w:pStyle w:val="38"/>
        <w:rPr>
          <w:rFonts w:eastAsiaTheme="minorEastAsia"/>
          <w:color w:val="auto"/>
          <w:highlight w:val="none"/>
        </w:rPr>
        <w:sectPr>
          <w:pgSz w:w="16839" w:h="11907" w:orient="landscape"/>
          <w:pgMar w:top="1797" w:right="1440" w:bottom="1797" w:left="1440" w:header="680" w:footer="992" w:gutter="0"/>
          <w:cols w:space="425" w:num="1"/>
          <w:docGrid w:linePitch="312" w:charSpace="0"/>
        </w:sectPr>
      </w:pPr>
    </w:p>
    <w:p>
      <w:pPr>
        <w:pStyle w:val="44"/>
        <w:rPr>
          <w:color w:val="auto"/>
          <w:highlight w:val="none"/>
        </w:rPr>
      </w:pPr>
      <w:r>
        <w:rPr>
          <w:color w:val="auto"/>
          <w:highlight w:val="none"/>
        </w:rPr>
        <w:t>重要在建工程项目本期变动情况</w:t>
      </w:r>
    </w:p>
    <w:p>
      <w:pPr>
        <w:pStyle w:val="35"/>
        <w:rPr>
          <w:rFonts w:eastAsiaTheme="minorEastAsia"/>
          <w:bCs/>
          <w:color w:val="auto"/>
          <w:szCs w:val="22"/>
          <w:highlight w:val="none"/>
        </w:rPr>
      </w:pPr>
      <w:r>
        <w:rPr>
          <w:rFonts w:eastAsiaTheme="minorEastAsia"/>
          <w:b/>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!在建工程1 \f 4 \h \* MERGEFORMAT </w:instrText>
      </w:r>
      <w:r>
        <w:rPr>
          <w:rFonts w:eastAsiaTheme="minorEastAsia"/>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1703"/>
        <w:gridCol w:w="1232"/>
        <w:gridCol w:w="1132"/>
        <w:gridCol w:w="1132"/>
        <w:gridCol w:w="1104"/>
        <w:gridCol w:w="706"/>
        <w:gridCol w:w="1132"/>
        <w:gridCol w:w="986"/>
        <w:gridCol w:w="664"/>
        <w:gridCol w:w="1028"/>
        <w:gridCol w:w="1084"/>
        <w:gridCol w:w="764"/>
        <w:gridCol w:w="941"/>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PrEx>
        <w:trPr>
          <w:trHeight w:val="283" w:hRule="atLeast"/>
          <w:tblHeader/>
        </w:trPr>
        <w:tc>
          <w:tcPr>
            <w:tcW w:w="1703"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项目名称</w:t>
            </w:r>
          </w:p>
        </w:tc>
        <w:tc>
          <w:tcPr>
            <w:tcW w:w="1232"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预算数</w:t>
            </w:r>
          </w:p>
        </w:tc>
        <w:tc>
          <w:tcPr>
            <w:tcW w:w="1132"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期初余额</w:t>
            </w:r>
          </w:p>
        </w:tc>
        <w:tc>
          <w:tcPr>
            <w:tcW w:w="1132"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本期增加额</w:t>
            </w:r>
          </w:p>
        </w:tc>
        <w:tc>
          <w:tcPr>
            <w:tcW w:w="1104"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本期转入固定资产金额</w:t>
            </w:r>
          </w:p>
        </w:tc>
        <w:tc>
          <w:tcPr>
            <w:tcW w:w="706"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本期其他减少金额</w:t>
            </w:r>
          </w:p>
        </w:tc>
        <w:tc>
          <w:tcPr>
            <w:tcW w:w="1132"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期末余额</w:t>
            </w:r>
          </w:p>
        </w:tc>
        <w:tc>
          <w:tcPr>
            <w:tcW w:w="986"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工程累计投入占预算比例（%）</w:t>
            </w:r>
          </w:p>
        </w:tc>
        <w:tc>
          <w:tcPr>
            <w:tcW w:w="664"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工程进度</w:t>
            </w:r>
          </w:p>
        </w:tc>
        <w:tc>
          <w:tcPr>
            <w:tcW w:w="1028"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利息资本化累计金额</w:t>
            </w:r>
          </w:p>
        </w:tc>
        <w:tc>
          <w:tcPr>
            <w:tcW w:w="1084"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其中：本期利息资本化金额</w:t>
            </w:r>
          </w:p>
        </w:tc>
        <w:tc>
          <w:tcPr>
            <w:tcW w:w="764"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本期利息资本化率</w:t>
            </w:r>
          </w:p>
        </w:tc>
        <w:tc>
          <w:tcPr>
            <w:tcW w:w="941"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资金来源</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703" w:type="dxa"/>
            <w:shd w:val="clear" w:color="auto" w:fill="auto"/>
            <w:vAlign w:val="center"/>
          </w:tcPr>
          <w:p>
            <w:pPr>
              <w:snapToGrid w:val="0"/>
              <w:spacing w:line="200" w:lineRule="atLeast"/>
              <w:jc w:val="lef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威宁县海拉海元农业光伏电站</w:t>
            </w:r>
          </w:p>
        </w:tc>
        <w:tc>
          <w:tcPr>
            <w:tcW w:w="12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861,680,328.45</w:t>
            </w: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436,294,031.69</w:t>
            </w: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262,286,441.95</w:t>
            </w:r>
          </w:p>
        </w:tc>
        <w:tc>
          <w:tcPr>
            <w:tcW w:w="1104"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125,655,296.89</w:t>
            </w:r>
          </w:p>
        </w:tc>
        <w:tc>
          <w:tcPr>
            <w:tcW w:w="706"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572,925,176.75</w:t>
            </w:r>
          </w:p>
        </w:tc>
        <w:tc>
          <w:tcPr>
            <w:tcW w:w="986"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66.49%</w:t>
            </w:r>
          </w:p>
        </w:tc>
        <w:tc>
          <w:tcPr>
            <w:tcW w:w="664"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61.84%</w:t>
            </w:r>
          </w:p>
        </w:tc>
        <w:tc>
          <w:tcPr>
            <w:tcW w:w="1028"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23,814,540.54</w:t>
            </w:r>
          </w:p>
        </w:tc>
        <w:tc>
          <w:tcPr>
            <w:tcW w:w="1084"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10,625,435.18</w:t>
            </w:r>
          </w:p>
        </w:tc>
        <w:tc>
          <w:tcPr>
            <w:tcW w:w="764"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2.65%</w:t>
            </w:r>
          </w:p>
        </w:tc>
        <w:tc>
          <w:tcPr>
            <w:tcW w:w="941"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金融机构贷款和自有资金</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703" w:type="dxa"/>
            <w:shd w:val="clear" w:color="auto" w:fill="auto"/>
            <w:vAlign w:val="center"/>
          </w:tcPr>
          <w:p>
            <w:pPr>
              <w:snapToGrid w:val="0"/>
              <w:spacing w:line="200" w:lineRule="atLeast"/>
              <w:jc w:val="lef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贵州金元股份有限公司安塞坪桥100MW一期风力发电项目</w:t>
            </w:r>
          </w:p>
        </w:tc>
        <w:tc>
          <w:tcPr>
            <w:tcW w:w="12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593,937,100.00</w:t>
            </w: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21,986,270.40</w:t>
            </w: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456,050,842.96</w:t>
            </w:r>
          </w:p>
        </w:tc>
        <w:tc>
          <w:tcPr>
            <w:tcW w:w="1104"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706"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478,037,113.36</w:t>
            </w:r>
          </w:p>
        </w:tc>
        <w:tc>
          <w:tcPr>
            <w:tcW w:w="986"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80.49%</w:t>
            </w:r>
          </w:p>
        </w:tc>
        <w:tc>
          <w:tcPr>
            <w:tcW w:w="664"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80.49%</w:t>
            </w:r>
          </w:p>
        </w:tc>
        <w:tc>
          <w:tcPr>
            <w:tcW w:w="1028"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1,060,407.68</w:t>
            </w:r>
          </w:p>
        </w:tc>
        <w:tc>
          <w:tcPr>
            <w:tcW w:w="1084"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1,060,407.68</w:t>
            </w:r>
          </w:p>
        </w:tc>
        <w:tc>
          <w:tcPr>
            <w:tcW w:w="764"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3.02%</w:t>
            </w:r>
          </w:p>
        </w:tc>
        <w:tc>
          <w:tcPr>
            <w:tcW w:w="941"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融资租赁、自有资金</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703" w:type="dxa"/>
            <w:shd w:val="clear" w:color="auto" w:fill="auto"/>
            <w:vAlign w:val="center"/>
          </w:tcPr>
          <w:p>
            <w:pPr>
              <w:snapToGrid w:val="0"/>
              <w:spacing w:line="200" w:lineRule="atLeast"/>
              <w:jc w:val="lef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连州市西江镇、龙坪镇、九陂镇210MW农光互补光伏电站项目</w:t>
            </w:r>
          </w:p>
        </w:tc>
        <w:tc>
          <w:tcPr>
            <w:tcW w:w="12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947,144,700.00</w:t>
            </w: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304,917,764.79</w:t>
            </w: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31,603,438.55</w:t>
            </w:r>
          </w:p>
        </w:tc>
        <w:tc>
          <w:tcPr>
            <w:tcW w:w="1104"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12,228,160.30</w:t>
            </w:r>
          </w:p>
        </w:tc>
        <w:tc>
          <w:tcPr>
            <w:tcW w:w="706"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324,293,043.04</w:t>
            </w:r>
          </w:p>
        </w:tc>
        <w:tc>
          <w:tcPr>
            <w:tcW w:w="986"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34.24%</w:t>
            </w:r>
          </w:p>
        </w:tc>
        <w:tc>
          <w:tcPr>
            <w:tcW w:w="664"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34.24%</w:t>
            </w:r>
          </w:p>
        </w:tc>
        <w:tc>
          <w:tcPr>
            <w:tcW w:w="1028"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36,266,791.91</w:t>
            </w:r>
          </w:p>
        </w:tc>
        <w:tc>
          <w:tcPr>
            <w:tcW w:w="1084"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7,350,373.60</w:t>
            </w:r>
          </w:p>
        </w:tc>
        <w:tc>
          <w:tcPr>
            <w:tcW w:w="764"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2.65%</w:t>
            </w:r>
          </w:p>
        </w:tc>
        <w:tc>
          <w:tcPr>
            <w:tcW w:w="941"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金融机构贷款和自有资金</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703" w:type="dxa"/>
            <w:shd w:val="clear" w:color="auto" w:fill="auto"/>
            <w:vAlign w:val="center"/>
          </w:tcPr>
          <w:p>
            <w:pPr>
              <w:snapToGrid w:val="0"/>
              <w:spacing w:line="200" w:lineRule="atLeast"/>
              <w:jc w:val="lef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广西田林潞城那帮100MW风电项目</w:t>
            </w:r>
          </w:p>
        </w:tc>
        <w:tc>
          <w:tcPr>
            <w:tcW w:w="12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765,282,100.00</w:t>
            </w: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4,100,787.01</w:t>
            </w: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320,140,252.15</w:t>
            </w:r>
          </w:p>
        </w:tc>
        <w:tc>
          <w:tcPr>
            <w:tcW w:w="1104"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706"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324,241,039.16</w:t>
            </w:r>
          </w:p>
        </w:tc>
        <w:tc>
          <w:tcPr>
            <w:tcW w:w="986"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42.37%</w:t>
            </w:r>
          </w:p>
        </w:tc>
        <w:tc>
          <w:tcPr>
            <w:tcW w:w="664"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42.37%</w:t>
            </w:r>
          </w:p>
        </w:tc>
        <w:tc>
          <w:tcPr>
            <w:tcW w:w="1028"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891,267.86</w:t>
            </w:r>
          </w:p>
        </w:tc>
        <w:tc>
          <w:tcPr>
            <w:tcW w:w="1084"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891,267.86</w:t>
            </w:r>
          </w:p>
        </w:tc>
        <w:tc>
          <w:tcPr>
            <w:tcW w:w="764"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2.15%</w:t>
            </w:r>
          </w:p>
        </w:tc>
        <w:tc>
          <w:tcPr>
            <w:tcW w:w="941"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自有资金及贷款</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703" w:type="dxa"/>
            <w:shd w:val="clear" w:color="auto" w:fill="auto"/>
            <w:vAlign w:val="center"/>
          </w:tcPr>
          <w:p>
            <w:pPr>
              <w:snapToGrid w:val="0"/>
              <w:spacing w:line="200" w:lineRule="atLeast"/>
              <w:jc w:val="lef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罗定市100MW光伏复合项目</w:t>
            </w:r>
          </w:p>
        </w:tc>
        <w:tc>
          <w:tcPr>
            <w:tcW w:w="12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451,145,100.00</w:t>
            </w: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212,452,641.39</w:t>
            </w: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93,516,601.94</w:t>
            </w:r>
          </w:p>
        </w:tc>
        <w:tc>
          <w:tcPr>
            <w:tcW w:w="1104"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108,896,646.98</w:t>
            </w:r>
          </w:p>
        </w:tc>
        <w:tc>
          <w:tcPr>
            <w:tcW w:w="706"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197,072,596.35</w:t>
            </w:r>
          </w:p>
        </w:tc>
        <w:tc>
          <w:tcPr>
            <w:tcW w:w="986"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67.82%</w:t>
            </w:r>
          </w:p>
        </w:tc>
        <w:tc>
          <w:tcPr>
            <w:tcW w:w="664"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67.82%</w:t>
            </w:r>
          </w:p>
        </w:tc>
        <w:tc>
          <w:tcPr>
            <w:tcW w:w="1028"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17,349,043.86</w:t>
            </w:r>
          </w:p>
        </w:tc>
        <w:tc>
          <w:tcPr>
            <w:tcW w:w="1084"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3,196,096.19</w:t>
            </w:r>
          </w:p>
        </w:tc>
        <w:tc>
          <w:tcPr>
            <w:tcW w:w="764"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2.85%</w:t>
            </w:r>
          </w:p>
        </w:tc>
        <w:tc>
          <w:tcPr>
            <w:tcW w:w="941"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金融机构贷款和自有资金</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703" w:type="dxa"/>
            <w:shd w:val="clear" w:color="auto" w:fill="auto"/>
            <w:vAlign w:val="center"/>
          </w:tcPr>
          <w:p>
            <w:pPr>
              <w:snapToGrid w:val="0"/>
              <w:spacing w:line="200" w:lineRule="atLeast"/>
              <w:jc w:val="lef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纳雍县骔岭镇杨家箐风电场</w:t>
            </w:r>
          </w:p>
        </w:tc>
        <w:tc>
          <w:tcPr>
            <w:tcW w:w="12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329,389,366.33</w:t>
            </w: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50,553,405.09</w:t>
            </w: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105,084,569.34</w:t>
            </w:r>
          </w:p>
        </w:tc>
        <w:tc>
          <w:tcPr>
            <w:tcW w:w="1104"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30,226,968.27</w:t>
            </w:r>
          </w:p>
        </w:tc>
        <w:tc>
          <w:tcPr>
            <w:tcW w:w="706"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125,411,006.16</w:t>
            </w:r>
          </w:p>
        </w:tc>
        <w:tc>
          <w:tcPr>
            <w:tcW w:w="986"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83.42%</w:t>
            </w:r>
          </w:p>
        </w:tc>
        <w:tc>
          <w:tcPr>
            <w:tcW w:w="664"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83.42%</w:t>
            </w:r>
          </w:p>
        </w:tc>
        <w:tc>
          <w:tcPr>
            <w:tcW w:w="1028"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7,192,347.40</w:t>
            </w:r>
          </w:p>
        </w:tc>
        <w:tc>
          <w:tcPr>
            <w:tcW w:w="1084"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3,575,929.63</w:t>
            </w:r>
          </w:p>
        </w:tc>
        <w:tc>
          <w:tcPr>
            <w:tcW w:w="764"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2.55%</w:t>
            </w:r>
          </w:p>
        </w:tc>
        <w:tc>
          <w:tcPr>
            <w:tcW w:w="941"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金融机构贷款和自有资金</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703" w:type="dxa"/>
            <w:shd w:val="clear" w:color="auto" w:fill="auto"/>
            <w:vAlign w:val="center"/>
          </w:tcPr>
          <w:p>
            <w:pPr>
              <w:snapToGrid w:val="0"/>
              <w:spacing w:line="200" w:lineRule="atLeast"/>
              <w:jc w:val="lef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威宁县盐仓兰子山农业光伏电站</w:t>
            </w:r>
          </w:p>
        </w:tc>
        <w:tc>
          <w:tcPr>
            <w:tcW w:w="12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364,395,453.88</w:t>
            </w: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3,379,613.48</w:t>
            </w: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124,310,489.06</w:t>
            </w:r>
          </w:p>
        </w:tc>
        <w:tc>
          <w:tcPr>
            <w:tcW w:w="1104"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706"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127,690,102.54</w:t>
            </w:r>
          </w:p>
        </w:tc>
        <w:tc>
          <w:tcPr>
            <w:tcW w:w="986"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5.49%</w:t>
            </w:r>
          </w:p>
        </w:tc>
        <w:tc>
          <w:tcPr>
            <w:tcW w:w="664"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5.49%</w:t>
            </w:r>
          </w:p>
        </w:tc>
        <w:tc>
          <w:tcPr>
            <w:tcW w:w="1028"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1,676,590.02</w:t>
            </w:r>
          </w:p>
        </w:tc>
        <w:tc>
          <w:tcPr>
            <w:tcW w:w="1084"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1,676,590.02</w:t>
            </w:r>
          </w:p>
        </w:tc>
        <w:tc>
          <w:tcPr>
            <w:tcW w:w="764"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2.65%</w:t>
            </w:r>
          </w:p>
        </w:tc>
        <w:tc>
          <w:tcPr>
            <w:tcW w:w="941"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金融机构贷款和自有资金</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703" w:type="dxa"/>
            <w:shd w:val="clear" w:color="auto" w:fill="auto"/>
            <w:vAlign w:val="center"/>
          </w:tcPr>
          <w:p>
            <w:pPr>
              <w:snapToGrid w:val="0"/>
              <w:spacing w:line="200" w:lineRule="atLeast"/>
              <w:jc w:val="lef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怀集县幸福街道三多村 100MW农光互补光伏发电项目</w:t>
            </w:r>
          </w:p>
        </w:tc>
        <w:tc>
          <w:tcPr>
            <w:tcW w:w="12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438,735,800.00</w:t>
            </w: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91,474,801.35</w:t>
            </w: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10,068,235.48</w:t>
            </w:r>
          </w:p>
        </w:tc>
        <w:tc>
          <w:tcPr>
            <w:tcW w:w="1104"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706"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101,543,036.83</w:t>
            </w:r>
          </w:p>
        </w:tc>
        <w:tc>
          <w:tcPr>
            <w:tcW w:w="986"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23.14%</w:t>
            </w:r>
          </w:p>
        </w:tc>
        <w:tc>
          <w:tcPr>
            <w:tcW w:w="664"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23.14%</w:t>
            </w:r>
          </w:p>
        </w:tc>
        <w:tc>
          <w:tcPr>
            <w:tcW w:w="1028"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10,600,630.72</w:t>
            </w:r>
          </w:p>
        </w:tc>
        <w:tc>
          <w:tcPr>
            <w:tcW w:w="1084"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2,010,057.56</w:t>
            </w:r>
          </w:p>
        </w:tc>
        <w:tc>
          <w:tcPr>
            <w:tcW w:w="764"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5.00%</w:t>
            </w:r>
          </w:p>
        </w:tc>
        <w:tc>
          <w:tcPr>
            <w:tcW w:w="941"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金融机构贷款和自有资金</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703" w:type="dxa"/>
            <w:shd w:val="clear" w:color="auto" w:fill="auto"/>
            <w:vAlign w:val="center"/>
          </w:tcPr>
          <w:p>
            <w:pPr>
              <w:snapToGrid w:val="0"/>
              <w:spacing w:line="200" w:lineRule="atLeast"/>
              <w:jc w:val="lef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镇康县勐捧镇绿茵塘100MW农光互补光伏项目</w:t>
            </w:r>
          </w:p>
        </w:tc>
        <w:tc>
          <w:tcPr>
            <w:tcW w:w="12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537,716,100.00</w:t>
            </w: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200,182,055.51</w:t>
            </w: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68,970,001.64</w:t>
            </w:r>
          </w:p>
        </w:tc>
        <w:tc>
          <w:tcPr>
            <w:tcW w:w="1104"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175,944,238.03</w:t>
            </w:r>
          </w:p>
        </w:tc>
        <w:tc>
          <w:tcPr>
            <w:tcW w:w="706"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93,207,819.12</w:t>
            </w:r>
          </w:p>
        </w:tc>
        <w:tc>
          <w:tcPr>
            <w:tcW w:w="986"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45.67%</w:t>
            </w:r>
          </w:p>
        </w:tc>
        <w:tc>
          <w:tcPr>
            <w:tcW w:w="664"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45.67%</w:t>
            </w:r>
          </w:p>
        </w:tc>
        <w:tc>
          <w:tcPr>
            <w:tcW w:w="1028"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5,281,759.06</w:t>
            </w:r>
          </w:p>
        </w:tc>
        <w:tc>
          <w:tcPr>
            <w:tcW w:w="1084"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2,558,327.60</w:t>
            </w:r>
          </w:p>
        </w:tc>
        <w:tc>
          <w:tcPr>
            <w:tcW w:w="764"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3.74%</w:t>
            </w:r>
          </w:p>
        </w:tc>
        <w:tc>
          <w:tcPr>
            <w:tcW w:w="941"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融资租赁、自有资金</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703" w:type="dxa"/>
            <w:shd w:val="clear" w:color="auto" w:fill="auto"/>
            <w:vAlign w:val="center"/>
          </w:tcPr>
          <w:p>
            <w:pPr>
              <w:snapToGrid w:val="0"/>
              <w:spacing w:line="200" w:lineRule="atLeast"/>
              <w:jc w:val="lef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威宁县石门大梨树农业光伏电站</w:t>
            </w:r>
          </w:p>
        </w:tc>
        <w:tc>
          <w:tcPr>
            <w:tcW w:w="12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334,375,895.99</w:t>
            </w: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3,461,460.44</w:t>
            </w: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184,544,088.03</w:t>
            </w:r>
          </w:p>
        </w:tc>
        <w:tc>
          <w:tcPr>
            <w:tcW w:w="1104"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120,265,040.23</w:t>
            </w:r>
          </w:p>
        </w:tc>
        <w:tc>
          <w:tcPr>
            <w:tcW w:w="706"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67,740,508.24</w:t>
            </w:r>
          </w:p>
        </w:tc>
        <w:tc>
          <w:tcPr>
            <w:tcW w:w="986"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44.32%</w:t>
            </w:r>
          </w:p>
        </w:tc>
        <w:tc>
          <w:tcPr>
            <w:tcW w:w="664"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44.32%</w:t>
            </w:r>
          </w:p>
        </w:tc>
        <w:tc>
          <w:tcPr>
            <w:tcW w:w="1028"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1,119,999.99</w:t>
            </w:r>
          </w:p>
        </w:tc>
        <w:tc>
          <w:tcPr>
            <w:tcW w:w="1084"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1,119,999.99</w:t>
            </w:r>
          </w:p>
        </w:tc>
        <w:tc>
          <w:tcPr>
            <w:tcW w:w="764"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2.80%</w:t>
            </w:r>
          </w:p>
        </w:tc>
        <w:tc>
          <w:tcPr>
            <w:tcW w:w="941"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金融机构贷款和自有资金</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703" w:type="dxa"/>
            <w:shd w:val="clear" w:color="auto" w:fill="auto"/>
            <w:vAlign w:val="center"/>
          </w:tcPr>
          <w:p>
            <w:pPr>
              <w:snapToGrid w:val="0"/>
              <w:spacing w:line="200" w:lineRule="atLeast"/>
              <w:jc w:val="lef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威宁县二塘议山农业光伏电站</w:t>
            </w:r>
          </w:p>
        </w:tc>
        <w:tc>
          <w:tcPr>
            <w:tcW w:w="12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450,112,998.49</w:t>
            </w: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4,390,441.93</w:t>
            </w: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198,550,151.51</w:t>
            </w:r>
          </w:p>
        </w:tc>
        <w:tc>
          <w:tcPr>
            <w:tcW w:w="1104"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135,443,580.29</w:t>
            </w:r>
          </w:p>
        </w:tc>
        <w:tc>
          <w:tcPr>
            <w:tcW w:w="706"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67,497,013.15</w:t>
            </w:r>
          </w:p>
        </w:tc>
        <w:tc>
          <w:tcPr>
            <w:tcW w:w="986"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60.00%</w:t>
            </w:r>
          </w:p>
        </w:tc>
        <w:tc>
          <w:tcPr>
            <w:tcW w:w="664"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60.00%</w:t>
            </w:r>
          </w:p>
        </w:tc>
        <w:tc>
          <w:tcPr>
            <w:tcW w:w="1028"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7,252,318.53</w:t>
            </w:r>
          </w:p>
        </w:tc>
        <w:tc>
          <w:tcPr>
            <w:tcW w:w="1084"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7,252,318.53</w:t>
            </w:r>
          </w:p>
        </w:tc>
        <w:tc>
          <w:tcPr>
            <w:tcW w:w="764"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2.80%</w:t>
            </w:r>
          </w:p>
        </w:tc>
        <w:tc>
          <w:tcPr>
            <w:tcW w:w="941"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金融机构贷款和自有资金</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703" w:type="dxa"/>
            <w:shd w:val="clear" w:color="auto" w:fill="auto"/>
            <w:vAlign w:val="center"/>
          </w:tcPr>
          <w:p>
            <w:pPr>
              <w:snapToGrid w:val="0"/>
              <w:spacing w:line="200" w:lineRule="atLeast"/>
              <w:jc w:val="lef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威宁县二塘红花坡农业光伏电站</w:t>
            </w:r>
          </w:p>
        </w:tc>
        <w:tc>
          <w:tcPr>
            <w:tcW w:w="12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211,175,325.61</w:t>
            </w: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2,413,504.53</w:t>
            </w: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129,236,055.41</w:t>
            </w:r>
          </w:p>
        </w:tc>
        <w:tc>
          <w:tcPr>
            <w:tcW w:w="1104"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64,726,779.14</w:t>
            </w:r>
          </w:p>
        </w:tc>
        <w:tc>
          <w:tcPr>
            <w:tcW w:w="706"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66,922,780.80</w:t>
            </w:r>
          </w:p>
        </w:tc>
        <w:tc>
          <w:tcPr>
            <w:tcW w:w="986"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70.00%</w:t>
            </w:r>
          </w:p>
        </w:tc>
        <w:tc>
          <w:tcPr>
            <w:tcW w:w="664"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70.00%</w:t>
            </w:r>
          </w:p>
        </w:tc>
        <w:tc>
          <w:tcPr>
            <w:tcW w:w="1028"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1,887,962.56</w:t>
            </w:r>
          </w:p>
        </w:tc>
        <w:tc>
          <w:tcPr>
            <w:tcW w:w="1084"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1,887,962.56</w:t>
            </w:r>
          </w:p>
        </w:tc>
        <w:tc>
          <w:tcPr>
            <w:tcW w:w="764"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2.05%</w:t>
            </w:r>
          </w:p>
        </w:tc>
        <w:tc>
          <w:tcPr>
            <w:tcW w:w="941"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金融机构贷款和自有资金</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703"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合计</w:t>
            </w:r>
          </w:p>
        </w:tc>
        <w:tc>
          <w:tcPr>
            <w:tcW w:w="12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6,285,090,268.75</w:t>
            </w: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1,335,606,777.61</w:t>
            </w: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1,984,361,168.02</w:t>
            </w:r>
          </w:p>
        </w:tc>
        <w:tc>
          <w:tcPr>
            <w:tcW w:w="1104"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773,386,710.13</w:t>
            </w:r>
          </w:p>
        </w:tc>
        <w:tc>
          <w:tcPr>
            <w:tcW w:w="706"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2,546,581,235.50</w:t>
            </w:r>
          </w:p>
        </w:tc>
        <w:tc>
          <w:tcPr>
            <w:tcW w:w="986"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664" w:type="dxa"/>
            <w:shd w:val="clear" w:color="auto" w:fill="auto"/>
            <w:vAlign w:val="center"/>
          </w:tcPr>
          <w:p>
            <w:pPr>
              <w:snapToGrid w:val="0"/>
              <w:spacing w:line="200" w:lineRule="atLeast"/>
              <w:jc w:val="left"/>
              <w:rPr>
                <w:rFonts w:ascii="Times New Roman" w:hAnsi="Times New Roman" w:eastAsia="宋体" w:cs="Times New Roman"/>
                <w:color w:val="auto"/>
                <w:sz w:val="12"/>
                <w:szCs w:val="13"/>
                <w:highlight w:val="none"/>
              </w:rPr>
            </w:pPr>
          </w:p>
        </w:tc>
        <w:tc>
          <w:tcPr>
            <w:tcW w:w="1028"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114,393,660.13</w:t>
            </w:r>
          </w:p>
        </w:tc>
        <w:tc>
          <w:tcPr>
            <w:tcW w:w="1084"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43,204,766.40</w:t>
            </w:r>
          </w:p>
        </w:tc>
        <w:tc>
          <w:tcPr>
            <w:tcW w:w="764"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941" w:type="dxa"/>
            <w:shd w:val="clear" w:color="auto" w:fill="auto"/>
            <w:vAlign w:val="center"/>
          </w:tcPr>
          <w:p>
            <w:pPr>
              <w:snapToGrid w:val="0"/>
              <w:spacing w:line="200" w:lineRule="atLeast"/>
              <w:jc w:val="left"/>
              <w:rPr>
                <w:rFonts w:ascii="Times New Roman" w:hAnsi="Times New Roman" w:eastAsia="宋体" w:cs="Times New Roman"/>
                <w:color w:val="auto"/>
                <w:sz w:val="12"/>
                <w:szCs w:val="13"/>
                <w:highlight w:val="none"/>
              </w:rPr>
            </w:pPr>
          </w:p>
        </w:tc>
      </w:tr>
    </w:tbl>
    <w:p>
      <w:pPr>
        <w:pStyle w:val="35"/>
        <w:rPr>
          <w:rFonts w:eastAsiaTheme="minorEastAsia"/>
          <w:color w:val="auto"/>
          <w:highlight w:val="none"/>
        </w:rPr>
      </w:pPr>
      <w:r>
        <w:rPr>
          <w:rFonts w:eastAsiaTheme="minorEastAsia"/>
          <w:color w:val="auto"/>
          <w:highlight w:val="none"/>
        </w:rPr>
        <w:fldChar w:fldCharType="end"/>
      </w:r>
    </w:p>
    <w:p>
      <w:pPr>
        <w:pStyle w:val="38"/>
        <w:rPr>
          <w:rFonts w:eastAsiaTheme="minorEastAsia"/>
          <w:color w:val="auto"/>
          <w:highlight w:val="none"/>
        </w:rPr>
        <w:sectPr>
          <w:pgSz w:w="16839" w:h="11907" w:orient="landscape"/>
          <w:pgMar w:top="1797" w:right="1440" w:bottom="1293" w:left="1440" w:header="794" w:footer="992" w:gutter="0"/>
          <w:cols w:space="425" w:num="1"/>
          <w:docGrid w:linePitch="312" w:charSpace="0"/>
        </w:sectPr>
      </w:pPr>
    </w:p>
    <w:p>
      <w:pPr>
        <w:pStyle w:val="44"/>
        <w:rPr>
          <w:rFonts w:eastAsiaTheme="minorEastAsia"/>
          <w:color w:val="auto"/>
          <w:highlight w:val="none"/>
        </w:rPr>
      </w:pPr>
      <w:r>
        <w:rPr>
          <w:rFonts w:eastAsiaTheme="minorEastAsia"/>
          <w:color w:val="auto"/>
          <w:highlight w:val="none"/>
        </w:rPr>
        <w:t>本期计提在建工程减值准备情况</w:t>
      </w:r>
    </w:p>
    <w:p>
      <w:pPr>
        <w:pStyle w:val="35"/>
        <w:rPr>
          <w:rFonts w:eastAsiaTheme="minorEastAsia"/>
          <w:bCs/>
          <w:color w:val="auto"/>
          <w:szCs w:val="22"/>
          <w:highlight w:val="none"/>
        </w:rPr>
      </w:pPr>
      <w:r>
        <w:rPr>
          <w:rFonts w:eastAsiaTheme="minorEastAsia"/>
          <w:b/>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!在建工程2 \f 4 \h \* MERGEFORMAT </w:instrText>
      </w:r>
      <w:r>
        <w:rPr>
          <w:rFonts w:eastAsiaTheme="minorEastAsia"/>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2642"/>
        <w:gridCol w:w="2678"/>
        <w:gridCol w:w="2868"/>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2642"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267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本期计提金额</w:t>
            </w:r>
          </w:p>
        </w:tc>
        <w:tc>
          <w:tcPr>
            <w:tcW w:w="286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计提原因</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4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习水县小糊涂仙酒厂固体蓄热式能源示范项目</w:t>
            </w:r>
          </w:p>
        </w:tc>
        <w:tc>
          <w:tcPr>
            <w:tcW w:w="26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545,231.40</w:t>
            </w:r>
          </w:p>
        </w:tc>
        <w:tc>
          <w:tcPr>
            <w:tcW w:w="2868"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项目整改未达标</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4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福平煤矿项目</w:t>
            </w:r>
          </w:p>
        </w:tc>
        <w:tc>
          <w:tcPr>
            <w:tcW w:w="26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466,535.07</w:t>
            </w:r>
          </w:p>
        </w:tc>
        <w:tc>
          <w:tcPr>
            <w:tcW w:w="2868"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评估减值</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42"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26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1,011,766.47</w:t>
            </w:r>
          </w:p>
        </w:tc>
        <w:tc>
          <w:tcPr>
            <w:tcW w:w="2868"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p>
        </w:tc>
      </w:tr>
    </w:tbl>
    <w:p>
      <w:pPr>
        <w:pStyle w:val="35"/>
        <w:rPr>
          <w:rFonts w:eastAsiaTheme="minorEastAsia"/>
          <w:color w:val="auto"/>
          <w:highlight w:val="none"/>
        </w:rPr>
      </w:pPr>
      <w:r>
        <w:rPr>
          <w:rFonts w:eastAsiaTheme="minorEastAsia"/>
          <w:color w:val="auto"/>
          <w:highlight w:val="none"/>
        </w:rPr>
        <w:fldChar w:fldCharType="end"/>
      </w:r>
    </w:p>
    <w:p>
      <w:pPr>
        <w:pStyle w:val="37"/>
        <w:rPr>
          <w:color w:val="auto"/>
          <w:highlight w:val="none"/>
        </w:rPr>
      </w:pPr>
      <w:r>
        <w:rPr>
          <w:rFonts w:hint="eastAsia"/>
          <w:color w:val="auto"/>
          <w:highlight w:val="none"/>
        </w:rPr>
        <w:t>使用权资产</w:t>
      </w:r>
    </w:p>
    <w:p>
      <w:pPr>
        <w:pStyle w:val="38"/>
        <w:rPr>
          <w:color w:val="auto"/>
          <w:highlight w:val="none"/>
        </w:rPr>
      </w:pPr>
      <w:r>
        <w:rPr>
          <w:color w:val="auto"/>
          <w:highlight w:val="none"/>
        </w:rPr>
        <w:fldChar w:fldCharType="begin"/>
      </w:r>
      <w:r>
        <w:rPr>
          <w:color w:val="auto"/>
          <w:highlight w:val="none"/>
        </w:rPr>
        <w:instrText xml:space="preserve"> LINK Excel.Sheet.12 "D:\\work\\20190430\\StandardTemplateTool\\template\\SASAC\\Frame\\201912\\SASACFinancialReports.xlsx" "合并附注!使用权资产" \f 4 \h \* MERGEFORMAT </w:instrText>
      </w:r>
      <w:r>
        <w:rPr>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2137"/>
        <w:gridCol w:w="1587"/>
        <w:gridCol w:w="1442"/>
        <w:gridCol w:w="1435"/>
        <w:gridCol w:w="1587"/>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213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158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w:t>
            </w:r>
          </w:p>
        </w:tc>
        <w:tc>
          <w:tcPr>
            <w:tcW w:w="1442"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本期增加</w:t>
            </w:r>
          </w:p>
        </w:tc>
        <w:tc>
          <w:tcPr>
            <w:tcW w:w="143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本期减少</w:t>
            </w:r>
          </w:p>
        </w:tc>
        <w:tc>
          <w:tcPr>
            <w:tcW w:w="158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13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一、账面原值合计：</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3,080,085,123.27</w:t>
            </w:r>
          </w:p>
        </w:tc>
        <w:tc>
          <w:tcPr>
            <w:tcW w:w="144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697,974,288.47</w:t>
            </w:r>
          </w:p>
        </w:tc>
        <w:tc>
          <w:tcPr>
            <w:tcW w:w="143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118,217,516.00</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3,659,841,895.74</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13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其中：土地</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1,458,616,866.21</w:t>
            </w:r>
          </w:p>
        </w:tc>
        <w:tc>
          <w:tcPr>
            <w:tcW w:w="144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163,266,248.36</w:t>
            </w:r>
          </w:p>
        </w:tc>
        <w:tc>
          <w:tcPr>
            <w:tcW w:w="143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31,808,737.85</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1,590,074,376.72</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13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机器运输办公设备</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1,621,468,257.06</w:t>
            </w:r>
          </w:p>
        </w:tc>
        <w:tc>
          <w:tcPr>
            <w:tcW w:w="144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534,708,040.11</w:t>
            </w:r>
          </w:p>
        </w:tc>
        <w:tc>
          <w:tcPr>
            <w:tcW w:w="143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86,408,778.15</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2,069,767,519.02</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13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二、累计折旧合计：</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419,550,444.29</w:t>
            </w:r>
          </w:p>
        </w:tc>
        <w:tc>
          <w:tcPr>
            <w:tcW w:w="144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262,635,700.66</w:t>
            </w:r>
          </w:p>
        </w:tc>
        <w:tc>
          <w:tcPr>
            <w:tcW w:w="143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94,634,476.30</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587,551,668.65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13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其中：土地</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184,163,882.51</w:t>
            </w:r>
          </w:p>
        </w:tc>
        <w:tc>
          <w:tcPr>
            <w:tcW w:w="144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84,400,219.21</w:t>
            </w:r>
          </w:p>
        </w:tc>
        <w:tc>
          <w:tcPr>
            <w:tcW w:w="143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3,933,411.61</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264,630,690.11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13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机器运输办公设备</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235,386,561.78</w:t>
            </w:r>
          </w:p>
        </w:tc>
        <w:tc>
          <w:tcPr>
            <w:tcW w:w="144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178,235,481.45</w:t>
            </w:r>
          </w:p>
        </w:tc>
        <w:tc>
          <w:tcPr>
            <w:tcW w:w="143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90,701,064.69</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322,920,978.54</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13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三、使用权资产账面净值合计</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2,660,534,678.98</w:t>
            </w:r>
          </w:p>
        </w:tc>
        <w:tc>
          <w:tcPr>
            <w:tcW w:w="1442"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c>
          <w:tcPr>
            <w:tcW w:w="143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3,072,290,227.09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13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其中：土地</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1,274,452,983.70</w:t>
            </w:r>
          </w:p>
        </w:tc>
        <w:tc>
          <w:tcPr>
            <w:tcW w:w="1442"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c>
          <w:tcPr>
            <w:tcW w:w="143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1,325,443,686.61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13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机器运输办公设备</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1,386,081,695.28</w:t>
            </w:r>
          </w:p>
        </w:tc>
        <w:tc>
          <w:tcPr>
            <w:tcW w:w="1442"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c>
          <w:tcPr>
            <w:tcW w:w="143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1,746,846,540.48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13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四、减值准备合计</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4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3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13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其中：土地</w:t>
            </w:r>
          </w:p>
        </w:tc>
        <w:tc>
          <w:tcPr>
            <w:tcW w:w="158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c>
          <w:tcPr>
            <w:tcW w:w="1442"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c>
          <w:tcPr>
            <w:tcW w:w="143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c>
          <w:tcPr>
            <w:tcW w:w="158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13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机器运输办公设备</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4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3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13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五、使用权资产账面价值合计</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2,660,534,678.98</w:t>
            </w:r>
          </w:p>
        </w:tc>
        <w:tc>
          <w:tcPr>
            <w:tcW w:w="1442"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c>
          <w:tcPr>
            <w:tcW w:w="143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3,072,290,227.09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13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其中：土地</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1,274,452,983.70</w:t>
            </w:r>
          </w:p>
        </w:tc>
        <w:tc>
          <w:tcPr>
            <w:tcW w:w="1442"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c>
          <w:tcPr>
            <w:tcW w:w="143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1,325,443,686.61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13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机器运输办公设备</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1,386,081,695.28</w:t>
            </w:r>
          </w:p>
        </w:tc>
        <w:tc>
          <w:tcPr>
            <w:tcW w:w="1442"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c>
          <w:tcPr>
            <w:tcW w:w="143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1,746,846,540.48</w:t>
            </w:r>
          </w:p>
        </w:tc>
      </w:tr>
    </w:tbl>
    <w:p>
      <w:pPr>
        <w:pStyle w:val="38"/>
        <w:rPr>
          <w:color w:val="auto"/>
          <w:highlight w:val="none"/>
        </w:rPr>
      </w:pPr>
      <w:r>
        <w:rPr>
          <w:color w:val="auto"/>
          <w:highlight w:val="none"/>
        </w:rPr>
        <w:fldChar w:fldCharType="end"/>
      </w:r>
    </w:p>
    <w:p>
      <w:pPr>
        <w:pStyle w:val="37"/>
        <w:rPr>
          <w:rFonts w:eastAsiaTheme="minorEastAsia"/>
          <w:color w:val="auto"/>
          <w:highlight w:val="none"/>
        </w:rPr>
      </w:pPr>
      <w:r>
        <w:rPr>
          <w:rFonts w:eastAsiaTheme="minorEastAsia"/>
          <w:color w:val="auto"/>
          <w:highlight w:val="none"/>
        </w:rPr>
        <w:t>无形资产</w:t>
      </w:r>
    </w:p>
    <w:p>
      <w:pPr>
        <w:pStyle w:val="44"/>
        <w:rPr>
          <w:rFonts w:eastAsiaTheme="minorEastAsia"/>
          <w:color w:val="auto"/>
          <w:highlight w:val="none"/>
        </w:rPr>
      </w:pPr>
      <w:r>
        <w:rPr>
          <w:rFonts w:eastAsiaTheme="minorEastAsia"/>
          <w:color w:val="auto"/>
          <w:highlight w:val="none"/>
        </w:rPr>
        <w:t>无形资产情况</w:t>
      </w:r>
    </w:p>
    <w:p>
      <w:pPr>
        <w:pStyle w:val="35"/>
        <w:rPr>
          <w:rFonts w:eastAsiaTheme="minorEastAsia"/>
          <w:color w:val="auto"/>
          <w:szCs w:val="22"/>
          <w:highlight w:val="none"/>
        </w:rPr>
      </w:pPr>
      <w:r>
        <w:rPr>
          <w:rFonts w:eastAsiaTheme="minorEastAsia"/>
          <w:b/>
          <w:bCs/>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!无形资产 \f 4 \h \* MERGEFORMAT </w:instrText>
      </w:r>
      <w:r>
        <w:rPr>
          <w:rFonts w:eastAsiaTheme="minorEastAsia"/>
          <w:b/>
          <w:bCs/>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1946"/>
        <w:gridCol w:w="1598"/>
        <w:gridCol w:w="1519"/>
        <w:gridCol w:w="1527"/>
        <w:gridCol w:w="1598"/>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946"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159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w:t>
            </w:r>
          </w:p>
        </w:tc>
        <w:tc>
          <w:tcPr>
            <w:tcW w:w="1519"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本期增加额</w:t>
            </w:r>
          </w:p>
        </w:tc>
        <w:tc>
          <w:tcPr>
            <w:tcW w:w="152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本期减少额</w:t>
            </w:r>
          </w:p>
        </w:tc>
        <w:tc>
          <w:tcPr>
            <w:tcW w:w="159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4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一、原价合计</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2,835,992,809.80</w:t>
            </w:r>
          </w:p>
        </w:tc>
        <w:tc>
          <w:tcPr>
            <w:tcW w:w="151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91,710,398.62</w:t>
            </w:r>
          </w:p>
        </w:tc>
        <w:tc>
          <w:tcPr>
            <w:tcW w:w="152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455,907,377.26</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2,471,795,831.16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4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其中：软件</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105,646,531.09</w:t>
            </w:r>
          </w:p>
        </w:tc>
        <w:tc>
          <w:tcPr>
            <w:tcW w:w="151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13,928,535.66</w:t>
            </w:r>
          </w:p>
        </w:tc>
        <w:tc>
          <w:tcPr>
            <w:tcW w:w="152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305,874.82</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119,269,191.93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4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土地使用权</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713,944,442.41</w:t>
            </w:r>
          </w:p>
        </w:tc>
        <w:tc>
          <w:tcPr>
            <w:tcW w:w="151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75,821,630.69</w:t>
            </w:r>
          </w:p>
        </w:tc>
        <w:tc>
          <w:tcPr>
            <w:tcW w:w="152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64,910,371.24</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724,855,701.86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4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专利权</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4,496,051.27</w:t>
            </w:r>
          </w:p>
        </w:tc>
        <w:tc>
          <w:tcPr>
            <w:tcW w:w="151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1,912,192.27</w:t>
            </w:r>
          </w:p>
        </w:tc>
        <w:tc>
          <w:tcPr>
            <w:tcW w:w="152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6,408,243.54</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4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非专利技术</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4,128,932.57</w:t>
            </w:r>
          </w:p>
        </w:tc>
        <w:tc>
          <w:tcPr>
            <w:tcW w:w="151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2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25,360.88</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4,103,571.69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4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商标权</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2,600.00</w:t>
            </w:r>
          </w:p>
        </w:tc>
        <w:tc>
          <w:tcPr>
            <w:tcW w:w="151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2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2,600.00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4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特许权</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492,962,714.31</w:t>
            </w:r>
          </w:p>
        </w:tc>
        <w:tc>
          <w:tcPr>
            <w:tcW w:w="151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48,040.00</w:t>
            </w:r>
          </w:p>
        </w:tc>
        <w:tc>
          <w:tcPr>
            <w:tcW w:w="152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4,957.26</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493,005,797.05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4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采矿权</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1,458,208,140.62</w:t>
            </w:r>
          </w:p>
        </w:tc>
        <w:tc>
          <w:tcPr>
            <w:tcW w:w="151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2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376,982,014.31</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1,081,226,126.31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4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探矿权</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48,156,540.07</w:t>
            </w:r>
          </w:p>
        </w:tc>
        <w:tc>
          <w:tcPr>
            <w:tcW w:w="151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2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12,007,540.44</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36,148,999.63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4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其他</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8,446,857.46</w:t>
            </w:r>
          </w:p>
        </w:tc>
        <w:tc>
          <w:tcPr>
            <w:tcW w:w="151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2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1,671,258.31</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6,775,599.15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4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二、累计摊销合计</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362,973,792.45</w:t>
            </w:r>
          </w:p>
        </w:tc>
        <w:tc>
          <w:tcPr>
            <w:tcW w:w="151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67,048,610.41</w:t>
            </w:r>
          </w:p>
        </w:tc>
        <w:tc>
          <w:tcPr>
            <w:tcW w:w="152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75,208,489.66</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354,813,913.20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4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其中：软件</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58,778,380.04</w:t>
            </w:r>
          </w:p>
        </w:tc>
        <w:tc>
          <w:tcPr>
            <w:tcW w:w="151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6,514,348.24</w:t>
            </w:r>
          </w:p>
        </w:tc>
        <w:tc>
          <w:tcPr>
            <w:tcW w:w="152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68,337.24</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65,224,391.04</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4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土地使用权</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124,602,344.06</w:t>
            </w:r>
          </w:p>
        </w:tc>
        <w:tc>
          <w:tcPr>
            <w:tcW w:w="151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29,205,885.11</w:t>
            </w:r>
          </w:p>
        </w:tc>
        <w:tc>
          <w:tcPr>
            <w:tcW w:w="152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13,292,156.48</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140,516,072.69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4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专利权</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932,300.50</w:t>
            </w:r>
          </w:p>
        </w:tc>
        <w:tc>
          <w:tcPr>
            <w:tcW w:w="151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968,179.61</w:t>
            </w:r>
          </w:p>
        </w:tc>
        <w:tc>
          <w:tcPr>
            <w:tcW w:w="152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1,900,480.11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4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非专利技术</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4,103,571.69</w:t>
            </w:r>
          </w:p>
        </w:tc>
        <w:tc>
          <w:tcPr>
            <w:tcW w:w="151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2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4,103,571.69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4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商标权</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2,600.00</w:t>
            </w:r>
          </w:p>
        </w:tc>
        <w:tc>
          <w:tcPr>
            <w:tcW w:w="152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2,600.00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4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特许权</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85,374,533.67</w:t>
            </w:r>
          </w:p>
        </w:tc>
        <w:tc>
          <w:tcPr>
            <w:tcW w:w="151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30,357,597.45</w:t>
            </w:r>
          </w:p>
        </w:tc>
        <w:tc>
          <w:tcPr>
            <w:tcW w:w="152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4,957.26</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115,727,173.86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4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采矿权</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88,633,356.67</w:t>
            </w:r>
          </w:p>
        </w:tc>
        <w:tc>
          <w:tcPr>
            <w:tcW w:w="151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2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61,757,618.76</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26,875,737.91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4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探矿权</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2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4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其他</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549,305.82</w:t>
            </w:r>
          </w:p>
        </w:tc>
        <w:tc>
          <w:tcPr>
            <w:tcW w:w="151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2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85,419.92</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463,885.90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4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三、无形资产减值准备金额合计</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1,069,709,142.17</w:t>
            </w:r>
          </w:p>
        </w:tc>
        <w:tc>
          <w:tcPr>
            <w:tcW w:w="151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2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1,069,709,142.17</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4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其中：软件</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187,056.95</w:t>
            </w:r>
          </w:p>
        </w:tc>
        <w:tc>
          <w:tcPr>
            <w:tcW w:w="151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2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187,056.95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4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土地使用权</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36,792,538.16</w:t>
            </w:r>
          </w:p>
        </w:tc>
        <w:tc>
          <w:tcPr>
            <w:tcW w:w="151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2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36,792,538.16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4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专利权</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2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4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非专利技术</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2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4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商标权</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2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4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特许权</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2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4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采矿权</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995,357,575.87</w:t>
            </w:r>
          </w:p>
        </w:tc>
        <w:tc>
          <w:tcPr>
            <w:tcW w:w="151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2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995,357,575.87</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4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探矿权</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36,148,999.63</w:t>
            </w:r>
          </w:p>
        </w:tc>
        <w:tc>
          <w:tcPr>
            <w:tcW w:w="151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2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36,148,999.63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4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其他</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1,222,971.56</w:t>
            </w:r>
          </w:p>
        </w:tc>
        <w:tc>
          <w:tcPr>
            <w:tcW w:w="151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2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1,222,971.56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4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四、账面价值合计</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1,403,309,875.18</w:t>
            </w:r>
          </w:p>
        </w:tc>
        <w:tc>
          <w:tcPr>
            <w:tcW w:w="1519"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p>
        </w:tc>
        <w:tc>
          <w:tcPr>
            <w:tcW w:w="152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1,047,272,775.79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4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其中：软件</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46,681,094.10</w:t>
            </w:r>
          </w:p>
        </w:tc>
        <w:tc>
          <w:tcPr>
            <w:tcW w:w="1519"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p>
        </w:tc>
        <w:tc>
          <w:tcPr>
            <w:tcW w:w="152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53,857,743.94</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4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土地使用权</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552,549,560.19</w:t>
            </w:r>
          </w:p>
        </w:tc>
        <w:tc>
          <w:tcPr>
            <w:tcW w:w="1519"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p>
        </w:tc>
        <w:tc>
          <w:tcPr>
            <w:tcW w:w="152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547,547,091.01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4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专利权</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3,563,750.77</w:t>
            </w:r>
          </w:p>
        </w:tc>
        <w:tc>
          <w:tcPr>
            <w:tcW w:w="1519"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p>
        </w:tc>
        <w:tc>
          <w:tcPr>
            <w:tcW w:w="152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4,507,763.43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4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非专利技术</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25,360.88</w:t>
            </w:r>
          </w:p>
        </w:tc>
        <w:tc>
          <w:tcPr>
            <w:tcW w:w="1519"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p>
        </w:tc>
        <w:tc>
          <w:tcPr>
            <w:tcW w:w="152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4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商标权</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2,600.00</w:t>
            </w:r>
          </w:p>
        </w:tc>
        <w:tc>
          <w:tcPr>
            <w:tcW w:w="1519"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p>
        </w:tc>
        <w:tc>
          <w:tcPr>
            <w:tcW w:w="152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4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著作权</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9"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p>
        </w:tc>
        <w:tc>
          <w:tcPr>
            <w:tcW w:w="152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4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特许权</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407,588,180.64</w:t>
            </w:r>
          </w:p>
        </w:tc>
        <w:tc>
          <w:tcPr>
            <w:tcW w:w="1519"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p>
        </w:tc>
        <w:tc>
          <w:tcPr>
            <w:tcW w:w="152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377,278,623.19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4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采矿权</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374,217,208.08</w:t>
            </w:r>
          </w:p>
        </w:tc>
        <w:tc>
          <w:tcPr>
            <w:tcW w:w="1519"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p>
        </w:tc>
        <w:tc>
          <w:tcPr>
            <w:tcW w:w="152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58,992,812.53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4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探矿权</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12,007,540.44</w:t>
            </w:r>
          </w:p>
        </w:tc>
        <w:tc>
          <w:tcPr>
            <w:tcW w:w="1519"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p>
        </w:tc>
        <w:tc>
          <w:tcPr>
            <w:tcW w:w="152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4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其他</w:t>
            </w: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6,674,580.08</w:t>
            </w:r>
          </w:p>
        </w:tc>
        <w:tc>
          <w:tcPr>
            <w:tcW w:w="1519"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p>
        </w:tc>
        <w:tc>
          <w:tcPr>
            <w:tcW w:w="152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p>
        </w:tc>
        <w:tc>
          <w:tcPr>
            <w:tcW w:w="159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5,088,741.69</w:t>
            </w:r>
          </w:p>
        </w:tc>
      </w:tr>
    </w:tbl>
    <w:p>
      <w:pPr>
        <w:pStyle w:val="35"/>
        <w:rPr>
          <w:rFonts w:hint="eastAsia" w:eastAsiaTheme="minorEastAsia"/>
          <w:color w:val="auto"/>
          <w:highlight w:val="none"/>
        </w:rPr>
      </w:pPr>
      <w:r>
        <w:rPr>
          <w:rFonts w:eastAsiaTheme="minorEastAsia"/>
          <w:color w:val="auto"/>
          <w:highlight w:val="none"/>
        </w:rPr>
        <w:fldChar w:fldCharType="end"/>
      </w:r>
    </w:p>
    <w:p>
      <w:pPr>
        <w:pStyle w:val="35"/>
        <w:rPr>
          <w:rFonts w:eastAsiaTheme="minorEastAsia"/>
          <w:color w:val="auto"/>
          <w:highlight w:val="none"/>
        </w:rPr>
      </w:pPr>
    </w:p>
    <w:p>
      <w:pPr>
        <w:pStyle w:val="44"/>
        <w:rPr>
          <w:rFonts w:eastAsiaTheme="minorEastAsia"/>
          <w:color w:val="auto"/>
          <w:highlight w:val="none"/>
        </w:rPr>
      </w:pPr>
      <w:r>
        <w:rPr>
          <w:rFonts w:eastAsiaTheme="minorEastAsia"/>
          <w:color w:val="auto"/>
          <w:highlight w:val="none"/>
        </w:rPr>
        <w:t>未办妥产权证书的土地使用权情况</w:t>
      </w:r>
    </w:p>
    <w:p>
      <w:pPr>
        <w:pStyle w:val="35"/>
        <w:rPr>
          <w:rFonts w:eastAsiaTheme="minorEastAsia"/>
          <w:color w:val="auto"/>
          <w:szCs w:val="22"/>
          <w:highlight w:val="none"/>
        </w:rPr>
      </w:pPr>
      <w:r>
        <w:rPr>
          <w:rFonts w:eastAsiaTheme="minorEastAsia"/>
          <w:b/>
          <w:bCs/>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!无形资产1 \f 4 \h \* MERGEFORMAT </w:instrText>
      </w:r>
      <w:r>
        <w:rPr>
          <w:rFonts w:eastAsiaTheme="minorEastAsia"/>
          <w:b/>
          <w:bCs/>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3245"/>
        <w:gridCol w:w="2695"/>
        <w:gridCol w:w="2248"/>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PrEx>
        <w:trPr>
          <w:trHeight w:val="283" w:hRule="atLeast"/>
          <w:tblHeader/>
        </w:trPr>
        <w:tc>
          <w:tcPr>
            <w:tcW w:w="324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269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账面价值</w:t>
            </w:r>
          </w:p>
        </w:tc>
        <w:tc>
          <w:tcPr>
            <w:tcW w:w="224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未办妥产权证书的原因</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24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风电、光伏等项目的土地使用权</w:t>
            </w:r>
          </w:p>
        </w:tc>
        <w:tc>
          <w:tcPr>
            <w:tcW w:w="269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3,469,296.54</w:t>
            </w:r>
          </w:p>
        </w:tc>
        <w:tc>
          <w:tcPr>
            <w:tcW w:w="2248"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正在办理中</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24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269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3,469,296.54</w:t>
            </w:r>
          </w:p>
        </w:tc>
        <w:tc>
          <w:tcPr>
            <w:tcW w:w="2248"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p>
        </w:tc>
      </w:tr>
    </w:tbl>
    <w:p>
      <w:pPr>
        <w:pStyle w:val="35"/>
        <w:rPr>
          <w:rFonts w:eastAsiaTheme="minorEastAsia"/>
          <w:color w:val="auto"/>
          <w:highlight w:val="none"/>
        </w:rPr>
      </w:pPr>
      <w:r>
        <w:rPr>
          <w:rFonts w:eastAsiaTheme="minorEastAsia"/>
          <w:color w:val="auto"/>
          <w:highlight w:val="none"/>
        </w:rPr>
        <w:fldChar w:fldCharType="end"/>
      </w:r>
    </w:p>
    <w:p>
      <w:pPr>
        <w:pStyle w:val="38"/>
        <w:rPr>
          <w:rFonts w:eastAsiaTheme="minorEastAsia"/>
          <w:color w:val="auto"/>
          <w:highlight w:val="none"/>
        </w:rPr>
        <w:sectPr>
          <w:pgSz w:w="11907" w:h="16839"/>
          <w:pgMar w:top="1440" w:right="1797" w:bottom="1440" w:left="1797" w:header="680" w:footer="992" w:gutter="0"/>
          <w:cols w:space="425" w:num="1"/>
          <w:docGrid w:linePitch="312" w:charSpace="0"/>
        </w:sectPr>
      </w:pPr>
    </w:p>
    <w:p>
      <w:pPr>
        <w:pStyle w:val="37"/>
        <w:rPr>
          <w:rFonts w:eastAsiaTheme="minorEastAsia"/>
          <w:color w:val="auto"/>
          <w:highlight w:val="none"/>
        </w:rPr>
      </w:pPr>
      <w:r>
        <w:rPr>
          <w:rFonts w:eastAsiaTheme="minorEastAsia"/>
          <w:color w:val="auto"/>
          <w:highlight w:val="none"/>
        </w:rPr>
        <w:t>开发支出</w:t>
      </w:r>
    </w:p>
    <w:p>
      <w:pPr>
        <w:pStyle w:val="38"/>
        <w:rPr>
          <w:rFonts w:eastAsiaTheme="minorEastAsia"/>
          <w:color w:val="auto"/>
          <w:highlight w:val="none"/>
        </w:rPr>
      </w:pPr>
      <w:r>
        <w:rPr>
          <w:rFonts w:eastAsiaTheme="minorEastAsia"/>
          <w:b/>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!开发支出 \f 4 \h \* MERGEFORMAT </w:instrText>
      </w:r>
      <w:r>
        <w:rPr>
          <w:rFonts w:eastAsiaTheme="minorEastAsia"/>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4852"/>
        <w:gridCol w:w="1167"/>
        <w:gridCol w:w="1287"/>
        <w:gridCol w:w="1167"/>
        <w:gridCol w:w="1430"/>
        <w:gridCol w:w="1308"/>
        <w:gridCol w:w="1163"/>
        <w:gridCol w:w="1234"/>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PrEx>
        <w:trPr>
          <w:trHeight w:val="283" w:hRule="atLeast"/>
          <w:tblHeader/>
        </w:trPr>
        <w:tc>
          <w:tcPr>
            <w:tcW w:w="4852"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项目</w:t>
            </w:r>
          </w:p>
        </w:tc>
        <w:tc>
          <w:tcPr>
            <w:tcW w:w="1167"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期初余额</w:t>
            </w:r>
          </w:p>
        </w:tc>
        <w:tc>
          <w:tcPr>
            <w:tcW w:w="2454"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本期增加金额</w:t>
            </w:r>
          </w:p>
        </w:tc>
        <w:tc>
          <w:tcPr>
            <w:tcW w:w="3901" w:type="dxa"/>
            <w:gridSpan w:val="3"/>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本期减少金额</w:t>
            </w:r>
          </w:p>
        </w:tc>
        <w:tc>
          <w:tcPr>
            <w:tcW w:w="1234"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期末余额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4852"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167"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287"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内部开发支出</w:t>
            </w:r>
          </w:p>
        </w:tc>
        <w:tc>
          <w:tcPr>
            <w:tcW w:w="1167"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其他</w:t>
            </w:r>
          </w:p>
        </w:tc>
        <w:tc>
          <w:tcPr>
            <w:tcW w:w="143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确认为无形资产</w:t>
            </w:r>
          </w:p>
        </w:tc>
        <w:tc>
          <w:tcPr>
            <w:tcW w:w="1308"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转入当期损益</w:t>
            </w:r>
          </w:p>
        </w:tc>
        <w:tc>
          <w:tcPr>
            <w:tcW w:w="1163"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其他</w:t>
            </w:r>
          </w:p>
        </w:tc>
        <w:tc>
          <w:tcPr>
            <w:tcW w:w="1234"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85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水电工业大数据平台功能深化研究</w:t>
            </w:r>
          </w:p>
        </w:tc>
        <w:tc>
          <w:tcPr>
            <w:tcW w:w="116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7,746,733.85</w:t>
            </w:r>
          </w:p>
        </w:tc>
        <w:tc>
          <w:tcPr>
            <w:tcW w:w="128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16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43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3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16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23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7,746,733.85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85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中小水电远程集控运行方式下管理提升技术研究</w:t>
            </w:r>
          </w:p>
        </w:tc>
        <w:tc>
          <w:tcPr>
            <w:tcW w:w="116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3,939,784.80</w:t>
            </w:r>
          </w:p>
        </w:tc>
        <w:tc>
          <w:tcPr>
            <w:tcW w:w="128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16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43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3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16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23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3,939,784.80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85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基于可调谐半导体吸收光谱法的变压器油中溶解气体诊断关键技术研究与示范应用</w:t>
            </w:r>
          </w:p>
        </w:tc>
        <w:tc>
          <w:tcPr>
            <w:tcW w:w="116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3,396,226.43</w:t>
            </w:r>
          </w:p>
        </w:tc>
        <w:tc>
          <w:tcPr>
            <w:tcW w:w="128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16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43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3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16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23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3,396,226.43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85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中小型水电站溢流面修复技术研究与应用</w:t>
            </w:r>
          </w:p>
        </w:tc>
        <w:tc>
          <w:tcPr>
            <w:tcW w:w="116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2,698,816.33</w:t>
            </w:r>
          </w:p>
        </w:tc>
        <w:tc>
          <w:tcPr>
            <w:tcW w:w="128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16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638,476.73</w:t>
            </w:r>
          </w:p>
        </w:tc>
        <w:tc>
          <w:tcPr>
            <w:tcW w:w="143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3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16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23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3,337,293.06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85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智慧燃料一体化管控系统研究与开发</w:t>
            </w:r>
          </w:p>
        </w:tc>
        <w:tc>
          <w:tcPr>
            <w:tcW w:w="116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28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16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2,654,867.26</w:t>
            </w:r>
          </w:p>
        </w:tc>
        <w:tc>
          <w:tcPr>
            <w:tcW w:w="143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3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16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23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2,654,867.26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85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智能水电站下水轮机发电机组智能化研究</w:t>
            </w:r>
          </w:p>
        </w:tc>
        <w:tc>
          <w:tcPr>
            <w:tcW w:w="116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28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16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2,490,480.00</w:t>
            </w:r>
          </w:p>
        </w:tc>
        <w:tc>
          <w:tcPr>
            <w:tcW w:w="143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3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16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23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2,490,480.00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85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基于可调谐半导体吸收光谱法的变压器油中溶解气体诊断关键技术研究与示范应用</w:t>
            </w:r>
          </w:p>
        </w:tc>
        <w:tc>
          <w:tcPr>
            <w:tcW w:w="116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28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16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1,816,663.88</w:t>
            </w:r>
          </w:p>
        </w:tc>
        <w:tc>
          <w:tcPr>
            <w:tcW w:w="143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3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16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23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1,816,663.88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85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智能水电站下辅助系统智能化研究</w:t>
            </w:r>
          </w:p>
        </w:tc>
        <w:tc>
          <w:tcPr>
            <w:tcW w:w="116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28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16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1,910,348.42</w:t>
            </w:r>
          </w:p>
        </w:tc>
        <w:tc>
          <w:tcPr>
            <w:tcW w:w="143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3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16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23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1,910,348.42</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85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防止东锅660MW锅炉燃尽风区域缺氧燃烧的技术研究</w:t>
            </w:r>
          </w:p>
        </w:tc>
        <w:tc>
          <w:tcPr>
            <w:tcW w:w="116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28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16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1,294,973.45</w:t>
            </w:r>
          </w:p>
        </w:tc>
        <w:tc>
          <w:tcPr>
            <w:tcW w:w="143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3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16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23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1,294,973.45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85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小型水电站智慧化发展研究与实施</w:t>
            </w:r>
          </w:p>
        </w:tc>
        <w:tc>
          <w:tcPr>
            <w:tcW w:w="116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28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16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1,294,111.50</w:t>
            </w:r>
          </w:p>
        </w:tc>
        <w:tc>
          <w:tcPr>
            <w:tcW w:w="143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3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16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23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1,294,111.50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85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其他小额汇总</w:t>
            </w:r>
          </w:p>
        </w:tc>
        <w:tc>
          <w:tcPr>
            <w:tcW w:w="116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38,715,432.20</w:t>
            </w:r>
          </w:p>
        </w:tc>
        <w:tc>
          <w:tcPr>
            <w:tcW w:w="128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16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1,100,379.40</w:t>
            </w:r>
          </w:p>
        </w:tc>
        <w:tc>
          <w:tcPr>
            <w:tcW w:w="143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3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37,697,111.92</w:t>
            </w:r>
          </w:p>
        </w:tc>
        <w:tc>
          <w:tcPr>
            <w:tcW w:w="116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1,510,868.06</w:t>
            </w:r>
          </w:p>
        </w:tc>
        <w:tc>
          <w:tcPr>
            <w:tcW w:w="123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607,831.62</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85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合计</w:t>
            </w:r>
          </w:p>
        </w:tc>
        <w:tc>
          <w:tcPr>
            <w:tcW w:w="116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56,496,993.61</w:t>
            </w:r>
          </w:p>
        </w:tc>
        <w:tc>
          <w:tcPr>
            <w:tcW w:w="128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16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13,200,300.64</w:t>
            </w:r>
          </w:p>
        </w:tc>
        <w:tc>
          <w:tcPr>
            <w:tcW w:w="143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3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37,697,111.92</w:t>
            </w:r>
          </w:p>
        </w:tc>
        <w:tc>
          <w:tcPr>
            <w:tcW w:w="116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1,510,868.06</w:t>
            </w:r>
          </w:p>
        </w:tc>
        <w:tc>
          <w:tcPr>
            <w:tcW w:w="123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30,489,314.27</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85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其中：数据资源</w:t>
            </w:r>
          </w:p>
        </w:tc>
        <w:tc>
          <w:tcPr>
            <w:tcW w:w="116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28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16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43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3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16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23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bl>
    <w:p>
      <w:pPr>
        <w:pStyle w:val="38"/>
        <w:rPr>
          <w:rFonts w:eastAsiaTheme="minorEastAsia"/>
          <w:color w:val="auto"/>
          <w:highlight w:val="none"/>
        </w:rPr>
      </w:pPr>
      <w:r>
        <w:rPr>
          <w:rFonts w:eastAsiaTheme="minorEastAsia"/>
          <w:color w:val="auto"/>
          <w:highlight w:val="none"/>
        </w:rPr>
        <w:fldChar w:fldCharType="end"/>
      </w:r>
    </w:p>
    <w:p>
      <w:pPr>
        <w:rPr>
          <w:rFonts w:ascii="Times New Roman" w:hAnsi="Times New Roman" w:cs="Times New Roman"/>
          <w:color w:val="auto"/>
          <w:highlight w:val="none"/>
        </w:rPr>
      </w:pPr>
      <w:r>
        <w:rPr>
          <w:color w:val="auto"/>
          <w:highlight w:val="none"/>
        </w:rPr>
        <w:br w:type="page"/>
      </w:r>
    </w:p>
    <w:p>
      <w:pPr>
        <w:pStyle w:val="37"/>
        <w:rPr>
          <w:color w:val="auto"/>
          <w:highlight w:val="none"/>
        </w:rPr>
      </w:pPr>
      <w:r>
        <w:rPr>
          <w:color w:val="auto"/>
          <w:highlight w:val="none"/>
        </w:rPr>
        <w:t>商誉</w:t>
      </w:r>
    </w:p>
    <w:p>
      <w:pPr>
        <w:pStyle w:val="35"/>
        <w:rPr>
          <w:rFonts w:asciiTheme="minorHAnsi" w:hAnsiTheme="minorHAnsi" w:eastAsiaTheme="minorEastAsia" w:cstheme="minorBidi"/>
          <w:color w:val="auto"/>
          <w:highlight w:val="none"/>
        </w:rPr>
      </w:pPr>
      <w:r>
        <w:rPr>
          <w:rFonts w:eastAsiaTheme="minorEastAsia"/>
          <w:color w:val="auto"/>
          <w:highlight w:val="none"/>
        </w:rPr>
        <w:fldChar w:fldCharType="begin"/>
      </w:r>
      <w:r>
        <w:rPr>
          <w:rFonts w:eastAsiaTheme="minorEastAsia"/>
          <w:color w:val="auto"/>
          <w:highlight w:val="none"/>
        </w:rPr>
        <w:instrText xml:space="preserve"> LINK Excel.Sheet.12 "D:\\vsWorkspace\\branches\\20190430\\StandardTemplateTool\\template\\SASAC\\Frame\\202212\\SASACFinancialReports.xlsx" "商誉!商誉1" \f 4 \h \* MERGEFORMAT </w:instrText>
      </w:r>
      <w:r>
        <w:rPr>
          <w:rFonts w:eastAsiaTheme="minorEastAsia"/>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2541"/>
        <w:gridCol w:w="1517"/>
        <w:gridCol w:w="1293"/>
        <w:gridCol w:w="1293"/>
        <w:gridCol w:w="1516"/>
        <w:gridCol w:w="1516"/>
        <w:gridCol w:w="1208"/>
        <w:gridCol w:w="1208"/>
        <w:gridCol w:w="1516"/>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2541"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被投资单位名称或形成商誉的事项</w:t>
            </w:r>
          </w:p>
        </w:tc>
        <w:tc>
          <w:tcPr>
            <w:tcW w:w="5619" w:type="dxa"/>
            <w:gridSpan w:val="4"/>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商誉账面原值</w:t>
            </w:r>
          </w:p>
        </w:tc>
        <w:tc>
          <w:tcPr>
            <w:tcW w:w="5448" w:type="dxa"/>
            <w:gridSpan w:val="4"/>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商誉减值准备</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2541"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51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w:t>
            </w:r>
          </w:p>
        </w:tc>
        <w:tc>
          <w:tcPr>
            <w:tcW w:w="1293"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本期增加</w:t>
            </w:r>
          </w:p>
        </w:tc>
        <w:tc>
          <w:tcPr>
            <w:tcW w:w="1293"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本期减少</w:t>
            </w:r>
          </w:p>
        </w:tc>
        <w:tc>
          <w:tcPr>
            <w:tcW w:w="1516"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c>
          <w:tcPr>
            <w:tcW w:w="1516"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w:t>
            </w:r>
          </w:p>
        </w:tc>
        <w:tc>
          <w:tcPr>
            <w:tcW w:w="120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本期增加</w:t>
            </w:r>
          </w:p>
        </w:tc>
        <w:tc>
          <w:tcPr>
            <w:tcW w:w="120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本期减少</w:t>
            </w:r>
          </w:p>
        </w:tc>
        <w:tc>
          <w:tcPr>
            <w:tcW w:w="1516"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541"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国家电投集团贵州金元绥阳产业有限公司</w:t>
            </w:r>
          </w:p>
        </w:tc>
        <w:tc>
          <w:tcPr>
            <w:tcW w:w="151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3,501,241,469.15</w:t>
            </w:r>
          </w:p>
        </w:tc>
        <w:tc>
          <w:tcPr>
            <w:tcW w:w="129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29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3,501,241,469.15</w:t>
            </w: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3,501,241,469.15</w:t>
            </w:r>
          </w:p>
        </w:tc>
        <w:tc>
          <w:tcPr>
            <w:tcW w:w="120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20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3,501,241,469.15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54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151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3,501,241,469.15</w:t>
            </w:r>
          </w:p>
        </w:tc>
        <w:tc>
          <w:tcPr>
            <w:tcW w:w="129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29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3,501,241,469.15</w:t>
            </w: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3,501,241,469.15</w:t>
            </w:r>
          </w:p>
        </w:tc>
        <w:tc>
          <w:tcPr>
            <w:tcW w:w="120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20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3,501,241,469.15</w:t>
            </w:r>
          </w:p>
        </w:tc>
      </w:tr>
    </w:tbl>
    <w:p>
      <w:pPr>
        <w:pStyle w:val="35"/>
        <w:rPr>
          <w:color w:val="auto"/>
          <w:highlight w:val="none"/>
        </w:rPr>
        <w:sectPr>
          <w:pgSz w:w="16839" w:h="11907" w:orient="landscape"/>
          <w:pgMar w:top="1797" w:right="1440" w:bottom="1797" w:left="1440" w:header="680" w:footer="992" w:gutter="0"/>
          <w:cols w:space="425" w:num="1"/>
          <w:docGrid w:linePitch="312" w:charSpace="0"/>
        </w:sectPr>
      </w:pPr>
      <w:r>
        <w:rPr>
          <w:rFonts w:eastAsiaTheme="minorEastAsia"/>
          <w:color w:val="auto"/>
          <w:highlight w:val="none"/>
        </w:rPr>
        <w:fldChar w:fldCharType="end"/>
      </w:r>
    </w:p>
    <w:p>
      <w:pPr>
        <w:pStyle w:val="37"/>
        <w:rPr>
          <w:rFonts w:eastAsiaTheme="minorEastAsia"/>
          <w:color w:val="auto"/>
          <w:highlight w:val="none"/>
        </w:rPr>
      </w:pPr>
      <w:r>
        <w:rPr>
          <w:rFonts w:eastAsiaTheme="minorEastAsia"/>
          <w:color w:val="auto"/>
          <w:highlight w:val="none"/>
        </w:rPr>
        <w:t>长期待摊费用</w:t>
      </w:r>
    </w:p>
    <w:p>
      <w:pPr>
        <w:pStyle w:val="38"/>
        <w:rPr>
          <w:rFonts w:eastAsiaTheme="minorEastAsia"/>
          <w:color w:val="auto"/>
          <w:szCs w:val="22"/>
          <w:highlight w:val="none"/>
        </w:rPr>
      </w:pPr>
      <w:r>
        <w:rPr>
          <w:rFonts w:eastAsiaTheme="minorEastAsia"/>
          <w:b/>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!长期待摊费用 \f 4 \h \* MERGEFORMAT </w:instrText>
      </w:r>
      <w:r>
        <w:rPr>
          <w:rFonts w:eastAsiaTheme="minorEastAsia"/>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4068"/>
        <w:gridCol w:w="2714"/>
        <w:gridCol w:w="1209"/>
        <w:gridCol w:w="1439"/>
        <w:gridCol w:w="1294"/>
        <w:gridCol w:w="1356"/>
        <w:gridCol w:w="1528"/>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4068"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项目</w:t>
            </w:r>
          </w:p>
        </w:tc>
        <w:tc>
          <w:tcPr>
            <w:tcW w:w="2714"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期初余额</w:t>
            </w:r>
          </w:p>
        </w:tc>
        <w:tc>
          <w:tcPr>
            <w:tcW w:w="1209"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本期增加额</w:t>
            </w:r>
          </w:p>
        </w:tc>
        <w:tc>
          <w:tcPr>
            <w:tcW w:w="1439"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本期摊销额</w:t>
            </w:r>
          </w:p>
        </w:tc>
        <w:tc>
          <w:tcPr>
            <w:tcW w:w="1294"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其他减少额</w:t>
            </w:r>
          </w:p>
        </w:tc>
        <w:tc>
          <w:tcPr>
            <w:tcW w:w="1356"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期末余额</w:t>
            </w:r>
          </w:p>
        </w:tc>
        <w:tc>
          <w:tcPr>
            <w:tcW w:w="1528"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其他减少的原因</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06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遵义水电站耕地占用税摊销</w:t>
            </w:r>
          </w:p>
        </w:tc>
        <w:tc>
          <w:tcPr>
            <w:tcW w:w="271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41,084,777.71</w:t>
            </w:r>
          </w:p>
        </w:tc>
        <w:tc>
          <w:tcPr>
            <w:tcW w:w="120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43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1,467,313.44</w:t>
            </w:r>
          </w:p>
        </w:tc>
        <w:tc>
          <w:tcPr>
            <w:tcW w:w="129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3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39,617,464.27</w:t>
            </w:r>
          </w:p>
        </w:tc>
        <w:tc>
          <w:tcPr>
            <w:tcW w:w="152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06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高生耕地指标开垦费</w:t>
            </w:r>
          </w:p>
        </w:tc>
        <w:tc>
          <w:tcPr>
            <w:tcW w:w="271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20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11,602,394.00</w:t>
            </w:r>
          </w:p>
        </w:tc>
        <w:tc>
          <w:tcPr>
            <w:tcW w:w="143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193,373.18</w:t>
            </w:r>
          </w:p>
        </w:tc>
        <w:tc>
          <w:tcPr>
            <w:tcW w:w="129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3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11,409,020.82</w:t>
            </w:r>
          </w:p>
        </w:tc>
        <w:tc>
          <w:tcPr>
            <w:tcW w:w="152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06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石垭子水电站耕地占用税摊销</w:t>
            </w:r>
          </w:p>
        </w:tc>
        <w:tc>
          <w:tcPr>
            <w:tcW w:w="271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9,218,888.32</w:t>
            </w:r>
          </w:p>
        </w:tc>
        <w:tc>
          <w:tcPr>
            <w:tcW w:w="120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43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288,090.24</w:t>
            </w:r>
          </w:p>
        </w:tc>
        <w:tc>
          <w:tcPr>
            <w:tcW w:w="129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3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8,930,798.08</w:t>
            </w:r>
          </w:p>
        </w:tc>
        <w:tc>
          <w:tcPr>
            <w:tcW w:w="152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06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黔西中水甘棠-中坪公路摊销</w:t>
            </w:r>
          </w:p>
        </w:tc>
        <w:tc>
          <w:tcPr>
            <w:tcW w:w="271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7,016,666.11</w:t>
            </w:r>
          </w:p>
        </w:tc>
        <w:tc>
          <w:tcPr>
            <w:tcW w:w="120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43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200,000.04</w:t>
            </w:r>
          </w:p>
        </w:tc>
        <w:tc>
          <w:tcPr>
            <w:tcW w:w="129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3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6,816,666.07</w:t>
            </w:r>
          </w:p>
        </w:tc>
        <w:tc>
          <w:tcPr>
            <w:tcW w:w="152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06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高生电站马颈河保护区生态补偿金</w:t>
            </w:r>
          </w:p>
        </w:tc>
        <w:tc>
          <w:tcPr>
            <w:tcW w:w="271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3,373,592.39</w:t>
            </w:r>
          </w:p>
        </w:tc>
        <w:tc>
          <w:tcPr>
            <w:tcW w:w="120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43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66,803.76</w:t>
            </w:r>
          </w:p>
        </w:tc>
        <w:tc>
          <w:tcPr>
            <w:tcW w:w="129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3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3,306,788.63</w:t>
            </w:r>
          </w:p>
        </w:tc>
        <w:tc>
          <w:tcPr>
            <w:tcW w:w="152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06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能源供应合作开发项目</w:t>
            </w:r>
          </w:p>
        </w:tc>
        <w:tc>
          <w:tcPr>
            <w:tcW w:w="271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3,328,920.83</w:t>
            </w:r>
          </w:p>
        </w:tc>
        <w:tc>
          <w:tcPr>
            <w:tcW w:w="120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43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167,142.48</w:t>
            </w:r>
          </w:p>
        </w:tc>
        <w:tc>
          <w:tcPr>
            <w:tcW w:w="129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3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3,161,778.35</w:t>
            </w:r>
          </w:p>
        </w:tc>
        <w:tc>
          <w:tcPr>
            <w:tcW w:w="152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06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金元国际新城道路及景观改造项目</w:t>
            </w:r>
          </w:p>
        </w:tc>
        <w:tc>
          <w:tcPr>
            <w:tcW w:w="271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2,538,531.50</w:t>
            </w:r>
          </w:p>
        </w:tc>
        <w:tc>
          <w:tcPr>
            <w:tcW w:w="120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43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144,371.46</w:t>
            </w:r>
          </w:p>
        </w:tc>
        <w:tc>
          <w:tcPr>
            <w:tcW w:w="129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3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2,394,160.04</w:t>
            </w:r>
          </w:p>
        </w:tc>
        <w:tc>
          <w:tcPr>
            <w:tcW w:w="152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06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3-8楼翻新改造</w:t>
            </w:r>
          </w:p>
        </w:tc>
        <w:tc>
          <w:tcPr>
            <w:tcW w:w="271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1,963,769.79</w:t>
            </w:r>
          </w:p>
        </w:tc>
        <w:tc>
          <w:tcPr>
            <w:tcW w:w="120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43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306,042.02</w:t>
            </w:r>
          </w:p>
        </w:tc>
        <w:tc>
          <w:tcPr>
            <w:tcW w:w="129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3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1,657,727.77</w:t>
            </w:r>
          </w:p>
        </w:tc>
        <w:tc>
          <w:tcPr>
            <w:tcW w:w="152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06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二期土地征用及迁移补偿费</w:t>
            </w:r>
          </w:p>
        </w:tc>
        <w:tc>
          <w:tcPr>
            <w:tcW w:w="271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1,587,838.40</w:t>
            </w:r>
          </w:p>
        </w:tc>
        <w:tc>
          <w:tcPr>
            <w:tcW w:w="120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43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96,232.68</w:t>
            </w:r>
          </w:p>
        </w:tc>
        <w:tc>
          <w:tcPr>
            <w:tcW w:w="129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3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1,491,605.72</w:t>
            </w:r>
          </w:p>
        </w:tc>
        <w:tc>
          <w:tcPr>
            <w:tcW w:w="152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06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集中供热（冷）PPP项目</w:t>
            </w:r>
          </w:p>
        </w:tc>
        <w:tc>
          <w:tcPr>
            <w:tcW w:w="271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1,250,888.53</w:t>
            </w:r>
          </w:p>
        </w:tc>
        <w:tc>
          <w:tcPr>
            <w:tcW w:w="120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43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73,581.72</w:t>
            </w:r>
          </w:p>
        </w:tc>
        <w:tc>
          <w:tcPr>
            <w:tcW w:w="129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3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1,177,306.81</w:t>
            </w:r>
          </w:p>
        </w:tc>
        <w:tc>
          <w:tcPr>
            <w:tcW w:w="152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06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黔北电厂1号锅炉空预器及暖风器改造节能收益</w:t>
            </w:r>
          </w:p>
        </w:tc>
        <w:tc>
          <w:tcPr>
            <w:tcW w:w="271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12,851,930.69</w:t>
            </w:r>
          </w:p>
        </w:tc>
        <w:tc>
          <w:tcPr>
            <w:tcW w:w="120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43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12,851,930.69</w:t>
            </w:r>
          </w:p>
        </w:tc>
        <w:tc>
          <w:tcPr>
            <w:tcW w:w="129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3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2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06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林华煤矿开采面摊销</w:t>
            </w:r>
          </w:p>
        </w:tc>
        <w:tc>
          <w:tcPr>
            <w:tcW w:w="271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630,975,723.78</w:t>
            </w:r>
          </w:p>
        </w:tc>
        <w:tc>
          <w:tcPr>
            <w:tcW w:w="120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43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29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630,975,723.78</w:t>
            </w:r>
          </w:p>
        </w:tc>
        <w:tc>
          <w:tcPr>
            <w:tcW w:w="13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2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子公司出表转出</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06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金益煤矿开采面摊销</w:t>
            </w:r>
          </w:p>
        </w:tc>
        <w:tc>
          <w:tcPr>
            <w:tcW w:w="271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162,214,894.31</w:t>
            </w:r>
          </w:p>
        </w:tc>
        <w:tc>
          <w:tcPr>
            <w:tcW w:w="120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43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29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162,214,894.31</w:t>
            </w:r>
          </w:p>
        </w:tc>
        <w:tc>
          <w:tcPr>
            <w:tcW w:w="13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2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子公司出表转出</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06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地灾拆迁安置费</w:t>
            </w:r>
          </w:p>
        </w:tc>
        <w:tc>
          <w:tcPr>
            <w:tcW w:w="271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23,915,567.50</w:t>
            </w:r>
          </w:p>
        </w:tc>
        <w:tc>
          <w:tcPr>
            <w:tcW w:w="120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43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29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23,915,567.50</w:t>
            </w:r>
          </w:p>
        </w:tc>
        <w:tc>
          <w:tcPr>
            <w:tcW w:w="13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2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子公司出表转出</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06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其他小额汇总</w:t>
            </w:r>
          </w:p>
        </w:tc>
        <w:tc>
          <w:tcPr>
            <w:tcW w:w="271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16,914,220.73</w:t>
            </w:r>
          </w:p>
        </w:tc>
        <w:tc>
          <w:tcPr>
            <w:tcW w:w="120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968,081.72</w:t>
            </w:r>
          </w:p>
        </w:tc>
        <w:tc>
          <w:tcPr>
            <w:tcW w:w="143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2,351,024.27</w:t>
            </w:r>
          </w:p>
        </w:tc>
        <w:tc>
          <w:tcPr>
            <w:tcW w:w="129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10,819,736.25</w:t>
            </w:r>
          </w:p>
        </w:tc>
        <w:tc>
          <w:tcPr>
            <w:tcW w:w="13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4,711,541.93</w:t>
            </w:r>
          </w:p>
        </w:tc>
        <w:tc>
          <w:tcPr>
            <w:tcW w:w="152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子公司出表转出</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068"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合计</w:t>
            </w:r>
          </w:p>
        </w:tc>
        <w:tc>
          <w:tcPr>
            <w:tcW w:w="271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918,236,210.59</w:t>
            </w:r>
          </w:p>
        </w:tc>
        <w:tc>
          <w:tcPr>
            <w:tcW w:w="120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12,570,475.72</w:t>
            </w:r>
          </w:p>
        </w:tc>
        <w:tc>
          <w:tcPr>
            <w:tcW w:w="143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18,205,905.98</w:t>
            </w:r>
          </w:p>
        </w:tc>
        <w:tc>
          <w:tcPr>
            <w:tcW w:w="129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827,925,921.84</w:t>
            </w:r>
          </w:p>
        </w:tc>
        <w:tc>
          <w:tcPr>
            <w:tcW w:w="13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84,674,858.49</w:t>
            </w:r>
          </w:p>
        </w:tc>
        <w:tc>
          <w:tcPr>
            <w:tcW w:w="152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r>
    </w:tbl>
    <w:p>
      <w:pPr>
        <w:pStyle w:val="38"/>
        <w:rPr>
          <w:rFonts w:eastAsiaTheme="minorEastAsia"/>
          <w:color w:val="auto"/>
          <w:highlight w:val="none"/>
        </w:rPr>
        <w:sectPr>
          <w:pgSz w:w="16839" w:h="11907" w:orient="landscape"/>
          <w:pgMar w:top="1797" w:right="1440" w:bottom="1797" w:left="1440" w:header="680" w:footer="992" w:gutter="0"/>
          <w:cols w:space="425" w:num="1"/>
          <w:docGrid w:linePitch="312" w:charSpace="0"/>
        </w:sectPr>
      </w:pPr>
      <w:r>
        <w:rPr>
          <w:rFonts w:eastAsiaTheme="minorEastAsia"/>
          <w:color w:val="auto"/>
          <w:highlight w:val="none"/>
        </w:rPr>
        <w:fldChar w:fldCharType="end"/>
      </w:r>
    </w:p>
    <w:p>
      <w:pPr>
        <w:pStyle w:val="37"/>
        <w:rPr>
          <w:rFonts w:eastAsiaTheme="minorEastAsia"/>
          <w:color w:val="auto"/>
          <w:highlight w:val="none"/>
        </w:rPr>
      </w:pPr>
      <w:r>
        <w:rPr>
          <w:rFonts w:eastAsiaTheme="minorEastAsia"/>
          <w:color w:val="auto"/>
          <w:highlight w:val="none"/>
        </w:rPr>
        <w:t>递延所得税资产和递延所得税负债</w:t>
      </w:r>
    </w:p>
    <w:p>
      <w:pPr>
        <w:pStyle w:val="44"/>
        <w:rPr>
          <w:rFonts w:eastAsiaTheme="minorEastAsia"/>
          <w:color w:val="auto"/>
          <w:highlight w:val="none"/>
        </w:rPr>
      </w:pPr>
      <w:r>
        <w:rPr>
          <w:color w:val="auto"/>
          <w:kern w:val="0"/>
          <w:highlight w:val="none"/>
        </w:rPr>
        <w:t>未经抵销的递延所得税资产和递延所得税负债</w:t>
      </w:r>
    </w:p>
    <w:p>
      <w:pPr>
        <w:pStyle w:val="35"/>
        <w:rPr>
          <w:rFonts w:eastAsiaTheme="minorEastAsia"/>
          <w:bCs/>
          <w:color w:val="auto"/>
          <w:szCs w:val="22"/>
          <w:highlight w:val="none"/>
        </w:rPr>
      </w:pPr>
      <w:r>
        <w:rPr>
          <w:rFonts w:eastAsiaTheme="minorEastAsia"/>
          <w:b/>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!递延所得税资产和递延所得税负债 \f 4 \h \* MERGEFORMAT </w:instrText>
      </w:r>
      <w:r>
        <w:rPr>
          <w:rFonts w:eastAsiaTheme="minorEastAsia"/>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2041"/>
        <w:gridCol w:w="1611"/>
        <w:gridCol w:w="1464"/>
        <w:gridCol w:w="1609"/>
        <w:gridCol w:w="1463"/>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2041"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3075"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c>
          <w:tcPr>
            <w:tcW w:w="3072"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2041"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61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可抵扣/应纳税暂时性差异</w:t>
            </w:r>
          </w:p>
        </w:tc>
        <w:tc>
          <w:tcPr>
            <w:tcW w:w="1464"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递延所得税资产/负债</w:t>
            </w:r>
          </w:p>
        </w:tc>
        <w:tc>
          <w:tcPr>
            <w:tcW w:w="1609"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可抵扣/应纳税暂时性差异</w:t>
            </w:r>
          </w:p>
        </w:tc>
        <w:tc>
          <w:tcPr>
            <w:tcW w:w="1463"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递延所得税资产/负债</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41"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一、递延所得税资产</w:t>
            </w:r>
          </w:p>
        </w:tc>
        <w:tc>
          <w:tcPr>
            <w:tcW w:w="161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1,398,386,415.80</w:t>
            </w:r>
          </w:p>
        </w:tc>
        <w:tc>
          <w:tcPr>
            <w:tcW w:w="146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201,200,032.32</w:t>
            </w:r>
          </w:p>
        </w:tc>
        <w:tc>
          <w:tcPr>
            <w:tcW w:w="160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709,140,068.63</w:t>
            </w:r>
          </w:p>
        </w:tc>
        <w:tc>
          <w:tcPr>
            <w:tcW w:w="146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199,576,433.28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41"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资产减值准备</w:t>
            </w:r>
          </w:p>
        </w:tc>
        <w:tc>
          <w:tcPr>
            <w:tcW w:w="161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152,291,591.28</w:t>
            </w:r>
          </w:p>
        </w:tc>
        <w:tc>
          <w:tcPr>
            <w:tcW w:w="146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31,509,542.59</w:t>
            </w:r>
          </w:p>
        </w:tc>
        <w:tc>
          <w:tcPr>
            <w:tcW w:w="160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144,549,381.83</w:t>
            </w:r>
          </w:p>
        </w:tc>
        <w:tc>
          <w:tcPr>
            <w:tcW w:w="146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23,472,133.86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41"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按公允价值计量的投资性房地产</w:t>
            </w:r>
          </w:p>
        </w:tc>
        <w:tc>
          <w:tcPr>
            <w:tcW w:w="161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2,699,130.00</w:t>
            </w:r>
          </w:p>
        </w:tc>
        <w:tc>
          <w:tcPr>
            <w:tcW w:w="146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404,869.50</w:t>
            </w:r>
          </w:p>
        </w:tc>
        <w:tc>
          <w:tcPr>
            <w:tcW w:w="160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2,673,604.00</w:t>
            </w:r>
          </w:p>
        </w:tc>
        <w:tc>
          <w:tcPr>
            <w:tcW w:w="146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401,040.60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41"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非同一控制企业合并</w:t>
            </w:r>
          </w:p>
        </w:tc>
        <w:tc>
          <w:tcPr>
            <w:tcW w:w="161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69,314,582.80</w:t>
            </w:r>
          </w:p>
        </w:tc>
        <w:tc>
          <w:tcPr>
            <w:tcW w:w="146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17,328,645.70</w:t>
            </w:r>
          </w:p>
        </w:tc>
        <w:tc>
          <w:tcPr>
            <w:tcW w:w="160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84,859,792.93</w:t>
            </w:r>
          </w:p>
        </w:tc>
        <w:tc>
          <w:tcPr>
            <w:tcW w:w="146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8,248,378.96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41"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租赁负债</w:t>
            </w:r>
          </w:p>
        </w:tc>
        <w:tc>
          <w:tcPr>
            <w:tcW w:w="161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1,172,081,111.72</w:t>
            </w:r>
          </w:p>
        </w:tc>
        <w:tc>
          <w:tcPr>
            <w:tcW w:w="146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151,456,974.53</w:t>
            </w:r>
          </w:p>
        </w:tc>
        <w:tc>
          <w:tcPr>
            <w:tcW w:w="160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477,057,289.87</w:t>
            </w:r>
          </w:p>
        </w:tc>
        <w:tc>
          <w:tcPr>
            <w:tcW w:w="146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167,454,879.86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41"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递延收益</w:t>
            </w:r>
          </w:p>
        </w:tc>
        <w:tc>
          <w:tcPr>
            <w:tcW w:w="161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2,000,000.00</w:t>
            </w:r>
          </w:p>
        </w:tc>
        <w:tc>
          <w:tcPr>
            <w:tcW w:w="146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500,000.00</w:t>
            </w:r>
          </w:p>
        </w:tc>
        <w:tc>
          <w:tcPr>
            <w:tcW w:w="160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6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41"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二、递延所得税负债</w:t>
            </w:r>
          </w:p>
        </w:tc>
        <w:tc>
          <w:tcPr>
            <w:tcW w:w="161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1,511,205,149.56</w:t>
            </w:r>
          </w:p>
        </w:tc>
        <w:tc>
          <w:tcPr>
            <w:tcW w:w="146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223,420,147.46</w:t>
            </w:r>
          </w:p>
        </w:tc>
        <w:tc>
          <w:tcPr>
            <w:tcW w:w="160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646,668,400.02</w:t>
            </w:r>
          </w:p>
        </w:tc>
        <w:tc>
          <w:tcPr>
            <w:tcW w:w="146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180,570,685.14</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41"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按公允价值计量的投资性房地产</w:t>
            </w:r>
          </w:p>
        </w:tc>
        <w:tc>
          <w:tcPr>
            <w:tcW w:w="161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150,530,224.32</w:t>
            </w:r>
          </w:p>
        </w:tc>
        <w:tc>
          <w:tcPr>
            <w:tcW w:w="146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35,464,874.78</w:t>
            </w:r>
          </w:p>
        </w:tc>
        <w:tc>
          <w:tcPr>
            <w:tcW w:w="160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144,261,835.32</w:t>
            </w:r>
          </w:p>
        </w:tc>
        <w:tc>
          <w:tcPr>
            <w:tcW w:w="146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34,529,425.99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41"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非同一控制企业合并</w:t>
            </w:r>
          </w:p>
        </w:tc>
        <w:tc>
          <w:tcPr>
            <w:tcW w:w="161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52,726,251.12</w:t>
            </w:r>
          </w:p>
        </w:tc>
        <w:tc>
          <w:tcPr>
            <w:tcW w:w="146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13,181,562.78</w:t>
            </w:r>
          </w:p>
        </w:tc>
        <w:tc>
          <w:tcPr>
            <w:tcW w:w="160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97,832,091.54</w:t>
            </w:r>
          </w:p>
        </w:tc>
        <w:tc>
          <w:tcPr>
            <w:tcW w:w="146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9,766,212.09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41"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使用权资产</w:t>
            </w:r>
          </w:p>
        </w:tc>
        <w:tc>
          <w:tcPr>
            <w:tcW w:w="161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1,307,863,208.84</w:t>
            </w:r>
          </w:p>
        </w:tc>
        <w:tc>
          <w:tcPr>
            <w:tcW w:w="146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174,752,343.58</w:t>
            </w:r>
          </w:p>
        </w:tc>
        <w:tc>
          <w:tcPr>
            <w:tcW w:w="160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404,421,021.24</w:t>
            </w:r>
          </w:p>
        </w:tc>
        <w:tc>
          <w:tcPr>
            <w:tcW w:w="146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136,236,684.08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41"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其他</w:t>
            </w:r>
          </w:p>
        </w:tc>
        <w:tc>
          <w:tcPr>
            <w:tcW w:w="161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85,465.28</w:t>
            </w:r>
          </w:p>
        </w:tc>
        <w:tc>
          <w:tcPr>
            <w:tcW w:w="146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21,366.32</w:t>
            </w:r>
          </w:p>
        </w:tc>
        <w:tc>
          <w:tcPr>
            <w:tcW w:w="160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153,451.92</w:t>
            </w:r>
          </w:p>
        </w:tc>
        <w:tc>
          <w:tcPr>
            <w:tcW w:w="146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38,362.98</w:t>
            </w:r>
          </w:p>
        </w:tc>
      </w:tr>
    </w:tbl>
    <w:p>
      <w:pPr>
        <w:pStyle w:val="35"/>
        <w:rPr>
          <w:rFonts w:eastAsiaTheme="minorEastAsia"/>
          <w:color w:val="auto"/>
          <w:highlight w:val="none"/>
        </w:rPr>
      </w:pPr>
      <w:r>
        <w:rPr>
          <w:rFonts w:eastAsiaTheme="minorEastAsia"/>
          <w:color w:val="auto"/>
          <w:highlight w:val="none"/>
        </w:rPr>
        <w:fldChar w:fldCharType="end"/>
      </w:r>
    </w:p>
    <w:p>
      <w:pPr>
        <w:pStyle w:val="44"/>
        <w:rPr>
          <w:rFonts w:eastAsiaTheme="minorEastAsia"/>
          <w:color w:val="auto"/>
          <w:highlight w:val="none"/>
        </w:rPr>
      </w:pPr>
      <w:r>
        <w:rPr>
          <w:color w:val="auto"/>
          <w:kern w:val="0"/>
          <w:highlight w:val="none"/>
        </w:rPr>
        <w:t>以抵销后净额列示的递延所得税资产或负债</w:t>
      </w:r>
    </w:p>
    <w:p>
      <w:pPr>
        <w:pStyle w:val="35"/>
        <w:rPr>
          <w:rFonts w:asciiTheme="minorHAnsi" w:hAnsiTheme="minorHAnsi" w:eastAsiaTheme="minorEastAsia" w:cstheme="minorBidi"/>
          <w:color w:val="auto"/>
          <w:highlight w:val="none"/>
        </w:rPr>
      </w:pPr>
      <w:r>
        <w:rPr>
          <w:rFonts w:eastAsiaTheme="minorEastAsia"/>
          <w:color w:val="auto"/>
          <w:highlight w:val="none"/>
        </w:rPr>
        <w:fldChar w:fldCharType="begin"/>
      </w:r>
      <w:r>
        <w:rPr>
          <w:rFonts w:eastAsiaTheme="minorEastAsia"/>
          <w:color w:val="auto"/>
          <w:highlight w:val="none"/>
        </w:rPr>
        <w:instrText xml:space="preserve"> LINK Excel.Sheet.12 "D:\\work\\20190430\\StandardTemplateTool\\template\\SASAC\\Frame\\201912\\SASACFinancialReports.xlsx" "合并附注!递延所得税资产和递延所得税负债_国资" \f 4 \h \* MERGEFORMAT </w:instrText>
      </w:r>
      <w:r>
        <w:rPr>
          <w:rFonts w:eastAsiaTheme="minorEastAsia"/>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1975"/>
        <w:gridCol w:w="1553"/>
        <w:gridCol w:w="1553"/>
        <w:gridCol w:w="1553"/>
        <w:gridCol w:w="1554"/>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975"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3106"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w:t>
            </w:r>
          </w:p>
        </w:tc>
        <w:tc>
          <w:tcPr>
            <w:tcW w:w="3107"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975"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553"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递延所得税资产和负债互抵金额</w:t>
            </w:r>
          </w:p>
        </w:tc>
        <w:tc>
          <w:tcPr>
            <w:tcW w:w="1553"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抵销后递延所得税资产或负债余额</w:t>
            </w:r>
          </w:p>
        </w:tc>
        <w:tc>
          <w:tcPr>
            <w:tcW w:w="1553"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递延所得税资产和负债互抵金额</w:t>
            </w:r>
          </w:p>
        </w:tc>
        <w:tc>
          <w:tcPr>
            <w:tcW w:w="1554"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抵销后递延所得税资产或负债余额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7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一、递延所得税资产</w:t>
            </w:r>
          </w:p>
        </w:tc>
        <w:tc>
          <w:tcPr>
            <w:tcW w:w="155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192,073,521.77</w:t>
            </w:r>
          </w:p>
        </w:tc>
        <w:tc>
          <w:tcPr>
            <w:tcW w:w="155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9,126,510.55</w:t>
            </w:r>
          </w:p>
        </w:tc>
        <w:tc>
          <w:tcPr>
            <w:tcW w:w="155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151,669,225.20</w:t>
            </w:r>
          </w:p>
        </w:tc>
        <w:tc>
          <w:tcPr>
            <w:tcW w:w="155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47,907,208.08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7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二、递延所得税负债</w:t>
            </w:r>
          </w:p>
        </w:tc>
        <w:tc>
          <w:tcPr>
            <w:tcW w:w="155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192,073,521.77</w:t>
            </w:r>
          </w:p>
        </w:tc>
        <w:tc>
          <w:tcPr>
            <w:tcW w:w="155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31,346,625.69</w:t>
            </w:r>
          </w:p>
        </w:tc>
        <w:tc>
          <w:tcPr>
            <w:tcW w:w="155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151,669,225.20</w:t>
            </w:r>
          </w:p>
        </w:tc>
        <w:tc>
          <w:tcPr>
            <w:tcW w:w="155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28,901,459.94</w:t>
            </w:r>
          </w:p>
        </w:tc>
      </w:tr>
    </w:tbl>
    <w:p>
      <w:pPr>
        <w:pStyle w:val="35"/>
        <w:rPr>
          <w:color w:val="auto"/>
          <w:highlight w:val="none"/>
        </w:rPr>
      </w:pPr>
      <w:r>
        <w:rPr>
          <w:rFonts w:eastAsiaTheme="minorEastAsia"/>
          <w:color w:val="auto"/>
          <w:highlight w:val="none"/>
        </w:rPr>
        <w:fldChar w:fldCharType="end"/>
      </w:r>
    </w:p>
    <w:p>
      <w:pPr>
        <w:pStyle w:val="37"/>
        <w:rPr>
          <w:rFonts w:eastAsiaTheme="minorEastAsia"/>
          <w:color w:val="auto"/>
          <w:highlight w:val="none"/>
        </w:rPr>
      </w:pPr>
      <w:r>
        <w:rPr>
          <w:rFonts w:eastAsiaTheme="minorEastAsia"/>
          <w:color w:val="auto"/>
          <w:highlight w:val="none"/>
        </w:rPr>
        <w:t>其他非流动资产</w:t>
      </w:r>
    </w:p>
    <w:p>
      <w:pPr>
        <w:pStyle w:val="38"/>
        <w:rPr>
          <w:rFonts w:eastAsiaTheme="minorEastAsia"/>
          <w:color w:val="auto"/>
          <w:szCs w:val="22"/>
          <w:highlight w:val="none"/>
        </w:rPr>
      </w:pPr>
      <w:r>
        <w:rPr>
          <w:rFonts w:eastAsiaTheme="minorEastAsia"/>
          <w:b/>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!其他非流动资产 \f 4 \h \* MERGEFORMAT </w:instrText>
      </w:r>
      <w:r>
        <w:rPr>
          <w:rFonts w:eastAsiaTheme="minorEastAsia"/>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3669"/>
        <w:gridCol w:w="2230"/>
        <w:gridCol w:w="2289"/>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3669"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2230"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c>
          <w:tcPr>
            <w:tcW w:w="2289"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69"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预付长期资产购置款</w:t>
            </w:r>
          </w:p>
        </w:tc>
        <w:tc>
          <w:tcPr>
            <w:tcW w:w="22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530,714,762.62</w:t>
            </w:r>
          </w:p>
        </w:tc>
        <w:tc>
          <w:tcPr>
            <w:tcW w:w="228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956,732,919.96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69"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预付信用证融资利息</w:t>
            </w:r>
          </w:p>
        </w:tc>
        <w:tc>
          <w:tcPr>
            <w:tcW w:w="22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163,801,494.54</w:t>
            </w:r>
          </w:p>
        </w:tc>
        <w:tc>
          <w:tcPr>
            <w:tcW w:w="228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69"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待抵扣进项税</w:t>
            </w:r>
          </w:p>
        </w:tc>
        <w:tc>
          <w:tcPr>
            <w:tcW w:w="22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153,872,632.29</w:t>
            </w:r>
          </w:p>
        </w:tc>
        <w:tc>
          <w:tcPr>
            <w:tcW w:w="228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69"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22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848,388,889.45</w:t>
            </w:r>
          </w:p>
        </w:tc>
        <w:tc>
          <w:tcPr>
            <w:tcW w:w="228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956,732,919.96</w:t>
            </w:r>
          </w:p>
        </w:tc>
      </w:tr>
    </w:tbl>
    <w:p>
      <w:pPr>
        <w:pStyle w:val="38"/>
        <w:rPr>
          <w:rFonts w:eastAsiaTheme="minorEastAsia"/>
          <w:color w:val="auto"/>
          <w:highlight w:val="none"/>
        </w:rPr>
      </w:pPr>
      <w:r>
        <w:rPr>
          <w:rFonts w:eastAsiaTheme="minorEastAsia"/>
          <w:color w:val="auto"/>
          <w:highlight w:val="none"/>
        </w:rPr>
        <w:fldChar w:fldCharType="end"/>
      </w:r>
    </w:p>
    <w:p>
      <w:pPr>
        <w:rPr>
          <w:rFonts w:ascii="Times New Roman" w:hAnsi="Times New Roman" w:cs="Times New Roman"/>
          <w:color w:val="auto"/>
          <w:highlight w:val="none"/>
        </w:rPr>
      </w:pPr>
      <w:r>
        <w:rPr>
          <w:color w:val="auto"/>
          <w:highlight w:val="none"/>
        </w:rPr>
        <w:br w:type="page"/>
      </w:r>
    </w:p>
    <w:p>
      <w:pPr>
        <w:pStyle w:val="37"/>
        <w:rPr>
          <w:rFonts w:eastAsiaTheme="minorEastAsia"/>
          <w:color w:val="auto"/>
          <w:highlight w:val="none"/>
        </w:rPr>
      </w:pPr>
      <w:r>
        <w:rPr>
          <w:rFonts w:eastAsiaTheme="minorEastAsia"/>
          <w:color w:val="auto"/>
          <w:highlight w:val="none"/>
        </w:rPr>
        <w:t>短期借款</w:t>
      </w:r>
    </w:p>
    <w:p>
      <w:pPr>
        <w:pStyle w:val="44"/>
        <w:numPr>
          <w:ilvl w:val="0"/>
          <w:numId w:val="0"/>
        </w:numPr>
        <w:ind w:left="1276"/>
        <w:rPr>
          <w:rFonts w:eastAsiaTheme="minorEastAsia"/>
          <w:color w:val="auto"/>
          <w:highlight w:val="none"/>
        </w:rPr>
      </w:pPr>
      <w:r>
        <w:rPr>
          <w:rFonts w:eastAsiaTheme="minorEastAsia"/>
          <w:color w:val="auto"/>
          <w:highlight w:val="none"/>
        </w:rPr>
        <w:t>短期借款分类</w:t>
      </w:r>
    </w:p>
    <w:p>
      <w:pPr>
        <w:pStyle w:val="35"/>
        <w:rPr>
          <w:rFonts w:eastAsiaTheme="minorEastAsia"/>
          <w:color w:val="auto"/>
          <w:szCs w:val="22"/>
          <w:highlight w:val="none"/>
        </w:rPr>
      </w:pPr>
      <w:r>
        <w:rPr>
          <w:rFonts w:eastAsiaTheme="minorEastAsia"/>
          <w:b/>
          <w:bCs/>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!短期借款 \f 4 \h \* MERGEFORMAT </w:instrText>
      </w:r>
      <w:r>
        <w:rPr>
          <w:rFonts w:eastAsiaTheme="minorEastAsia"/>
          <w:b/>
          <w:bCs/>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3660"/>
        <w:gridCol w:w="2264"/>
        <w:gridCol w:w="2264"/>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3660"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2264"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c>
          <w:tcPr>
            <w:tcW w:w="2264"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60"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质押借款</w:t>
            </w:r>
          </w:p>
        </w:tc>
        <w:tc>
          <w:tcPr>
            <w:tcW w:w="226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1,572,939,774.58</w:t>
            </w:r>
          </w:p>
        </w:tc>
        <w:tc>
          <w:tcPr>
            <w:tcW w:w="226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1,665,312,187.88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60"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保证借款</w:t>
            </w:r>
          </w:p>
        </w:tc>
        <w:tc>
          <w:tcPr>
            <w:tcW w:w="226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226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9,431,400,862.95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60"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信用借款</w:t>
            </w:r>
          </w:p>
        </w:tc>
        <w:tc>
          <w:tcPr>
            <w:tcW w:w="226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6,728,461,061.42</w:t>
            </w:r>
          </w:p>
        </w:tc>
        <w:tc>
          <w:tcPr>
            <w:tcW w:w="226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9,925,691.04</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60"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226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8,301,400,836.00</w:t>
            </w:r>
          </w:p>
        </w:tc>
        <w:tc>
          <w:tcPr>
            <w:tcW w:w="226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11,106,638,741.87</w:t>
            </w:r>
          </w:p>
        </w:tc>
      </w:tr>
    </w:tbl>
    <w:p>
      <w:pPr>
        <w:pStyle w:val="35"/>
        <w:rPr>
          <w:rFonts w:eastAsiaTheme="minorEastAsia"/>
          <w:color w:val="auto"/>
          <w:highlight w:val="none"/>
        </w:rPr>
      </w:pPr>
      <w:r>
        <w:rPr>
          <w:rFonts w:eastAsiaTheme="minorEastAsia"/>
          <w:color w:val="auto"/>
          <w:highlight w:val="none"/>
        </w:rPr>
        <w:fldChar w:fldCharType="end"/>
      </w:r>
    </w:p>
    <w:p>
      <w:pPr>
        <w:pStyle w:val="37"/>
        <w:rPr>
          <w:rFonts w:eastAsiaTheme="minorEastAsia"/>
          <w:color w:val="auto"/>
          <w:highlight w:val="none"/>
        </w:rPr>
      </w:pPr>
      <w:r>
        <w:rPr>
          <w:rFonts w:eastAsiaTheme="minorEastAsia"/>
          <w:color w:val="auto"/>
          <w:highlight w:val="none"/>
        </w:rPr>
        <w:t>应付票据</w:t>
      </w:r>
    </w:p>
    <w:p>
      <w:pPr>
        <w:pStyle w:val="38"/>
        <w:rPr>
          <w:color w:val="auto"/>
          <w:szCs w:val="22"/>
          <w:highlight w:val="none"/>
        </w:rPr>
      </w:pPr>
      <w:r>
        <w:rPr>
          <w:b/>
          <w:color w:val="auto"/>
          <w:highlight w:val="none"/>
        </w:rPr>
        <w:fldChar w:fldCharType="begin"/>
      </w:r>
      <w:r>
        <w:rPr>
          <w:color w:val="auto"/>
          <w:highlight w:val="none"/>
        </w:rPr>
        <w:instrText xml:space="preserve"> LINK Excel.Sheet.12 E:\\雍\\附注排版\\2014年年报格式\\附注过渡表20150130V0910.xlsx</w:instrText>
      </w:r>
      <w:r>
        <w:rPr>
          <w:rFonts w:hint="eastAsia"/>
          <w:color w:val="auto"/>
          <w:highlight w:val="none"/>
        </w:rPr>
        <w:instrText xml:space="preserve"> 合并附注</w:instrText>
      </w:r>
      <w:r>
        <w:rPr>
          <w:color w:val="auto"/>
          <w:highlight w:val="none"/>
        </w:rPr>
        <w:instrText xml:space="preserve">!应付票据 \f 4 \h \* MERGEFORMAT </w:instrText>
      </w:r>
      <w:r>
        <w:rPr>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3373"/>
        <w:gridCol w:w="2526"/>
        <w:gridCol w:w="2289"/>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3373"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种类</w:t>
            </w:r>
          </w:p>
        </w:tc>
        <w:tc>
          <w:tcPr>
            <w:tcW w:w="2526"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c>
          <w:tcPr>
            <w:tcW w:w="2289"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3"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商业承兑汇票</w:t>
            </w:r>
          </w:p>
        </w:tc>
        <w:tc>
          <w:tcPr>
            <w:tcW w:w="252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1,022,671,885.78</w:t>
            </w:r>
          </w:p>
        </w:tc>
        <w:tc>
          <w:tcPr>
            <w:tcW w:w="228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6,431,916.50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3"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银行承兑汇票</w:t>
            </w:r>
          </w:p>
        </w:tc>
        <w:tc>
          <w:tcPr>
            <w:tcW w:w="252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375,166,210.32</w:t>
            </w:r>
          </w:p>
        </w:tc>
        <w:tc>
          <w:tcPr>
            <w:tcW w:w="228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265,136,923.96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3"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252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1,397,838,096.10</w:t>
            </w:r>
          </w:p>
        </w:tc>
        <w:tc>
          <w:tcPr>
            <w:tcW w:w="228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271,568,840.46</w:t>
            </w:r>
          </w:p>
        </w:tc>
      </w:tr>
    </w:tbl>
    <w:p>
      <w:pPr>
        <w:pStyle w:val="38"/>
        <w:rPr>
          <w:rFonts w:eastAsiaTheme="minorEastAsia"/>
          <w:color w:val="auto"/>
          <w:highlight w:val="none"/>
        </w:rPr>
      </w:pPr>
      <w:r>
        <w:rPr>
          <w:rFonts w:eastAsiaTheme="minorEastAsia"/>
          <w:color w:val="auto"/>
          <w:highlight w:val="none"/>
        </w:rPr>
        <w:fldChar w:fldCharType="end"/>
      </w:r>
    </w:p>
    <w:p>
      <w:pPr>
        <w:pStyle w:val="37"/>
        <w:rPr>
          <w:color w:val="auto"/>
          <w:highlight w:val="none"/>
        </w:rPr>
      </w:pPr>
      <w:r>
        <w:rPr>
          <w:color w:val="auto"/>
          <w:highlight w:val="none"/>
        </w:rPr>
        <w:t>应付账款</w:t>
      </w:r>
    </w:p>
    <w:p>
      <w:pPr>
        <w:pStyle w:val="38"/>
        <w:rPr>
          <w:color w:val="auto"/>
          <w:highlight w:val="none"/>
        </w:rPr>
      </w:pPr>
      <w:r>
        <w:rPr>
          <w:b/>
          <w:color w:val="auto"/>
          <w:highlight w:val="none"/>
        </w:rPr>
        <w:fldChar w:fldCharType="begin"/>
      </w:r>
      <w:r>
        <w:rPr>
          <w:color w:val="auto"/>
          <w:highlight w:val="none"/>
        </w:rPr>
        <w:instrText xml:space="preserve"> LINK Excel.Sheet.12 E:\\雍\\附注排版\\2014年年报格式\\附注过渡表20150130V0910.xlsx</w:instrText>
      </w:r>
      <w:r>
        <w:rPr>
          <w:rFonts w:hint="eastAsia"/>
          <w:color w:val="auto"/>
          <w:highlight w:val="none"/>
        </w:rPr>
        <w:instrText xml:space="preserve"> </w:instrText>
      </w:r>
      <w:r>
        <w:rPr>
          <w:rFonts w:hint="eastAsia" w:eastAsiaTheme="minorEastAsia"/>
          <w:color w:val="auto"/>
          <w:highlight w:val="none"/>
        </w:rPr>
        <w:instrText xml:space="preserve">合并附注</w:instrText>
      </w:r>
      <w:r>
        <w:rPr>
          <w:color w:val="auto"/>
          <w:highlight w:val="none"/>
        </w:rPr>
        <w:instrText xml:space="preserve">!应付账款 \f 4 \h \* MERGEFORMAT </w:instrText>
      </w:r>
      <w:r>
        <w:rPr>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3377"/>
        <w:gridCol w:w="2405"/>
        <w:gridCol w:w="2406"/>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337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账龄</w:t>
            </w:r>
          </w:p>
        </w:tc>
        <w:tc>
          <w:tcPr>
            <w:tcW w:w="240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c>
          <w:tcPr>
            <w:tcW w:w="2406"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1年以内（含1年）</w:t>
            </w:r>
          </w:p>
        </w:tc>
        <w:tc>
          <w:tcPr>
            <w:tcW w:w="24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4,293,169,881.07</w:t>
            </w:r>
          </w:p>
        </w:tc>
        <w:tc>
          <w:tcPr>
            <w:tcW w:w="240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3,674,625,062.49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1—2年（含2年）</w:t>
            </w:r>
          </w:p>
        </w:tc>
        <w:tc>
          <w:tcPr>
            <w:tcW w:w="24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697,591,308.54</w:t>
            </w:r>
          </w:p>
        </w:tc>
        <w:tc>
          <w:tcPr>
            <w:tcW w:w="240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1,437,844,913.87</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2—3年（含3年）</w:t>
            </w:r>
          </w:p>
        </w:tc>
        <w:tc>
          <w:tcPr>
            <w:tcW w:w="24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319,588,369.86</w:t>
            </w:r>
          </w:p>
        </w:tc>
        <w:tc>
          <w:tcPr>
            <w:tcW w:w="240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425,651,090.21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3年以上</w:t>
            </w:r>
          </w:p>
        </w:tc>
        <w:tc>
          <w:tcPr>
            <w:tcW w:w="24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323,438,878.36</w:t>
            </w:r>
          </w:p>
        </w:tc>
        <w:tc>
          <w:tcPr>
            <w:tcW w:w="240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190,575,853.13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24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5,633,788,437.83</w:t>
            </w:r>
          </w:p>
        </w:tc>
        <w:tc>
          <w:tcPr>
            <w:tcW w:w="240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5,728,696,919.70</w:t>
            </w:r>
          </w:p>
        </w:tc>
      </w:tr>
    </w:tbl>
    <w:p>
      <w:pPr>
        <w:pStyle w:val="38"/>
        <w:rPr>
          <w:color w:val="auto"/>
          <w:highlight w:val="none"/>
        </w:rPr>
      </w:pPr>
      <w:r>
        <w:rPr>
          <w:color w:val="auto"/>
          <w:highlight w:val="none"/>
        </w:rPr>
        <w:fldChar w:fldCharType="end"/>
      </w:r>
    </w:p>
    <w:p>
      <w:pPr>
        <w:pStyle w:val="38"/>
        <w:rPr>
          <w:color w:val="auto"/>
          <w:highlight w:val="none"/>
        </w:rPr>
      </w:pPr>
      <w:r>
        <w:rPr>
          <w:color w:val="auto"/>
          <w:highlight w:val="none"/>
        </w:rPr>
        <w:t>账龄超过</w:t>
      </w:r>
      <w:r>
        <w:rPr>
          <w:rFonts w:hint="eastAsia"/>
          <w:color w:val="auto"/>
          <w:highlight w:val="none"/>
        </w:rPr>
        <w:t>1</w:t>
      </w:r>
      <w:r>
        <w:rPr>
          <w:color w:val="auto"/>
          <w:highlight w:val="none"/>
        </w:rPr>
        <w:t>年的重要应付账款：</w:t>
      </w:r>
    </w:p>
    <w:p>
      <w:pPr>
        <w:pStyle w:val="38"/>
        <w:rPr>
          <w:color w:val="auto"/>
          <w:highlight w:val="none"/>
        </w:rPr>
      </w:pPr>
      <w:r>
        <w:rPr>
          <w:b/>
          <w:bCs/>
          <w:color w:val="auto"/>
          <w:highlight w:val="none"/>
        </w:rPr>
        <w:fldChar w:fldCharType="begin"/>
      </w:r>
      <w:r>
        <w:rPr>
          <w:color w:val="auto"/>
          <w:highlight w:val="none"/>
        </w:rPr>
        <w:instrText xml:space="preserve"> LINK Excel.Sheet.12 E:\\雍\\附注排版\\2014年年报格式\\附注过渡表20150130V0910.xlsx</w:instrText>
      </w:r>
      <w:r>
        <w:rPr>
          <w:rFonts w:hint="eastAsia"/>
          <w:color w:val="auto"/>
          <w:highlight w:val="none"/>
        </w:rPr>
        <w:instrText xml:space="preserve"> </w:instrText>
      </w:r>
      <w:r>
        <w:rPr>
          <w:rFonts w:hint="eastAsia" w:eastAsiaTheme="minorEastAsia"/>
          <w:color w:val="auto"/>
          <w:highlight w:val="none"/>
        </w:rPr>
        <w:instrText xml:space="preserve">合并附注</w:instrText>
      </w:r>
      <w:r>
        <w:rPr>
          <w:color w:val="auto"/>
          <w:highlight w:val="none"/>
        </w:rPr>
        <w:instrText xml:space="preserve">!应付账款1 \f 4 \h \* MERGEFORMAT </w:instrText>
      </w:r>
      <w:r>
        <w:rPr>
          <w:b/>
          <w:bCs/>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3375"/>
        <w:gridCol w:w="2378"/>
        <w:gridCol w:w="2435"/>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337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债权单位名称</w:t>
            </w:r>
          </w:p>
        </w:tc>
        <w:tc>
          <w:tcPr>
            <w:tcW w:w="237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c>
          <w:tcPr>
            <w:tcW w:w="243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未偿还原因</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阳光电源股份有限公司</w:t>
            </w:r>
          </w:p>
        </w:tc>
        <w:tc>
          <w:tcPr>
            <w:tcW w:w="2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76,169,686.71</w:t>
            </w:r>
          </w:p>
        </w:tc>
        <w:tc>
          <w:tcPr>
            <w:tcW w:w="243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工程未结算</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上海能辉科技股份有限公司</w:t>
            </w:r>
          </w:p>
        </w:tc>
        <w:tc>
          <w:tcPr>
            <w:tcW w:w="2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71,559,375.96</w:t>
            </w:r>
          </w:p>
        </w:tc>
        <w:tc>
          <w:tcPr>
            <w:tcW w:w="243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工程未结算</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2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147,729,062.67</w:t>
            </w:r>
          </w:p>
        </w:tc>
        <w:tc>
          <w:tcPr>
            <w:tcW w:w="243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p>
        </w:tc>
      </w:tr>
    </w:tbl>
    <w:p>
      <w:pPr>
        <w:pStyle w:val="38"/>
        <w:rPr>
          <w:rFonts w:eastAsiaTheme="minorEastAsia"/>
          <w:color w:val="auto"/>
          <w:highlight w:val="none"/>
        </w:rPr>
      </w:pPr>
      <w:r>
        <w:rPr>
          <w:color w:val="auto"/>
          <w:highlight w:val="none"/>
        </w:rPr>
        <w:fldChar w:fldCharType="end"/>
      </w:r>
    </w:p>
    <w:p>
      <w:pPr>
        <w:pStyle w:val="37"/>
        <w:rPr>
          <w:rFonts w:eastAsiaTheme="minorEastAsia"/>
          <w:color w:val="auto"/>
          <w:highlight w:val="none"/>
        </w:rPr>
      </w:pPr>
      <w:r>
        <w:rPr>
          <w:rFonts w:eastAsiaTheme="minorEastAsia"/>
          <w:color w:val="auto"/>
          <w:highlight w:val="none"/>
        </w:rPr>
        <w:t>预收款项</w:t>
      </w:r>
    </w:p>
    <w:p>
      <w:pPr>
        <w:pStyle w:val="38"/>
        <w:rPr>
          <w:color w:val="auto"/>
          <w:highlight w:val="none"/>
        </w:rPr>
      </w:pPr>
      <w:r>
        <w:rPr>
          <w:b/>
          <w:color w:val="auto"/>
          <w:highlight w:val="none"/>
        </w:rPr>
        <w:fldChar w:fldCharType="begin"/>
      </w:r>
      <w:r>
        <w:rPr>
          <w:color w:val="auto"/>
          <w:highlight w:val="none"/>
        </w:rPr>
        <w:instrText xml:space="preserve"> LINK Excel.Sheet.12 E:\\雍\\附注排版\\2014年年报格式\\附注过渡表20150130V0910.xlsx</w:instrText>
      </w:r>
      <w:r>
        <w:rPr>
          <w:rFonts w:hint="eastAsia"/>
          <w:color w:val="auto"/>
          <w:highlight w:val="none"/>
        </w:rPr>
        <w:instrText xml:space="preserve"> </w:instrText>
      </w:r>
      <w:r>
        <w:rPr>
          <w:rFonts w:hint="eastAsia" w:eastAsiaTheme="minorEastAsia"/>
          <w:color w:val="auto"/>
          <w:highlight w:val="none"/>
        </w:rPr>
        <w:instrText xml:space="preserve">合并附注</w:instrText>
      </w:r>
      <w:r>
        <w:rPr>
          <w:color w:val="auto"/>
          <w:highlight w:val="none"/>
        </w:rPr>
        <w:instrText xml:space="preserve">!预收账款 \f 4 \h \* MERGEFORMAT </w:instrText>
      </w:r>
      <w:r>
        <w:rPr>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3377"/>
        <w:gridCol w:w="2405"/>
        <w:gridCol w:w="2406"/>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337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账龄</w:t>
            </w:r>
          </w:p>
        </w:tc>
        <w:tc>
          <w:tcPr>
            <w:tcW w:w="240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c>
          <w:tcPr>
            <w:tcW w:w="2406"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1年以内（含1年）</w:t>
            </w:r>
          </w:p>
        </w:tc>
        <w:tc>
          <w:tcPr>
            <w:tcW w:w="24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3,412,773.78</w:t>
            </w:r>
          </w:p>
        </w:tc>
        <w:tc>
          <w:tcPr>
            <w:tcW w:w="240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165,142,574.64</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1年以上</w:t>
            </w:r>
          </w:p>
        </w:tc>
        <w:tc>
          <w:tcPr>
            <w:tcW w:w="24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268,875.00</w:t>
            </w:r>
          </w:p>
        </w:tc>
        <w:tc>
          <w:tcPr>
            <w:tcW w:w="240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24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3,681,648.78</w:t>
            </w:r>
          </w:p>
        </w:tc>
        <w:tc>
          <w:tcPr>
            <w:tcW w:w="240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165,142,574.64</w:t>
            </w:r>
          </w:p>
        </w:tc>
      </w:tr>
    </w:tbl>
    <w:p>
      <w:pPr>
        <w:pStyle w:val="38"/>
        <w:rPr>
          <w:color w:val="auto"/>
          <w:highlight w:val="none"/>
        </w:rPr>
      </w:pPr>
      <w:r>
        <w:rPr>
          <w:color w:val="auto"/>
          <w:highlight w:val="none"/>
        </w:rPr>
        <w:fldChar w:fldCharType="end"/>
      </w:r>
    </w:p>
    <w:p>
      <w:pPr>
        <w:pStyle w:val="38"/>
        <w:rPr>
          <w:color w:val="auto"/>
          <w:highlight w:val="none"/>
        </w:rPr>
      </w:pPr>
      <w:r>
        <w:rPr>
          <w:color w:val="auto"/>
          <w:highlight w:val="none"/>
        </w:rPr>
        <w:t>账龄超过</w:t>
      </w:r>
      <w:r>
        <w:rPr>
          <w:rFonts w:hint="eastAsia"/>
          <w:color w:val="auto"/>
          <w:highlight w:val="none"/>
        </w:rPr>
        <w:t>1</w:t>
      </w:r>
      <w:r>
        <w:rPr>
          <w:color w:val="auto"/>
          <w:highlight w:val="none"/>
        </w:rPr>
        <w:t>年的重要预收款项</w:t>
      </w:r>
    </w:p>
    <w:p>
      <w:pPr>
        <w:pStyle w:val="38"/>
        <w:rPr>
          <w:bCs/>
          <w:color w:val="auto"/>
          <w:szCs w:val="22"/>
          <w:highlight w:val="none"/>
        </w:rPr>
      </w:pPr>
      <w:r>
        <w:rPr>
          <w:b/>
          <w:color w:val="auto"/>
          <w:highlight w:val="none"/>
        </w:rPr>
        <w:fldChar w:fldCharType="begin"/>
      </w:r>
      <w:r>
        <w:rPr>
          <w:color w:val="auto"/>
          <w:highlight w:val="none"/>
        </w:rPr>
        <w:instrText xml:space="preserve"> LINK Excel.Sheet.12 E:\\雍\\附注排版\\2014年年报格式\\附注过渡表20150130V0910.xlsx</w:instrText>
      </w:r>
      <w:r>
        <w:rPr>
          <w:rFonts w:hint="eastAsia"/>
          <w:color w:val="auto"/>
          <w:highlight w:val="none"/>
        </w:rPr>
        <w:instrText xml:space="preserve"> </w:instrText>
      </w:r>
      <w:r>
        <w:rPr>
          <w:rFonts w:hint="eastAsia" w:eastAsiaTheme="minorEastAsia"/>
          <w:color w:val="auto"/>
          <w:highlight w:val="none"/>
        </w:rPr>
        <w:instrText xml:space="preserve">合并附注</w:instrText>
      </w:r>
      <w:r>
        <w:rPr>
          <w:color w:val="auto"/>
          <w:highlight w:val="none"/>
        </w:rPr>
        <w:instrText xml:space="preserve">!预收账款1 \f 4 \h \* MERGEFORMAT </w:instrText>
      </w:r>
      <w:r>
        <w:rPr>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3374"/>
        <w:gridCol w:w="2401"/>
        <w:gridCol w:w="2413"/>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3374"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债权单位名称</w:t>
            </w:r>
          </w:p>
        </w:tc>
        <w:tc>
          <w:tcPr>
            <w:tcW w:w="240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c>
          <w:tcPr>
            <w:tcW w:w="2413"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未结转原因</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中铁五局集团实业发展有限公司</w:t>
            </w:r>
          </w:p>
        </w:tc>
        <w:tc>
          <w:tcPr>
            <w:tcW w:w="240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200,000.00</w:t>
            </w:r>
          </w:p>
        </w:tc>
        <w:tc>
          <w:tcPr>
            <w:tcW w:w="2413"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未达到结算时点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4"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240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200,000.00</w:t>
            </w:r>
          </w:p>
        </w:tc>
        <w:tc>
          <w:tcPr>
            <w:tcW w:w="2413"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r>
    </w:tbl>
    <w:p>
      <w:pPr>
        <w:pStyle w:val="38"/>
        <w:rPr>
          <w:rFonts w:eastAsiaTheme="minorEastAsia"/>
          <w:color w:val="auto"/>
          <w:highlight w:val="none"/>
        </w:rPr>
      </w:pPr>
      <w:r>
        <w:rPr>
          <w:color w:val="auto"/>
          <w:highlight w:val="none"/>
        </w:rPr>
        <w:fldChar w:fldCharType="end"/>
      </w:r>
    </w:p>
    <w:p>
      <w:pPr>
        <w:pStyle w:val="37"/>
        <w:rPr>
          <w:rFonts w:eastAsiaTheme="minorEastAsia"/>
          <w:color w:val="auto"/>
          <w:highlight w:val="none"/>
        </w:rPr>
      </w:pPr>
      <w:r>
        <w:rPr>
          <w:rFonts w:hint="eastAsia" w:eastAsiaTheme="minorEastAsia"/>
          <w:color w:val="auto"/>
          <w:highlight w:val="none"/>
        </w:rPr>
        <w:t>合同</w:t>
      </w:r>
      <w:r>
        <w:rPr>
          <w:rFonts w:eastAsiaTheme="minorEastAsia"/>
          <w:color w:val="auto"/>
          <w:highlight w:val="none"/>
        </w:rPr>
        <w:t>负债情况</w:t>
      </w:r>
    </w:p>
    <w:p>
      <w:pPr>
        <w:pStyle w:val="38"/>
        <w:rPr>
          <w:color w:val="auto"/>
          <w:szCs w:val="22"/>
          <w:highlight w:val="none"/>
        </w:rPr>
      </w:pPr>
      <w:r>
        <w:rPr>
          <w:b/>
          <w:color w:val="auto"/>
          <w:highlight w:val="none"/>
        </w:rPr>
        <w:fldChar w:fldCharType="begin"/>
      </w:r>
      <w:r>
        <w:rPr>
          <w:color w:val="auto"/>
          <w:highlight w:val="none"/>
        </w:rPr>
        <w:instrText xml:space="preserve"> LINK Excel.Sheet.12 E:\\雍\\附注排版\\2014年年报格式\\附注过渡表20150130V0910.xlsx </w:instrText>
      </w:r>
      <w:r>
        <w:rPr>
          <w:rFonts w:hint="eastAsia"/>
          <w:color w:val="auto"/>
          <w:highlight w:val="none"/>
        </w:rPr>
        <w:instrText xml:space="preserve">合并附注</w:instrText>
      </w:r>
      <w:r>
        <w:rPr>
          <w:color w:val="auto"/>
          <w:highlight w:val="none"/>
        </w:rPr>
        <w:instrText xml:space="preserve">!</w:instrText>
      </w:r>
      <w:r>
        <w:rPr>
          <w:rFonts w:hint="eastAsia"/>
          <w:color w:val="auto"/>
          <w:highlight w:val="none"/>
        </w:rPr>
        <w:instrText xml:space="preserve">合同</w:instrText>
      </w:r>
      <w:r>
        <w:rPr>
          <w:color w:val="auto"/>
          <w:highlight w:val="none"/>
        </w:rPr>
        <w:instrText xml:space="preserve">负债 \f 4 \h \* MERGEFORMAT </w:instrText>
      </w:r>
      <w:r>
        <w:rPr>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3373"/>
        <w:gridCol w:w="2526"/>
        <w:gridCol w:w="2289"/>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3373"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2526"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c>
          <w:tcPr>
            <w:tcW w:w="2289"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3"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商品销售款</w:t>
            </w:r>
          </w:p>
        </w:tc>
        <w:tc>
          <w:tcPr>
            <w:tcW w:w="252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142,283,079.61</w:t>
            </w:r>
          </w:p>
        </w:tc>
        <w:tc>
          <w:tcPr>
            <w:tcW w:w="228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2,810,410.23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3"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工程款</w:t>
            </w:r>
          </w:p>
        </w:tc>
        <w:tc>
          <w:tcPr>
            <w:tcW w:w="252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32,906,678.13</w:t>
            </w:r>
          </w:p>
        </w:tc>
        <w:tc>
          <w:tcPr>
            <w:tcW w:w="228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42,680,728.45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3"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升压站租赁款</w:t>
            </w:r>
          </w:p>
        </w:tc>
        <w:tc>
          <w:tcPr>
            <w:tcW w:w="252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5,143,045.50</w:t>
            </w:r>
          </w:p>
        </w:tc>
        <w:tc>
          <w:tcPr>
            <w:tcW w:w="228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3"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252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180,332,803.24</w:t>
            </w:r>
          </w:p>
        </w:tc>
        <w:tc>
          <w:tcPr>
            <w:tcW w:w="228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45,491,138.68</w:t>
            </w:r>
          </w:p>
        </w:tc>
      </w:tr>
    </w:tbl>
    <w:p>
      <w:pPr>
        <w:pStyle w:val="38"/>
        <w:rPr>
          <w:rFonts w:eastAsiaTheme="minorEastAsia"/>
          <w:color w:val="auto"/>
          <w:highlight w:val="none"/>
        </w:rPr>
      </w:pPr>
      <w:r>
        <w:rPr>
          <w:rFonts w:eastAsiaTheme="minorEastAsia"/>
          <w:color w:val="auto"/>
          <w:highlight w:val="none"/>
        </w:rPr>
        <w:fldChar w:fldCharType="end"/>
      </w:r>
    </w:p>
    <w:p>
      <w:pPr>
        <w:pStyle w:val="37"/>
        <w:rPr>
          <w:rFonts w:eastAsiaTheme="minorEastAsia"/>
          <w:color w:val="auto"/>
          <w:highlight w:val="none"/>
        </w:rPr>
      </w:pPr>
      <w:r>
        <w:rPr>
          <w:rFonts w:eastAsiaTheme="minorEastAsia"/>
          <w:color w:val="auto"/>
          <w:highlight w:val="none"/>
        </w:rPr>
        <w:t>应付职工薪酬</w:t>
      </w:r>
    </w:p>
    <w:p>
      <w:pPr>
        <w:pStyle w:val="44"/>
        <w:rPr>
          <w:rFonts w:eastAsiaTheme="minorEastAsia"/>
          <w:color w:val="auto"/>
          <w:highlight w:val="none"/>
        </w:rPr>
      </w:pPr>
      <w:r>
        <w:rPr>
          <w:rFonts w:eastAsiaTheme="minorEastAsia"/>
          <w:color w:val="auto"/>
          <w:highlight w:val="none"/>
        </w:rPr>
        <w:t>应付职工薪酬列示</w:t>
      </w:r>
    </w:p>
    <w:p>
      <w:pPr>
        <w:pStyle w:val="35"/>
        <w:rPr>
          <w:rFonts w:eastAsiaTheme="minorEastAsia"/>
          <w:color w:val="auto"/>
          <w:highlight w:val="none"/>
        </w:rPr>
      </w:pPr>
      <w:r>
        <w:rPr>
          <w:rFonts w:eastAsiaTheme="minorEastAsia"/>
          <w:b/>
          <w:bCs/>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!应付职工薪酬 \f 4 \h \* MERGEFORMAT </w:instrText>
      </w:r>
      <w:r>
        <w:rPr>
          <w:rFonts w:eastAsiaTheme="minorEastAsia"/>
          <w:b/>
          <w:bCs/>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1938"/>
        <w:gridCol w:w="1538"/>
        <w:gridCol w:w="1587"/>
        <w:gridCol w:w="1587"/>
        <w:gridCol w:w="1538"/>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93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153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w:t>
            </w:r>
          </w:p>
        </w:tc>
        <w:tc>
          <w:tcPr>
            <w:tcW w:w="158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本期增加</w:t>
            </w:r>
          </w:p>
        </w:tc>
        <w:tc>
          <w:tcPr>
            <w:tcW w:w="158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本期减少</w:t>
            </w:r>
          </w:p>
        </w:tc>
        <w:tc>
          <w:tcPr>
            <w:tcW w:w="153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38"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一、短期薪酬</w:t>
            </w:r>
          </w:p>
        </w:tc>
        <w:tc>
          <w:tcPr>
            <w:tcW w:w="153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265,700,976.65</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2,301,351,319.70</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2,232,243,046.04</w:t>
            </w:r>
          </w:p>
        </w:tc>
        <w:tc>
          <w:tcPr>
            <w:tcW w:w="153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334,809,250.31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38"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二、离职后福利-设定提存计划</w:t>
            </w:r>
          </w:p>
        </w:tc>
        <w:tc>
          <w:tcPr>
            <w:tcW w:w="153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436,858.41</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317,453,043.30</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317,155,434.89</w:t>
            </w:r>
          </w:p>
        </w:tc>
        <w:tc>
          <w:tcPr>
            <w:tcW w:w="153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734,466.82</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38"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三、辞退福利</w:t>
            </w:r>
          </w:p>
        </w:tc>
        <w:tc>
          <w:tcPr>
            <w:tcW w:w="153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23,181.80</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23,181.80</w:t>
            </w:r>
          </w:p>
        </w:tc>
        <w:tc>
          <w:tcPr>
            <w:tcW w:w="153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38"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四、一年内到期的其他福利</w:t>
            </w:r>
          </w:p>
        </w:tc>
        <w:tc>
          <w:tcPr>
            <w:tcW w:w="153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3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38"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五、其他</w:t>
            </w:r>
          </w:p>
        </w:tc>
        <w:tc>
          <w:tcPr>
            <w:tcW w:w="153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3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3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153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266,137,835.06</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2,618,827,544.80</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2,549,421,662.73</w:t>
            </w:r>
          </w:p>
        </w:tc>
        <w:tc>
          <w:tcPr>
            <w:tcW w:w="153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335,543,717.13</w:t>
            </w:r>
          </w:p>
        </w:tc>
      </w:tr>
    </w:tbl>
    <w:p>
      <w:pPr>
        <w:pStyle w:val="35"/>
        <w:rPr>
          <w:rFonts w:eastAsiaTheme="minorEastAsia"/>
          <w:color w:val="auto"/>
          <w:highlight w:val="none"/>
        </w:rPr>
      </w:pPr>
      <w:r>
        <w:rPr>
          <w:rFonts w:eastAsiaTheme="minorEastAsia"/>
          <w:color w:val="auto"/>
          <w:highlight w:val="none"/>
        </w:rPr>
        <w:fldChar w:fldCharType="end"/>
      </w:r>
    </w:p>
    <w:p>
      <w:pPr>
        <w:pStyle w:val="44"/>
        <w:rPr>
          <w:rFonts w:eastAsiaTheme="minorEastAsia"/>
          <w:color w:val="auto"/>
          <w:highlight w:val="none"/>
        </w:rPr>
      </w:pPr>
      <w:r>
        <w:rPr>
          <w:rFonts w:eastAsiaTheme="minorEastAsia"/>
          <w:color w:val="auto"/>
          <w:highlight w:val="none"/>
        </w:rPr>
        <w:t>短期薪酬列示</w:t>
      </w:r>
    </w:p>
    <w:p>
      <w:pPr>
        <w:pStyle w:val="35"/>
        <w:rPr>
          <w:rFonts w:eastAsiaTheme="minorEastAsia"/>
          <w:bCs/>
          <w:color w:val="auto"/>
          <w:szCs w:val="22"/>
          <w:highlight w:val="none"/>
        </w:rPr>
      </w:pPr>
      <w:r>
        <w:rPr>
          <w:rFonts w:eastAsiaTheme="minorEastAsia"/>
          <w:b/>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!应付职工薪酬1 \f 4 \h \* MERGEFORMAT </w:instrText>
      </w:r>
      <w:r>
        <w:rPr>
          <w:rFonts w:eastAsiaTheme="minorEastAsia"/>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1954"/>
        <w:gridCol w:w="1530"/>
        <w:gridCol w:w="1587"/>
        <w:gridCol w:w="1587"/>
        <w:gridCol w:w="1530"/>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PrEx>
        <w:trPr>
          <w:trHeight w:val="283" w:hRule="atLeast"/>
          <w:tblHeader/>
        </w:trPr>
        <w:tc>
          <w:tcPr>
            <w:tcW w:w="1954"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1530"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w:t>
            </w:r>
          </w:p>
        </w:tc>
        <w:tc>
          <w:tcPr>
            <w:tcW w:w="158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本期增加</w:t>
            </w:r>
          </w:p>
        </w:tc>
        <w:tc>
          <w:tcPr>
            <w:tcW w:w="158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本期减少</w:t>
            </w:r>
          </w:p>
        </w:tc>
        <w:tc>
          <w:tcPr>
            <w:tcW w:w="1530"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5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一、工资、奖金、津贴和补贴</w:t>
            </w: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151,570,933.33</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1,744,183,100.00</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1,651,406,127.60</w:t>
            </w: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244,347,905.73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5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二、职工福利费</w:t>
            </w: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119,905.64</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140,420,510.68</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140,420,510.68</w:t>
            </w: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119,905.64</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5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三、社会保险费</w:t>
            </w: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32,652,678.56</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183,952,060.70</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185,805,609.68</w:t>
            </w: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30,799,129.58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5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其中：医疗保险费及生育保险费</w:t>
            </w: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32,646,935.52</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165,313,025.02</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167,171,089.34</w:t>
            </w: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30,788,871.20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5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工伤保险费</w:t>
            </w: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5,743.04</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18,639,035.68</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18,634,520.34</w:t>
            </w: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10,258.38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5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其他</w:t>
            </w: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5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四、住房公积金</w:t>
            </w: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-131,623.37</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164,517,452.74</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164,446,698.22</w:t>
            </w: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-60,868.85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5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五、工会经费和职工教育经费</w:t>
            </w: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81,489,082.49</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68,278,195.58</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90,164,099.86</w:t>
            </w: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59,603,178.21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5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六、短期带薪缺勤</w:t>
            </w: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PrEx>
        <w:trPr>
          <w:trHeight w:val="283" w:hRule="atLeast"/>
        </w:trPr>
        <w:tc>
          <w:tcPr>
            <w:tcW w:w="195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七、短期利润分享计划</w:t>
            </w: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5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八、其他短期薪酬</w:t>
            </w: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954"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265,700,976.65</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2,301,351,319.70</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2,232,243,046.04</w:t>
            </w:r>
          </w:p>
        </w:tc>
        <w:tc>
          <w:tcPr>
            <w:tcW w:w="15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334,809,250.31</w:t>
            </w:r>
          </w:p>
        </w:tc>
      </w:tr>
    </w:tbl>
    <w:p>
      <w:pPr>
        <w:pStyle w:val="35"/>
        <w:rPr>
          <w:rFonts w:eastAsiaTheme="minorEastAsia"/>
          <w:color w:val="auto"/>
          <w:highlight w:val="none"/>
        </w:rPr>
      </w:pPr>
      <w:r>
        <w:rPr>
          <w:rFonts w:eastAsiaTheme="minorEastAsia"/>
          <w:color w:val="auto"/>
          <w:highlight w:val="none"/>
        </w:rPr>
        <w:fldChar w:fldCharType="end"/>
      </w:r>
    </w:p>
    <w:p>
      <w:pPr>
        <w:pStyle w:val="44"/>
        <w:rPr>
          <w:rFonts w:eastAsiaTheme="minorEastAsia"/>
          <w:color w:val="auto"/>
          <w:highlight w:val="none"/>
        </w:rPr>
      </w:pPr>
      <w:r>
        <w:rPr>
          <w:rFonts w:eastAsiaTheme="minorEastAsia"/>
          <w:color w:val="auto"/>
          <w:highlight w:val="none"/>
        </w:rPr>
        <w:t>设定提存计划列示</w:t>
      </w:r>
    </w:p>
    <w:p>
      <w:pPr>
        <w:pStyle w:val="35"/>
        <w:rPr>
          <w:rFonts w:eastAsiaTheme="minorEastAsia"/>
          <w:color w:val="auto"/>
          <w:highlight w:val="none"/>
        </w:rPr>
      </w:pPr>
      <w:r>
        <w:rPr>
          <w:rFonts w:eastAsiaTheme="minorEastAsia"/>
          <w:b/>
          <w:bCs/>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!应付职工薪酬2 \f 4 \h \* MERGEFORMAT </w:instrText>
      </w:r>
      <w:r>
        <w:rPr>
          <w:rFonts w:eastAsiaTheme="minorEastAsia"/>
          <w:b/>
          <w:bCs/>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2041"/>
        <w:gridCol w:w="1536"/>
        <w:gridCol w:w="1537"/>
        <w:gridCol w:w="1537"/>
        <w:gridCol w:w="1537"/>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204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1536"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w:t>
            </w:r>
          </w:p>
        </w:tc>
        <w:tc>
          <w:tcPr>
            <w:tcW w:w="153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本期增加</w:t>
            </w:r>
          </w:p>
        </w:tc>
        <w:tc>
          <w:tcPr>
            <w:tcW w:w="153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本期减少</w:t>
            </w:r>
          </w:p>
        </w:tc>
        <w:tc>
          <w:tcPr>
            <w:tcW w:w="153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41"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一、基本养老保险</w:t>
            </w:r>
          </w:p>
        </w:tc>
        <w:tc>
          <w:tcPr>
            <w:tcW w:w="153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-332,641.89</w:t>
            </w:r>
          </w:p>
        </w:tc>
        <w:tc>
          <w:tcPr>
            <w:tcW w:w="153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224,910,359.24</w:t>
            </w:r>
          </w:p>
        </w:tc>
        <w:tc>
          <w:tcPr>
            <w:tcW w:w="153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224,786,466.51</w:t>
            </w:r>
          </w:p>
        </w:tc>
        <w:tc>
          <w:tcPr>
            <w:tcW w:w="153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-208,749.16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41"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二、失业保险费</w:t>
            </w:r>
          </w:p>
        </w:tc>
        <w:tc>
          <w:tcPr>
            <w:tcW w:w="153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275,766.04</w:t>
            </w:r>
          </w:p>
        </w:tc>
        <w:tc>
          <w:tcPr>
            <w:tcW w:w="153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9,841,534.38</w:t>
            </w:r>
          </w:p>
        </w:tc>
        <w:tc>
          <w:tcPr>
            <w:tcW w:w="153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9,833,665.57</w:t>
            </w:r>
          </w:p>
        </w:tc>
        <w:tc>
          <w:tcPr>
            <w:tcW w:w="153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283,634.85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41"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三、企业年金缴费</w:t>
            </w:r>
          </w:p>
        </w:tc>
        <w:tc>
          <w:tcPr>
            <w:tcW w:w="153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493,734.26</w:t>
            </w:r>
          </w:p>
        </w:tc>
        <w:tc>
          <w:tcPr>
            <w:tcW w:w="153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82,701,149.68</w:t>
            </w:r>
          </w:p>
        </w:tc>
        <w:tc>
          <w:tcPr>
            <w:tcW w:w="153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82,535,302.81</w:t>
            </w:r>
          </w:p>
        </w:tc>
        <w:tc>
          <w:tcPr>
            <w:tcW w:w="153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659,581.13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4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153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436,858.41</w:t>
            </w:r>
          </w:p>
        </w:tc>
        <w:tc>
          <w:tcPr>
            <w:tcW w:w="153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317,453,043.30</w:t>
            </w:r>
          </w:p>
        </w:tc>
        <w:tc>
          <w:tcPr>
            <w:tcW w:w="153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317,155,434.89</w:t>
            </w:r>
          </w:p>
        </w:tc>
        <w:tc>
          <w:tcPr>
            <w:tcW w:w="153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734,466.82</w:t>
            </w:r>
          </w:p>
        </w:tc>
      </w:tr>
    </w:tbl>
    <w:p>
      <w:pPr>
        <w:pStyle w:val="35"/>
        <w:rPr>
          <w:rFonts w:eastAsiaTheme="minorEastAsia"/>
          <w:color w:val="auto"/>
          <w:highlight w:val="none"/>
        </w:rPr>
      </w:pPr>
      <w:r>
        <w:rPr>
          <w:rFonts w:eastAsiaTheme="minorEastAsia"/>
          <w:color w:val="auto"/>
          <w:highlight w:val="none"/>
        </w:rPr>
        <w:fldChar w:fldCharType="end"/>
      </w:r>
    </w:p>
    <w:p>
      <w:pPr>
        <w:pStyle w:val="37"/>
        <w:rPr>
          <w:rFonts w:eastAsiaTheme="minorEastAsia"/>
          <w:color w:val="auto"/>
          <w:highlight w:val="none"/>
        </w:rPr>
      </w:pPr>
      <w:r>
        <w:rPr>
          <w:rFonts w:eastAsiaTheme="minorEastAsia"/>
          <w:color w:val="auto"/>
          <w:highlight w:val="none"/>
        </w:rPr>
        <w:t>应交税费</w:t>
      </w:r>
    </w:p>
    <w:p>
      <w:pPr>
        <w:pStyle w:val="38"/>
        <w:rPr>
          <w:rFonts w:eastAsiaTheme="minorEastAsia"/>
          <w:color w:val="auto"/>
          <w:szCs w:val="22"/>
          <w:highlight w:val="none"/>
        </w:rPr>
      </w:pPr>
      <w:r>
        <w:rPr>
          <w:rFonts w:eastAsiaTheme="minorEastAsia"/>
          <w:b/>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!应交税费 \f 4 \h \* MERGEFORMAT </w:instrText>
      </w:r>
      <w:r>
        <w:rPr>
          <w:rFonts w:eastAsiaTheme="minorEastAsia"/>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3266"/>
        <w:gridCol w:w="2461"/>
        <w:gridCol w:w="2461"/>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3266"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246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c>
          <w:tcPr>
            <w:tcW w:w="246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26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增值税</w:t>
            </w:r>
          </w:p>
        </w:tc>
        <w:tc>
          <w:tcPr>
            <w:tcW w:w="246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251,436,990.14</w:t>
            </w:r>
          </w:p>
        </w:tc>
        <w:tc>
          <w:tcPr>
            <w:tcW w:w="246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263,034,880.81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26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资源税</w:t>
            </w:r>
          </w:p>
        </w:tc>
        <w:tc>
          <w:tcPr>
            <w:tcW w:w="246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13,713,583.80</w:t>
            </w:r>
          </w:p>
        </w:tc>
        <w:tc>
          <w:tcPr>
            <w:tcW w:w="246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28,021,510.65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26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企业所得税</w:t>
            </w:r>
          </w:p>
        </w:tc>
        <w:tc>
          <w:tcPr>
            <w:tcW w:w="246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208,125,563.98</w:t>
            </w:r>
          </w:p>
        </w:tc>
        <w:tc>
          <w:tcPr>
            <w:tcW w:w="246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349,208,659.44</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26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城市维护建设税</w:t>
            </w:r>
          </w:p>
        </w:tc>
        <w:tc>
          <w:tcPr>
            <w:tcW w:w="246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3,110,893.92</w:t>
            </w:r>
          </w:p>
        </w:tc>
        <w:tc>
          <w:tcPr>
            <w:tcW w:w="246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7,613,519.76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26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房产税</w:t>
            </w:r>
          </w:p>
        </w:tc>
        <w:tc>
          <w:tcPr>
            <w:tcW w:w="246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554,323.39</w:t>
            </w:r>
          </w:p>
        </w:tc>
        <w:tc>
          <w:tcPr>
            <w:tcW w:w="246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198,367.14</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26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土地使用税</w:t>
            </w:r>
          </w:p>
        </w:tc>
        <w:tc>
          <w:tcPr>
            <w:tcW w:w="246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1,560,422.75</w:t>
            </w:r>
          </w:p>
        </w:tc>
        <w:tc>
          <w:tcPr>
            <w:tcW w:w="246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1,609,267.60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26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个人所得税</w:t>
            </w:r>
          </w:p>
        </w:tc>
        <w:tc>
          <w:tcPr>
            <w:tcW w:w="246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42,880,058.75</w:t>
            </w:r>
          </w:p>
        </w:tc>
        <w:tc>
          <w:tcPr>
            <w:tcW w:w="246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49,873,173.92</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26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教育费附加</w:t>
            </w:r>
          </w:p>
        </w:tc>
        <w:tc>
          <w:tcPr>
            <w:tcW w:w="246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4,743,364.61</w:t>
            </w:r>
          </w:p>
        </w:tc>
        <w:tc>
          <w:tcPr>
            <w:tcW w:w="246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4,426,593.31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26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库区基金及水资源费</w:t>
            </w:r>
          </w:p>
        </w:tc>
        <w:tc>
          <w:tcPr>
            <w:tcW w:w="246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47,518,888.85</w:t>
            </w:r>
          </w:p>
        </w:tc>
        <w:tc>
          <w:tcPr>
            <w:tcW w:w="246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84,288,821.71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26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其他税费</w:t>
            </w:r>
          </w:p>
        </w:tc>
        <w:tc>
          <w:tcPr>
            <w:tcW w:w="246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153,815,647.39</w:t>
            </w:r>
          </w:p>
        </w:tc>
        <w:tc>
          <w:tcPr>
            <w:tcW w:w="246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25,504,263.70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266"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246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727,459,737.58</w:t>
            </w:r>
          </w:p>
        </w:tc>
        <w:tc>
          <w:tcPr>
            <w:tcW w:w="246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813,779,058.04</w:t>
            </w:r>
          </w:p>
        </w:tc>
      </w:tr>
    </w:tbl>
    <w:p>
      <w:pPr>
        <w:pStyle w:val="38"/>
        <w:rPr>
          <w:rFonts w:hint="eastAsia" w:eastAsiaTheme="minorEastAsia"/>
          <w:color w:val="auto"/>
          <w:highlight w:val="none"/>
        </w:rPr>
      </w:pPr>
      <w:r>
        <w:rPr>
          <w:rFonts w:eastAsiaTheme="minorEastAsia"/>
          <w:color w:val="auto"/>
          <w:highlight w:val="none"/>
        </w:rPr>
        <w:fldChar w:fldCharType="end"/>
      </w:r>
    </w:p>
    <w:p>
      <w:pPr>
        <w:pStyle w:val="38"/>
        <w:rPr>
          <w:rFonts w:hint="eastAsia" w:eastAsiaTheme="minorEastAsia"/>
          <w:color w:val="auto"/>
          <w:highlight w:val="none"/>
        </w:rPr>
      </w:pPr>
    </w:p>
    <w:p>
      <w:pPr>
        <w:pStyle w:val="38"/>
        <w:rPr>
          <w:rFonts w:eastAsiaTheme="minorEastAsia"/>
          <w:color w:val="auto"/>
          <w:highlight w:val="none"/>
        </w:rPr>
      </w:pPr>
    </w:p>
    <w:p>
      <w:pPr>
        <w:pStyle w:val="37"/>
        <w:rPr>
          <w:color w:val="auto"/>
          <w:highlight w:val="none"/>
        </w:rPr>
      </w:pPr>
      <w:r>
        <w:rPr>
          <w:color w:val="auto"/>
          <w:highlight w:val="none"/>
        </w:rPr>
        <w:t>其他应付款</w:t>
      </w:r>
    </w:p>
    <w:p>
      <w:pPr>
        <w:pStyle w:val="38"/>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LINK Excel.SheetMacroEnabled.12 "D:\\vsWorkspace\\branches\\20180822\\StandardTemplateTool\\template\\SASAC\\Frame\\201812\\SASACFinancialReports.xlsm" "合并附注!其他应付款总表" \f 4 \h \* MERGEFORMAT </w:instrText>
      </w:r>
      <w:r>
        <w:rPr>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3692"/>
        <w:gridCol w:w="2305"/>
        <w:gridCol w:w="2191"/>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3692"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230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c>
          <w:tcPr>
            <w:tcW w:w="219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9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应付利息</w:t>
            </w:r>
          </w:p>
        </w:tc>
        <w:tc>
          <w:tcPr>
            <w:tcW w:w="23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21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9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应付股利</w:t>
            </w:r>
          </w:p>
        </w:tc>
        <w:tc>
          <w:tcPr>
            <w:tcW w:w="23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12,413,462.89</w:t>
            </w:r>
          </w:p>
        </w:tc>
        <w:tc>
          <w:tcPr>
            <w:tcW w:w="21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7,408,138.55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9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其他应付款项</w:t>
            </w:r>
          </w:p>
        </w:tc>
        <w:tc>
          <w:tcPr>
            <w:tcW w:w="23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2,730,439,757.05</w:t>
            </w:r>
          </w:p>
        </w:tc>
        <w:tc>
          <w:tcPr>
            <w:tcW w:w="21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2,290,027,818.28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92"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23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2,742,853,219.94</w:t>
            </w:r>
          </w:p>
        </w:tc>
        <w:tc>
          <w:tcPr>
            <w:tcW w:w="21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2,297,435,956.83</w:t>
            </w:r>
          </w:p>
        </w:tc>
      </w:tr>
    </w:tbl>
    <w:p>
      <w:pPr>
        <w:pStyle w:val="38"/>
        <w:rPr>
          <w:color w:val="auto"/>
          <w:highlight w:val="none"/>
        </w:rPr>
      </w:pPr>
      <w:r>
        <w:rPr>
          <w:color w:val="auto"/>
          <w:highlight w:val="none"/>
        </w:rPr>
        <w:fldChar w:fldCharType="end"/>
      </w:r>
    </w:p>
    <w:p>
      <w:pPr>
        <w:pStyle w:val="44"/>
        <w:rPr>
          <w:color w:val="auto"/>
          <w:highlight w:val="none"/>
        </w:rPr>
      </w:pPr>
      <w:r>
        <w:rPr>
          <w:color w:val="auto"/>
          <w:highlight w:val="none"/>
        </w:rPr>
        <w:t>应付股利</w:t>
      </w:r>
    </w:p>
    <w:p>
      <w:pPr>
        <w:pStyle w:val="35"/>
        <w:rPr>
          <w:color w:val="auto"/>
          <w:szCs w:val="22"/>
          <w:highlight w:val="none"/>
        </w:rPr>
      </w:pPr>
      <w:r>
        <w:rPr>
          <w:b/>
          <w:color w:val="auto"/>
          <w:highlight w:val="none"/>
        </w:rPr>
        <w:fldChar w:fldCharType="begin"/>
      </w:r>
      <w:r>
        <w:rPr>
          <w:color w:val="auto"/>
          <w:highlight w:val="none"/>
        </w:rPr>
        <w:instrText xml:space="preserve"> LINK Excel.Sheet.12 E:\\雍\\附注排版\\2014年年报格式\\附注过渡表20150130V0910.xlsx</w:instrText>
      </w:r>
      <w:r>
        <w:rPr>
          <w:rFonts w:hint="eastAsia"/>
          <w:color w:val="auto"/>
          <w:highlight w:val="none"/>
        </w:rPr>
        <w:instrText xml:space="preserve"> 合并附注</w:instrText>
      </w:r>
      <w:r>
        <w:rPr>
          <w:color w:val="auto"/>
          <w:highlight w:val="none"/>
        </w:rPr>
        <w:instrText xml:space="preserve">!应付股利 \f 4 \h \* MERGEFORMAT </w:instrText>
      </w:r>
      <w:r>
        <w:rPr>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3378"/>
        <w:gridCol w:w="2376"/>
        <w:gridCol w:w="2434"/>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337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2376"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c>
          <w:tcPr>
            <w:tcW w:w="2434"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8"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普通股股利</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12,413,462.89</w:t>
            </w:r>
          </w:p>
        </w:tc>
        <w:tc>
          <w:tcPr>
            <w:tcW w:w="243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7,408,138.55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12,413,462.89</w:t>
            </w:r>
          </w:p>
        </w:tc>
        <w:tc>
          <w:tcPr>
            <w:tcW w:w="243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7,408,138.55</w:t>
            </w:r>
          </w:p>
        </w:tc>
      </w:tr>
    </w:tbl>
    <w:p>
      <w:pPr>
        <w:pStyle w:val="35"/>
        <w:rPr>
          <w:color w:val="auto"/>
          <w:highlight w:val="none"/>
        </w:rPr>
      </w:pPr>
      <w:r>
        <w:rPr>
          <w:color w:val="auto"/>
          <w:highlight w:val="none"/>
        </w:rPr>
        <w:fldChar w:fldCharType="end"/>
      </w:r>
    </w:p>
    <w:p>
      <w:pPr>
        <w:pStyle w:val="44"/>
        <w:rPr>
          <w:color w:val="auto"/>
          <w:highlight w:val="none"/>
        </w:rPr>
      </w:pPr>
      <w:r>
        <w:rPr>
          <w:color w:val="auto"/>
          <w:highlight w:val="none"/>
        </w:rPr>
        <w:t>其他应付款</w:t>
      </w:r>
      <w:r>
        <w:rPr>
          <w:rFonts w:hint="eastAsia"/>
          <w:color w:val="auto"/>
          <w:highlight w:val="none"/>
        </w:rPr>
        <w:t>项</w:t>
      </w:r>
    </w:p>
    <w:p>
      <w:pPr>
        <w:pStyle w:val="35"/>
        <w:rPr>
          <w:color w:val="auto"/>
          <w:highlight w:val="none"/>
        </w:rPr>
      </w:pPr>
      <w:r>
        <w:rPr>
          <w:rFonts w:hint="eastAsia"/>
          <w:color w:val="auto"/>
          <w:highlight w:val="none"/>
        </w:rPr>
        <w:t>（1）</w:t>
      </w:r>
      <w:r>
        <w:rPr>
          <w:color w:val="auto"/>
          <w:highlight w:val="none"/>
        </w:rPr>
        <w:t>按款项性质列示其他应付款</w:t>
      </w:r>
      <w:r>
        <w:rPr>
          <w:rFonts w:hint="eastAsia"/>
          <w:color w:val="auto"/>
          <w:highlight w:val="none"/>
        </w:rPr>
        <w:t>项</w:t>
      </w:r>
    </w:p>
    <w:p>
      <w:pPr>
        <w:pStyle w:val="35"/>
        <w:rPr>
          <w:rFonts w:eastAsiaTheme="minorEastAsia"/>
          <w:color w:val="auto"/>
          <w:highlight w:val="none"/>
        </w:rPr>
      </w:pPr>
      <w:r>
        <w:rPr>
          <w:rFonts w:eastAsiaTheme="minorEastAsia"/>
          <w:b/>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!其他应付款 \f 4 \h \* MERGEFORMAT </w:instrText>
      </w:r>
      <w:r>
        <w:rPr>
          <w:rFonts w:eastAsiaTheme="minorEastAsia"/>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3375"/>
        <w:gridCol w:w="2378"/>
        <w:gridCol w:w="2435"/>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337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237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c>
          <w:tcPr>
            <w:tcW w:w="243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信用证融资</w:t>
            </w:r>
          </w:p>
        </w:tc>
        <w:tc>
          <w:tcPr>
            <w:tcW w:w="2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1,616,447,212.13</w:t>
            </w:r>
          </w:p>
        </w:tc>
        <w:tc>
          <w:tcPr>
            <w:tcW w:w="243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922,007,229.03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质保金、保证金、押金</w:t>
            </w:r>
          </w:p>
        </w:tc>
        <w:tc>
          <w:tcPr>
            <w:tcW w:w="2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667,952,935.45</w:t>
            </w:r>
          </w:p>
        </w:tc>
        <w:tc>
          <w:tcPr>
            <w:tcW w:w="243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648,033,254.74</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工程及设备款</w:t>
            </w:r>
          </w:p>
        </w:tc>
        <w:tc>
          <w:tcPr>
            <w:tcW w:w="2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209,205,791.51</w:t>
            </w:r>
          </w:p>
        </w:tc>
        <w:tc>
          <w:tcPr>
            <w:tcW w:w="243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296,334,123.22</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往来款</w:t>
            </w:r>
          </w:p>
        </w:tc>
        <w:tc>
          <w:tcPr>
            <w:tcW w:w="2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218,333,834.94</w:t>
            </w:r>
          </w:p>
        </w:tc>
        <w:tc>
          <w:tcPr>
            <w:tcW w:w="243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391,307,221.16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职工社保费用</w:t>
            </w:r>
          </w:p>
        </w:tc>
        <w:tc>
          <w:tcPr>
            <w:tcW w:w="2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12,914,762.53</w:t>
            </w:r>
          </w:p>
        </w:tc>
        <w:tc>
          <w:tcPr>
            <w:tcW w:w="243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12,121,172.73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碳排放权交易</w:t>
            </w:r>
          </w:p>
        </w:tc>
        <w:tc>
          <w:tcPr>
            <w:tcW w:w="2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243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13,473,131.13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其他</w:t>
            </w:r>
          </w:p>
        </w:tc>
        <w:tc>
          <w:tcPr>
            <w:tcW w:w="2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5,585,220.49</w:t>
            </w:r>
          </w:p>
        </w:tc>
        <w:tc>
          <w:tcPr>
            <w:tcW w:w="243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6,751,686.27</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2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2,730,439,757.05</w:t>
            </w:r>
          </w:p>
        </w:tc>
        <w:tc>
          <w:tcPr>
            <w:tcW w:w="243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2,290,027,818.28</w:t>
            </w:r>
          </w:p>
        </w:tc>
      </w:tr>
    </w:tbl>
    <w:p>
      <w:pPr>
        <w:pStyle w:val="35"/>
        <w:rPr>
          <w:rFonts w:eastAsiaTheme="minorEastAsia"/>
          <w:color w:val="auto"/>
          <w:highlight w:val="none"/>
        </w:rPr>
      </w:pPr>
      <w:r>
        <w:rPr>
          <w:rFonts w:eastAsiaTheme="minorEastAsia"/>
          <w:color w:val="auto"/>
          <w:highlight w:val="none"/>
        </w:rPr>
        <w:fldChar w:fldCharType="end"/>
      </w:r>
    </w:p>
    <w:p>
      <w:pPr>
        <w:pStyle w:val="35"/>
        <w:rPr>
          <w:color w:val="auto"/>
          <w:highlight w:val="none"/>
        </w:rPr>
      </w:pPr>
      <w:r>
        <w:rPr>
          <w:rFonts w:hint="eastAsia"/>
          <w:color w:val="auto"/>
          <w:highlight w:val="none"/>
        </w:rPr>
        <w:t>（2）</w:t>
      </w:r>
      <w:r>
        <w:rPr>
          <w:color w:val="auto"/>
          <w:highlight w:val="none"/>
        </w:rPr>
        <w:t>账龄超过一年的重要其他应付款</w:t>
      </w:r>
      <w:r>
        <w:rPr>
          <w:rFonts w:hint="eastAsia"/>
          <w:color w:val="auto"/>
          <w:highlight w:val="none"/>
        </w:rPr>
        <w:t>项</w:t>
      </w:r>
    </w:p>
    <w:p>
      <w:pPr>
        <w:pStyle w:val="35"/>
        <w:rPr>
          <w:rFonts w:eastAsiaTheme="minorEastAsia"/>
          <w:color w:val="auto"/>
          <w:highlight w:val="none"/>
        </w:rPr>
      </w:pPr>
      <w:r>
        <w:rPr>
          <w:rFonts w:eastAsiaTheme="minorEastAsia"/>
          <w:b/>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!其他应付款1 \f 4 \h \* MERGEFORMAT </w:instrText>
      </w:r>
      <w:r>
        <w:rPr>
          <w:rFonts w:eastAsiaTheme="minorEastAsia"/>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3375"/>
        <w:gridCol w:w="2378"/>
        <w:gridCol w:w="2435"/>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337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债权单位名称</w:t>
            </w:r>
          </w:p>
        </w:tc>
        <w:tc>
          <w:tcPr>
            <w:tcW w:w="237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c>
          <w:tcPr>
            <w:tcW w:w="243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未偿还原因</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新源智储能源发展（北京）有限公司</w:t>
            </w:r>
          </w:p>
        </w:tc>
        <w:tc>
          <w:tcPr>
            <w:tcW w:w="2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90,974,040.00</w:t>
            </w:r>
          </w:p>
        </w:tc>
        <w:tc>
          <w:tcPr>
            <w:tcW w:w="243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质保金未到期</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贵州钟山野马寨热电有限责任公司</w:t>
            </w:r>
          </w:p>
        </w:tc>
        <w:tc>
          <w:tcPr>
            <w:tcW w:w="2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68,044,562.99</w:t>
            </w:r>
          </w:p>
        </w:tc>
        <w:tc>
          <w:tcPr>
            <w:tcW w:w="243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尚未结算</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阳光电源股份有限公司</w:t>
            </w:r>
          </w:p>
        </w:tc>
        <w:tc>
          <w:tcPr>
            <w:tcW w:w="2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33,023,784.91</w:t>
            </w:r>
          </w:p>
        </w:tc>
        <w:tc>
          <w:tcPr>
            <w:tcW w:w="243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往来款、质保金，未到偿付期</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苏州协鑫新能源投资有限公司</w:t>
            </w:r>
          </w:p>
        </w:tc>
        <w:tc>
          <w:tcPr>
            <w:tcW w:w="2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29,851,692.14</w:t>
            </w:r>
          </w:p>
        </w:tc>
        <w:tc>
          <w:tcPr>
            <w:tcW w:w="243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往来款，未到偿付期</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2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221,894,080.04</w:t>
            </w:r>
          </w:p>
        </w:tc>
        <w:tc>
          <w:tcPr>
            <w:tcW w:w="243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r>
    </w:tbl>
    <w:p>
      <w:pPr>
        <w:pStyle w:val="35"/>
        <w:rPr>
          <w:rFonts w:eastAsiaTheme="minorEastAsia"/>
          <w:color w:val="auto"/>
          <w:highlight w:val="none"/>
        </w:rPr>
      </w:pPr>
      <w:r>
        <w:rPr>
          <w:rFonts w:eastAsiaTheme="minorEastAsia"/>
          <w:color w:val="auto"/>
          <w:highlight w:val="none"/>
        </w:rPr>
        <w:fldChar w:fldCharType="end"/>
      </w:r>
    </w:p>
    <w:p>
      <w:pPr>
        <w:pStyle w:val="37"/>
        <w:rPr>
          <w:rFonts w:eastAsiaTheme="minorEastAsia"/>
          <w:color w:val="auto"/>
          <w:highlight w:val="none"/>
        </w:rPr>
      </w:pPr>
      <w:r>
        <w:rPr>
          <w:rFonts w:eastAsiaTheme="minorEastAsia"/>
          <w:color w:val="auto"/>
          <w:highlight w:val="none"/>
        </w:rPr>
        <w:t>一年内到期的非流动负债</w:t>
      </w:r>
    </w:p>
    <w:p>
      <w:pPr>
        <w:pStyle w:val="38"/>
        <w:rPr>
          <w:rFonts w:eastAsiaTheme="minorEastAsia"/>
          <w:color w:val="auto"/>
          <w:szCs w:val="22"/>
          <w:highlight w:val="none"/>
        </w:rPr>
      </w:pPr>
      <w:r>
        <w:rPr>
          <w:rFonts w:eastAsiaTheme="minorEastAsia"/>
          <w:color w:val="auto"/>
          <w:highlight w:val="none"/>
          <w:shd w:val="clear" w:color="auto" w:fill="CCFFFF"/>
        </w:rPr>
        <w:fldChar w:fldCharType="begin"/>
      </w:r>
      <w:r>
        <w:rPr>
          <w:rFonts w:eastAsiaTheme="minorEastAsia"/>
          <w:color w:val="auto"/>
          <w:highlight w:val="none"/>
          <w:shd w:val="clear" w:color="auto" w:fill="CCFFFF"/>
        </w:rPr>
        <w:instrText xml:space="preserve"> LINK Excel.Sheet.12 E:\\雍\\附注排版\\2014年年报格式\\附注过渡表20150130V0910.xlsx</w:instrText>
      </w:r>
      <w:r>
        <w:rPr>
          <w:rFonts w:hint="eastAsia" w:eastAsiaTheme="minorEastAsia"/>
          <w:color w:val="auto"/>
          <w:highlight w:val="none"/>
          <w:shd w:val="clear" w:color="auto" w:fill="CCFFFF"/>
        </w:rPr>
        <w:instrText xml:space="preserve"> </w:instrText>
      </w:r>
      <w:r>
        <w:rPr>
          <w:rFonts w:hint="eastAsia" w:eastAsiaTheme="minorEastAsia"/>
          <w:color w:val="auto"/>
          <w:highlight w:val="none"/>
        </w:rPr>
        <w:instrText xml:space="preserve">合并附注</w:instrText>
      </w:r>
      <w:r>
        <w:rPr>
          <w:rFonts w:eastAsiaTheme="minorEastAsia"/>
          <w:color w:val="auto"/>
          <w:highlight w:val="none"/>
          <w:shd w:val="clear" w:color="auto" w:fill="CCFFFF"/>
        </w:rPr>
        <w:instrText xml:space="preserve">!一年内到期的非流动负债 \f 4 \h \* MERGEFORMAT </w:instrText>
      </w:r>
      <w:r>
        <w:rPr>
          <w:rFonts w:eastAsiaTheme="minorEastAsia"/>
          <w:color w:val="auto"/>
          <w:highlight w:val="none"/>
          <w:shd w:val="clear" w:color="auto" w:fill="CCFFFF"/>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3375"/>
        <w:gridCol w:w="2378"/>
        <w:gridCol w:w="2435"/>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337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237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c>
          <w:tcPr>
            <w:tcW w:w="243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1年内到期的长期借款</w:t>
            </w:r>
          </w:p>
        </w:tc>
        <w:tc>
          <w:tcPr>
            <w:tcW w:w="2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5,097,928,578.12</w:t>
            </w:r>
          </w:p>
        </w:tc>
        <w:tc>
          <w:tcPr>
            <w:tcW w:w="243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5,336,251,692.32</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1年内到期的长期应付款</w:t>
            </w:r>
          </w:p>
        </w:tc>
        <w:tc>
          <w:tcPr>
            <w:tcW w:w="2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1,597,226,194.34</w:t>
            </w:r>
          </w:p>
        </w:tc>
        <w:tc>
          <w:tcPr>
            <w:tcW w:w="243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930,779,471.33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1年内到期的租赁负债</w:t>
            </w:r>
          </w:p>
        </w:tc>
        <w:tc>
          <w:tcPr>
            <w:tcW w:w="2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213,264,037.14</w:t>
            </w:r>
          </w:p>
        </w:tc>
        <w:tc>
          <w:tcPr>
            <w:tcW w:w="243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456,001,279.47</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2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6,908,418,809.60</w:t>
            </w:r>
          </w:p>
        </w:tc>
        <w:tc>
          <w:tcPr>
            <w:tcW w:w="243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6,723,032,443.12</w:t>
            </w:r>
          </w:p>
        </w:tc>
      </w:tr>
    </w:tbl>
    <w:p>
      <w:pPr>
        <w:pStyle w:val="38"/>
        <w:rPr>
          <w:rFonts w:eastAsiaTheme="minorEastAsia"/>
          <w:color w:val="auto"/>
          <w:highlight w:val="none"/>
        </w:rPr>
      </w:pPr>
      <w:r>
        <w:rPr>
          <w:rFonts w:eastAsiaTheme="minorEastAsia"/>
          <w:color w:val="auto"/>
          <w:highlight w:val="none"/>
          <w:shd w:val="clear" w:color="auto" w:fill="CCFFFF"/>
        </w:rPr>
        <w:fldChar w:fldCharType="end"/>
      </w:r>
    </w:p>
    <w:p>
      <w:pPr>
        <w:pStyle w:val="37"/>
        <w:rPr>
          <w:rFonts w:eastAsiaTheme="minorEastAsia"/>
          <w:color w:val="auto"/>
          <w:highlight w:val="none"/>
        </w:rPr>
      </w:pPr>
      <w:r>
        <w:rPr>
          <w:rFonts w:eastAsiaTheme="minorEastAsia"/>
          <w:color w:val="auto"/>
          <w:highlight w:val="none"/>
        </w:rPr>
        <w:t>其他流动负债</w:t>
      </w:r>
    </w:p>
    <w:p>
      <w:pPr>
        <w:pStyle w:val="38"/>
        <w:rPr>
          <w:rFonts w:eastAsiaTheme="minorEastAsia"/>
          <w:color w:val="auto"/>
          <w:szCs w:val="22"/>
          <w:highlight w:val="none"/>
        </w:rPr>
      </w:pPr>
      <w:r>
        <w:rPr>
          <w:rFonts w:eastAsiaTheme="minorEastAsia"/>
          <w:b/>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!其他流动负债 \f 4 \h \* MERGEFORMAT </w:instrText>
      </w:r>
      <w:r>
        <w:rPr>
          <w:rFonts w:eastAsiaTheme="minorEastAsia"/>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3375"/>
        <w:gridCol w:w="2406"/>
        <w:gridCol w:w="2407"/>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337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2406"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c>
          <w:tcPr>
            <w:tcW w:w="240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非金融机构短期借款</w:t>
            </w:r>
          </w:p>
        </w:tc>
        <w:tc>
          <w:tcPr>
            <w:tcW w:w="240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240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185,000,000.00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240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240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185,000,000.00</w:t>
            </w:r>
          </w:p>
        </w:tc>
      </w:tr>
    </w:tbl>
    <w:p>
      <w:pPr>
        <w:pStyle w:val="38"/>
        <w:rPr>
          <w:rFonts w:eastAsiaTheme="minorEastAsia"/>
          <w:color w:val="auto"/>
          <w:highlight w:val="none"/>
        </w:rPr>
      </w:pPr>
      <w:r>
        <w:rPr>
          <w:rFonts w:eastAsiaTheme="minorEastAsia"/>
          <w:color w:val="auto"/>
          <w:highlight w:val="none"/>
        </w:rPr>
        <w:fldChar w:fldCharType="end"/>
      </w:r>
    </w:p>
    <w:p>
      <w:pPr>
        <w:pStyle w:val="37"/>
        <w:rPr>
          <w:color w:val="auto"/>
          <w:highlight w:val="none"/>
        </w:rPr>
      </w:pPr>
      <w:r>
        <w:rPr>
          <w:color w:val="auto"/>
          <w:highlight w:val="none"/>
        </w:rPr>
        <w:t>长期借款</w:t>
      </w:r>
    </w:p>
    <w:p>
      <w:pPr>
        <w:pStyle w:val="38"/>
        <w:rPr>
          <w:color w:val="auto"/>
          <w:highlight w:val="none"/>
        </w:rPr>
      </w:pPr>
      <w:r>
        <w:rPr>
          <w:b/>
          <w:bCs/>
          <w:color w:val="auto"/>
          <w:highlight w:val="none"/>
        </w:rPr>
        <w:fldChar w:fldCharType="begin"/>
      </w:r>
      <w:r>
        <w:rPr>
          <w:color w:val="auto"/>
          <w:highlight w:val="none"/>
        </w:rPr>
        <w:instrText xml:space="preserve"> LINK Excel.Sheet.12 E:\\雍\\附注排版\\2014年年报格式\\附注过渡表20150130V0910.xlsx</w:instrText>
      </w:r>
      <w:r>
        <w:rPr>
          <w:rFonts w:hint="eastAsia"/>
          <w:color w:val="auto"/>
          <w:highlight w:val="none"/>
        </w:rPr>
        <w:instrText xml:space="preserve"> </w:instrText>
      </w:r>
      <w:r>
        <w:rPr>
          <w:rFonts w:hint="eastAsia" w:eastAsiaTheme="minorEastAsia"/>
          <w:color w:val="auto"/>
          <w:highlight w:val="none"/>
        </w:rPr>
        <w:instrText xml:space="preserve">合并附注</w:instrText>
      </w:r>
      <w:r>
        <w:rPr>
          <w:color w:val="auto"/>
          <w:highlight w:val="none"/>
        </w:rPr>
        <w:instrText xml:space="preserve">!长期借款 \f 4 \h \* MERGEFORMAT </w:instrText>
      </w:r>
      <w:r>
        <w:rPr>
          <w:b/>
          <w:bCs/>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1645"/>
        <w:gridCol w:w="1684"/>
        <w:gridCol w:w="1684"/>
        <w:gridCol w:w="3175"/>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64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1684"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c>
          <w:tcPr>
            <w:tcW w:w="1684"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w:t>
            </w:r>
          </w:p>
        </w:tc>
        <w:tc>
          <w:tcPr>
            <w:tcW w:w="317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期末利率区间（%）</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4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信用借款</w:t>
            </w:r>
          </w:p>
        </w:tc>
        <w:tc>
          <w:tcPr>
            <w:tcW w:w="168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14,840,036,661.04</w:t>
            </w:r>
          </w:p>
        </w:tc>
        <w:tc>
          <w:tcPr>
            <w:tcW w:w="168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12,459,415,850.50</w:t>
            </w:r>
          </w:p>
        </w:tc>
        <w:tc>
          <w:tcPr>
            <w:tcW w:w="317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2.15-5.00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4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质押借款</w:t>
            </w:r>
          </w:p>
        </w:tc>
        <w:tc>
          <w:tcPr>
            <w:tcW w:w="168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13,523,467,501.11</w:t>
            </w:r>
          </w:p>
        </w:tc>
        <w:tc>
          <w:tcPr>
            <w:tcW w:w="168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13,223,765,433.00</w:t>
            </w:r>
          </w:p>
        </w:tc>
        <w:tc>
          <w:tcPr>
            <w:tcW w:w="317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2.05-3.50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4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保证借款</w:t>
            </w:r>
          </w:p>
        </w:tc>
        <w:tc>
          <w:tcPr>
            <w:tcW w:w="168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125,209,611.11</w:t>
            </w:r>
          </w:p>
        </w:tc>
        <w:tc>
          <w:tcPr>
            <w:tcW w:w="168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308,314,611.11</w:t>
            </w:r>
          </w:p>
        </w:tc>
        <w:tc>
          <w:tcPr>
            <w:tcW w:w="317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2.76-3.5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4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抵押借款</w:t>
            </w:r>
          </w:p>
        </w:tc>
        <w:tc>
          <w:tcPr>
            <w:tcW w:w="168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8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579,717,302.67</w:t>
            </w:r>
          </w:p>
        </w:tc>
        <w:tc>
          <w:tcPr>
            <w:tcW w:w="317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2.77-3.5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4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168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28,488,713,773.26</w:t>
            </w:r>
          </w:p>
        </w:tc>
        <w:tc>
          <w:tcPr>
            <w:tcW w:w="168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26,571,213,197.28</w:t>
            </w:r>
          </w:p>
        </w:tc>
        <w:tc>
          <w:tcPr>
            <w:tcW w:w="317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r>
    </w:tbl>
    <w:p>
      <w:pPr>
        <w:pStyle w:val="38"/>
        <w:rPr>
          <w:rFonts w:eastAsiaTheme="minorEastAsia"/>
          <w:color w:val="auto"/>
          <w:highlight w:val="none"/>
        </w:rPr>
      </w:pPr>
      <w:r>
        <w:rPr>
          <w:color w:val="auto"/>
          <w:highlight w:val="none"/>
        </w:rPr>
        <w:fldChar w:fldCharType="end"/>
      </w:r>
    </w:p>
    <w:p>
      <w:pPr>
        <w:pStyle w:val="37"/>
        <w:rPr>
          <w:color w:val="auto"/>
          <w:highlight w:val="none"/>
        </w:rPr>
      </w:pPr>
      <w:r>
        <w:rPr>
          <w:rFonts w:hint="eastAsia"/>
          <w:color w:val="auto"/>
          <w:highlight w:val="none"/>
        </w:rPr>
        <w:t>租赁负债</w:t>
      </w:r>
    </w:p>
    <w:p>
      <w:pPr>
        <w:pStyle w:val="35"/>
        <w:rPr>
          <w:rFonts w:asciiTheme="minorHAnsi" w:hAnsiTheme="minorHAnsi" w:eastAsiaTheme="minorEastAsia" w:cstheme="minorBidi"/>
          <w:color w:val="auto"/>
          <w:highlight w:val="none"/>
        </w:rPr>
      </w:pPr>
      <w:r>
        <w:rPr>
          <w:color w:val="auto"/>
          <w:highlight w:val="none"/>
        </w:rPr>
        <w:fldChar w:fldCharType="begin"/>
      </w:r>
      <w:r>
        <w:rPr>
          <w:color w:val="auto"/>
          <w:highlight w:val="none"/>
        </w:rPr>
        <w:instrText xml:space="preserve"> LINK Excel.Sheet.12 "D:\\work\\20190430\\StandardTemplateTool\\template\\SASAC\\Frame\\201912\\SASACFinancialReports.xlsx" "合并附注!租赁负债" \f 4 \h \* MERGEFORMAT </w:instrText>
      </w:r>
      <w:r>
        <w:rPr>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3692"/>
        <w:gridCol w:w="2305"/>
        <w:gridCol w:w="2191"/>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3692"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230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c>
          <w:tcPr>
            <w:tcW w:w="219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9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租赁付款额</w:t>
            </w:r>
          </w:p>
        </w:tc>
        <w:tc>
          <w:tcPr>
            <w:tcW w:w="23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1,900,494,375.84</w:t>
            </w:r>
          </w:p>
        </w:tc>
        <w:tc>
          <w:tcPr>
            <w:tcW w:w="21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2,292,156,750.74</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9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减：未确认的融资费用</w:t>
            </w:r>
          </w:p>
        </w:tc>
        <w:tc>
          <w:tcPr>
            <w:tcW w:w="23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346,247,318.56</w:t>
            </w:r>
          </w:p>
        </w:tc>
        <w:tc>
          <w:tcPr>
            <w:tcW w:w="21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438,316,346.95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9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重分类至一年内到期的非流动负债</w:t>
            </w:r>
          </w:p>
        </w:tc>
        <w:tc>
          <w:tcPr>
            <w:tcW w:w="23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213,264,037.14</w:t>
            </w:r>
          </w:p>
        </w:tc>
        <w:tc>
          <w:tcPr>
            <w:tcW w:w="21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456,001,279.47</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9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租赁负债净额</w:t>
            </w:r>
          </w:p>
        </w:tc>
        <w:tc>
          <w:tcPr>
            <w:tcW w:w="23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1,340,983,020.14</w:t>
            </w:r>
          </w:p>
        </w:tc>
        <w:tc>
          <w:tcPr>
            <w:tcW w:w="21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1,397,839,124.32</w:t>
            </w:r>
          </w:p>
        </w:tc>
      </w:tr>
    </w:tbl>
    <w:p>
      <w:pPr>
        <w:pStyle w:val="35"/>
        <w:rPr>
          <w:color w:val="auto"/>
          <w:highlight w:val="none"/>
        </w:rPr>
      </w:pPr>
      <w:r>
        <w:rPr>
          <w:color w:val="auto"/>
          <w:highlight w:val="none"/>
        </w:rPr>
        <w:fldChar w:fldCharType="end"/>
      </w:r>
    </w:p>
    <w:p>
      <w:pPr>
        <w:pStyle w:val="37"/>
        <w:rPr>
          <w:rFonts w:eastAsiaTheme="minorEastAsia"/>
          <w:color w:val="auto"/>
          <w:highlight w:val="none"/>
        </w:rPr>
      </w:pPr>
      <w:r>
        <w:rPr>
          <w:rFonts w:eastAsiaTheme="minorEastAsia"/>
          <w:color w:val="auto"/>
          <w:highlight w:val="none"/>
        </w:rPr>
        <w:t>长期应付款</w:t>
      </w:r>
    </w:p>
    <w:p>
      <w:pPr>
        <w:pStyle w:val="38"/>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LINK Excel.SheetMacroEnabled.12 "D:\\vsWorkspace\\branches\\20180822\\StandardTemplateTool\\template\\SASAC\\Frame\\201812\\SASACFinancialReports.xlsm" "合并附注!长期应付款总表" \f 4 \h \* MERGEFORMAT </w:instrText>
      </w:r>
      <w:r>
        <w:rPr>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3692"/>
        <w:gridCol w:w="2305"/>
        <w:gridCol w:w="2191"/>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3692"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230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c>
          <w:tcPr>
            <w:tcW w:w="219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9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长期应付款</w:t>
            </w:r>
          </w:p>
        </w:tc>
        <w:tc>
          <w:tcPr>
            <w:tcW w:w="23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2,593,204,242.10</w:t>
            </w:r>
          </w:p>
        </w:tc>
        <w:tc>
          <w:tcPr>
            <w:tcW w:w="21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2,164,613,904.75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9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专项应付款</w:t>
            </w:r>
          </w:p>
        </w:tc>
        <w:tc>
          <w:tcPr>
            <w:tcW w:w="23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21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92"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230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2,593,204,242.10</w:t>
            </w:r>
          </w:p>
        </w:tc>
        <w:tc>
          <w:tcPr>
            <w:tcW w:w="219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2,164,613,904.75</w:t>
            </w:r>
          </w:p>
        </w:tc>
      </w:tr>
    </w:tbl>
    <w:p>
      <w:pPr>
        <w:pStyle w:val="38"/>
        <w:rPr>
          <w:color w:val="auto"/>
          <w:highlight w:val="none"/>
        </w:rPr>
      </w:pPr>
      <w:r>
        <w:rPr>
          <w:color w:val="auto"/>
          <w:highlight w:val="none"/>
        </w:rPr>
        <w:fldChar w:fldCharType="end"/>
      </w:r>
    </w:p>
    <w:p>
      <w:pPr>
        <w:pStyle w:val="44"/>
        <w:numPr>
          <w:ilvl w:val="0"/>
          <w:numId w:val="0"/>
        </w:numPr>
        <w:ind w:left="1276"/>
        <w:rPr>
          <w:color w:val="auto"/>
          <w:highlight w:val="none"/>
        </w:rPr>
      </w:pPr>
      <w:r>
        <w:rPr>
          <w:color w:val="auto"/>
          <w:highlight w:val="none"/>
        </w:rPr>
        <w:t>长期应付款</w:t>
      </w:r>
    </w:p>
    <w:p>
      <w:pPr>
        <w:pStyle w:val="35"/>
        <w:rPr>
          <w:b/>
          <w:color w:val="auto"/>
          <w:highlight w:val="none"/>
        </w:rPr>
      </w:pPr>
      <w:r>
        <w:rPr>
          <w:rFonts w:hint="eastAsia"/>
          <w:color w:val="auto"/>
          <w:highlight w:val="none"/>
        </w:rPr>
        <w:t>期末</w:t>
      </w:r>
      <w:r>
        <w:rPr>
          <w:color w:val="auto"/>
          <w:highlight w:val="none"/>
        </w:rPr>
        <w:t>余额最大的前5项：</w:t>
      </w:r>
    </w:p>
    <w:p>
      <w:pPr>
        <w:pStyle w:val="35"/>
        <w:rPr>
          <w:color w:val="auto"/>
          <w:highlight w:val="none"/>
        </w:rPr>
      </w:pPr>
      <w:r>
        <w:rPr>
          <w:b/>
          <w:color w:val="auto"/>
          <w:highlight w:val="none"/>
        </w:rPr>
        <w:fldChar w:fldCharType="begin"/>
      </w:r>
      <w:r>
        <w:rPr>
          <w:color w:val="auto"/>
          <w:highlight w:val="none"/>
        </w:rPr>
        <w:instrText xml:space="preserve"> LINK Excel.Sheet.12 E:\\雍\\附注排版\\2014年年报格式\\附注过渡表20150130V0910.xlsx</w:instrText>
      </w:r>
      <w:r>
        <w:rPr>
          <w:rFonts w:hint="eastAsia"/>
          <w:color w:val="auto"/>
          <w:highlight w:val="none"/>
        </w:rPr>
        <w:instrText xml:space="preserve"> 合并附注</w:instrText>
      </w:r>
      <w:r>
        <w:rPr>
          <w:color w:val="auto"/>
          <w:highlight w:val="none"/>
        </w:rPr>
        <w:instrText xml:space="preserve">!长期应付款 \f 4 \h \* MERGEFORMAT </w:instrText>
      </w:r>
      <w:r>
        <w:rPr>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3230"/>
        <w:gridCol w:w="2478"/>
        <w:gridCol w:w="2480"/>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3230"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247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c>
          <w:tcPr>
            <w:tcW w:w="2480"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230"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融资租赁款</w:t>
            </w:r>
          </w:p>
        </w:tc>
        <w:tc>
          <w:tcPr>
            <w:tcW w:w="24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2,455,027,107.38</w:t>
            </w:r>
          </w:p>
        </w:tc>
        <w:tc>
          <w:tcPr>
            <w:tcW w:w="248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2,029,425,905.99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230"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扶贫电站</w:t>
            </w:r>
          </w:p>
        </w:tc>
        <w:tc>
          <w:tcPr>
            <w:tcW w:w="24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133,797,941.72</w:t>
            </w:r>
          </w:p>
        </w:tc>
        <w:tc>
          <w:tcPr>
            <w:tcW w:w="248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135,088,972.22</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230"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其他</w:t>
            </w:r>
          </w:p>
        </w:tc>
        <w:tc>
          <w:tcPr>
            <w:tcW w:w="24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4,379,193.00</w:t>
            </w:r>
          </w:p>
        </w:tc>
        <w:tc>
          <w:tcPr>
            <w:tcW w:w="248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99,026.54</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230"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24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2,593,204,242.10</w:t>
            </w:r>
          </w:p>
        </w:tc>
        <w:tc>
          <w:tcPr>
            <w:tcW w:w="248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2,164,613,904.75</w:t>
            </w:r>
          </w:p>
        </w:tc>
      </w:tr>
    </w:tbl>
    <w:p>
      <w:pPr>
        <w:pStyle w:val="35"/>
        <w:rPr>
          <w:color w:val="auto"/>
          <w:highlight w:val="none"/>
        </w:rPr>
      </w:pPr>
      <w:r>
        <w:rPr>
          <w:color w:val="auto"/>
          <w:highlight w:val="none"/>
        </w:rPr>
        <w:fldChar w:fldCharType="end"/>
      </w:r>
    </w:p>
    <w:p>
      <w:pPr>
        <w:pStyle w:val="37"/>
        <w:rPr>
          <w:rFonts w:eastAsiaTheme="minorEastAsia"/>
          <w:color w:val="auto"/>
          <w:highlight w:val="none"/>
        </w:rPr>
      </w:pPr>
      <w:r>
        <w:rPr>
          <w:rFonts w:eastAsiaTheme="minorEastAsia"/>
          <w:color w:val="auto"/>
          <w:highlight w:val="none"/>
        </w:rPr>
        <w:t>长期应付职工薪酬</w:t>
      </w:r>
    </w:p>
    <w:p>
      <w:pPr>
        <w:pStyle w:val="38"/>
        <w:rPr>
          <w:color w:val="auto"/>
          <w:highlight w:val="none"/>
        </w:rPr>
      </w:pPr>
      <w:r>
        <w:rPr>
          <w:b/>
          <w:bCs/>
          <w:color w:val="auto"/>
          <w:highlight w:val="none"/>
        </w:rPr>
        <w:fldChar w:fldCharType="begin"/>
      </w:r>
      <w:r>
        <w:rPr>
          <w:color w:val="auto"/>
          <w:highlight w:val="none"/>
        </w:rPr>
        <w:instrText xml:space="preserve"> LINK Excel.Sheet.12 E:\\雍\\附注排版\\2014年年报格式\\附注过渡表20150130V0910.xlsx</w:instrText>
      </w:r>
      <w:r>
        <w:rPr>
          <w:rFonts w:hint="eastAsia"/>
          <w:color w:val="auto"/>
          <w:highlight w:val="none"/>
        </w:rPr>
        <w:instrText xml:space="preserve"> </w:instrText>
      </w:r>
      <w:r>
        <w:rPr>
          <w:rFonts w:hint="eastAsia" w:eastAsiaTheme="minorEastAsia"/>
          <w:color w:val="auto"/>
          <w:highlight w:val="none"/>
        </w:rPr>
        <w:instrText xml:space="preserve">合并附注</w:instrText>
      </w:r>
      <w:r>
        <w:rPr>
          <w:color w:val="auto"/>
          <w:highlight w:val="none"/>
        </w:rPr>
        <w:instrText xml:space="preserve">!长期应付职工薪酬 \f 4 \h \* MERGEFORMAT </w:instrText>
      </w:r>
      <w:r>
        <w:rPr>
          <w:b/>
          <w:bCs/>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2911"/>
        <w:gridCol w:w="1345"/>
        <w:gridCol w:w="1339"/>
        <w:gridCol w:w="1248"/>
        <w:gridCol w:w="1345"/>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291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134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w:t>
            </w:r>
          </w:p>
        </w:tc>
        <w:tc>
          <w:tcPr>
            <w:tcW w:w="1339"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本期增加</w:t>
            </w:r>
          </w:p>
        </w:tc>
        <w:tc>
          <w:tcPr>
            <w:tcW w:w="124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本期减少</w:t>
            </w:r>
          </w:p>
        </w:tc>
        <w:tc>
          <w:tcPr>
            <w:tcW w:w="134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911"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一、离职后福利-设定受益计划净负债</w:t>
            </w:r>
          </w:p>
        </w:tc>
        <w:tc>
          <w:tcPr>
            <w:tcW w:w="13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3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2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911"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二、辞退福利</w:t>
            </w:r>
          </w:p>
        </w:tc>
        <w:tc>
          <w:tcPr>
            <w:tcW w:w="13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15,385,092.24</w:t>
            </w:r>
          </w:p>
        </w:tc>
        <w:tc>
          <w:tcPr>
            <w:tcW w:w="133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29,411,657.12</w:t>
            </w:r>
          </w:p>
        </w:tc>
        <w:tc>
          <w:tcPr>
            <w:tcW w:w="12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2,917,944.58</w:t>
            </w:r>
          </w:p>
        </w:tc>
        <w:tc>
          <w:tcPr>
            <w:tcW w:w="13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41,878,804.78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911"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三、其他长期福利</w:t>
            </w:r>
          </w:p>
        </w:tc>
        <w:tc>
          <w:tcPr>
            <w:tcW w:w="13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3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2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91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13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15,385,092.24</w:t>
            </w:r>
          </w:p>
        </w:tc>
        <w:tc>
          <w:tcPr>
            <w:tcW w:w="133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29,411,657.12</w:t>
            </w:r>
          </w:p>
        </w:tc>
        <w:tc>
          <w:tcPr>
            <w:tcW w:w="12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2,917,944.58</w:t>
            </w:r>
          </w:p>
        </w:tc>
        <w:tc>
          <w:tcPr>
            <w:tcW w:w="13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41,878,804.78</w:t>
            </w:r>
          </w:p>
        </w:tc>
      </w:tr>
    </w:tbl>
    <w:p>
      <w:pPr>
        <w:pStyle w:val="38"/>
        <w:rPr>
          <w:rFonts w:eastAsiaTheme="minorEastAsia"/>
          <w:color w:val="auto"/>
          <w:highlight w:val="none"/>
        </w:rPr>
      </w:pPr>
      <w:r>
        <w:rPr>
          <w:color w:val="auto"/>
          <w:highlight w:val="none"/>
        </w:rPr>
        <w:fldChar w:fldCharType="end"/>
      </w:r>
    </w:p>
    <w:p>
      <w:pPr>
        <w:pStyle w:val="37"/>
        <w:rPr>
          <w:rFonts w:eastAsiaTheme="minorEastAsia"/>
          <w:color w:val="auto"/>
          <w:highlight w:val="none"/>
        </w:rPr>
      </w:pPr>
      <w:r>
        <w:rPr>
          <w:rFonts w:eastAsiaTheme="minorEastAsia"/>
          <w:color w:val="auto"/>
          <w:highlight w:val="none"/>
        </w:rPr>
        <w:t>预计负债</w:t>
      </w:r>
    </w:p>
    <w:p>
      <w:pPr>
        <w:pStyle w:val="38"/>
        <w:rPr>
          <w:rFonts w:eastAsiaTheme="minorEastAsia"/>
          <w:color w:val="auto"/>
          <w:highlight w:val="none"/>
        </w:rPr>
      </w:pPr>
      <w:r>
        <w:rPr>
          <w:rFonts w:eastAsiaTheme="minorEastAsia"/>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!预计负债 \f 4 \h \* MERGEFORMAT </w:instrText>
      </w:r>
      <w:r>
        <w:rPr>
          <w:rFonts w:eastAsiaTheme="minorEastAsia"/>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3225"/>
        <w:gridCol w:w="2481"/>
        <w:gridCol w:w="2482"/>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322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248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c>
          <w:tcPr>
            <w:tcW w:w="2482"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22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对外提供担保</w:t>
            </w:r>
          </w:p>
        </w:tc>
        <w:tc>
          <w:tcPr>
            <w:tcW w:w="248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59,704,138.99</w:t>
            </w:r>
          </w:p>
        </w:tc>
        <w:tc>
          <w:tcPr>
            <w:tcW w:w="248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59,926,138.99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22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248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59,704,138.99</w:t>
            </w:r>
          </w:p>
        </w:tc>
        <w:tc>
          <w:tcPr>
            <w:tcW w:w="248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59,926,138.99</w:t>
            </w:r>
          </w:p>
        </w:tc>
      </w:tr>
    </w:tbl>
    <w:p>
      <w:pPr>
        <w:pStyle w:val="38"/>
        <w:rPr>
          <w:rFonts w:eastAsiaTheme="minorEastAsia"/>
          <w:color w:val="auto"/>
          <w:highlight w:val="none"/>
        </w:rPr>
      </w:pPr>
      <w:r>
        <w:rPr>
          <w:rFonts w:eastAsiaTheme="minorEastAsia"/>
          <w:color w:val="auto"/>
          <w:highlight w:val="none"/>
        </w:rPr>
        <w:fldChar w:fldCharType="end"/>
      </w:r>
    </w:p>
    <w:p>
      <w:pPr>
        <w:pStyle w:val="37"/>
        <w:rPr>
          <w:rFonts w:eastAsiaTheme="minorEastAsia"/>
          <w:color w:val="auto"/>
          <w:highlight w:val="none"/>
        </w:rPr>
      </w:pPr>
      <w:r>
        <w:rPr>
          <w:rFonts w:eastAsiaTheme="minorEastAsia"/>
          <w:color w:val="auto"/>
          <w:highlight w:val="none"/>
        </w:rPr>
        <w:t>递延收益</w:t>
      </w:r>
    </w:p>
    <w:p>
      <w:pPr>
        <w:pStyle w:val="38"/>
        <w:rPr>
          <w:rFonts w:eastAsiaTheme="minorEastAsia"/>
          <w:color w:val="auto"/>
          <w:highlight w:val="none"/>
        </w:rPr>
      </w:pPr>
      <w:r>
        <w:rPr>
          <w:rFonts w:eastAsiaTheme="minorEastAsia"/>
          <w:b/>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!递延收益 \f 4 \h \* MERGEFORMAT </w:instrText>
      </w:r>
      <w:r>
        <w:rPr>
          <w:rFonts w:eastAsiaTheme="minorEastAsia"/>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1830"/>
        <w:gridCol w:w="1588"/>
        <w:gridCol w:w="1590"/>
        <w:gridCol w:w="1590"/>
        <w:gridCol w:w="1590"/>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830"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158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w:t>
            </w:r>
          </w:p>
        </w:tc>
        <w:tc>
          <w:tcPr>
            <w:tcW w:w="1590"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本期增加</w:t>
            </w:r>
          </w:p>
        </w:tc>
        <w:tc>
          <w:tcPr>
            <w:tcW w:w="1590"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本期减少</w:t>
            </w:r>
          </w:p>
        </w:tc>
        <w:tc>
          <w:tcPr>
            <w:tcW w:w="1590"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830"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政府补助</w:t>
            </w:r>
          </w:p>
        </w:tc>
        <w:tc>
          <w:tcPr>
            <w:tcW w:w="158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68,838,121.30</w:t>
            </w:r>
          </w:p>
        </w:tc>
        <w:tc>
          <w:tcPr>
            <w:tcW w:w="159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7,550,300.00</w:t>
            </w:r>
          </w:p>
        </w:tc>
        <w:tc>
          <w:tcPr>
            <w:tcW w:w="159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8,756,809.10</w:t>
            </w:r>
          </w:p>
        </w:tc>
        <w:tc>
          <w:tcPr>
            <w:tcW w:w="159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67,631,612.20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830"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158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68,838,121.30</w:t>
            </w:r>
          </w:p>
        </w:tc>
        <w:tc>
          <w:tcPr>
            <w:tcW w:w="159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7,550,300.00</w:t>
            </w:r>
          </w:p>
        </w:tc>
        <w:tc>
          <w:tcPr>
            <w:tcW w:w="159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8,756,809.10</w:t>
            </w:r>
          </w:p>
        </w:tc>
        <w:tc>
          <w:tcPr>
            <w:tcW w:w="159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67,631,612.20</w:t>
            </w:r>
          </w:p>
        </w:tc>
      </w:tr>
    </w:tbl>
    <w:p>
      <w:pPr>
        <w:pStyle w:val="38"/>
        <w:rPr>
          <w:rFonts w:eastAsiaTheme="minorEastAsia"/>
          <w:color w:val="auto"/>
          <w:highlight w:val="none"/>
        </w:rPr>
      </w:pPr>
      <w:r>
        <w:rPr>
          <w:rFonts w:eastAsiaTheme="minorEastAsia"/>
          <w:color w:val="auto"/>
          <w:highlight w:val="none"/>
        </w:rPr>
        <w:fldChar w:fldCharType="end"/>
      </w:r>
    </w:p>
    <w:p>
      <w:pPr>
        <w:pStyle w:val="38"/>
        <w:rPr>
          <w:rFonts w:eastAsiaTheme="minorEastAsia"/>
          <w:color w:val="auto"/>
          <w:szCs w:val="24"/>
          <w:highlight w:val="none"/>
        </w:rPr>
        <w:sectPr>
          <w:pgSz w:w="11907" w:h="16839"/>
          <w:pgMar w:top="1440" w:right="1797" w:bottom="1440" w:left="1797" w:header="680" w:footer="992" w:gutter="0"/>
          <w:cols w:space="425" w:num="1"/>
          <w:docGrid w:linePitch="312" w:charSpace="0"/>
        </w:sectPr>
      </w:pPr>
    </w:p>
    <w:p>
      <w:pPr>
        <w:pStyle w:val="38"/>
        <w:rPr>
          <w:rFonts w:eastAsiaTheme="minorEastAsia"/>
          <w:color w:val="auto"/>
          <w:highlight w:val="none"/>
        </w:rPr>
      </w:pPr>
      <w:r>
        <w:rPr>
          <w:rFonts w:eastAsiaTheme="minorEastAsia"/>
          <w:color w:val="auto"/>
          <w:highlight w:val="none"/>
        </w:rPr>
        <w:t>涉及政府补助的项目：</w:t>
      </w:r>
    </w:p>
    <w:p>
      <w:pPr>
        <w:pStyle w:val="38"/>
        <w:rPr>
          <w:rFonts w:eastAsiaTheme="minorEastAsia"/>
          <w:color w:val="auto"/>
          <w:highlight w:val="none"/>
        </w:rPr>
      </w:pPr>
      <w:r>
        <w:rPr>
          <w:rFonts w:eastAsiaTheme="minorEastAsia"/>
          <w:color w:val="auto"/>
          <w:szCs w:val="24"/>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!递延收益1 \f 4 \h \* MERGEFORMAT </w:instrText>
      </w:r>
      <w:r>
        <w:rPr>
          <w:rFonts w:eastAsiaTheme="minorEastAsia"/>
          <w:color w:val="auto"/>
          <w:szCs w:val="24"/>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4671"/>
        <w:gridCol w:w="1660"/>
        <w:gridCol w:w="1195"/>
        <w:gridCol w:w="1069"/>
        <w:gridCol w:w="1044"/>
        <w:gridCol w:w="1069"/>
        <w:gridCol w:w="1207"/>
        <w:gridCol w:w="603"/>
        <w:gridCol w:w="1090"/>
      </w:tblGrid>
      <w:tr>
        <w:tblPrEx>
          <w:tblCellMar>
            <w:top w:w="28" w:type="dxa"/>
            <w:left w:w="108" w:type="dxa"/>
            <w:bottom w:w="28" w:type="dxa"/>
            <w:right w:w="108" w:type="dxa"/>
          </w:tblCellMar>
        </w:tblPrEx>
        <w:trPr>
          <w:trHeight w:val="283" w:hRule="atLeast"/>
          <w:tblHeader/>
        </w:trPr>
        <w:tc>
          <w:tcPr>
            <w:tcW w:w="4671"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项目</w:t>
            </w:r>
          </w:p>
        </w:tc>
        <w:tc>
          <w:tcPr>
            <w:tcW w:w="1660"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期初余额</w:t>
            </w:r>
          </w:p>
        </w:tc>
        <w:tc>
          <w:tcPr>
            <w:tcW w:w="1195"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本期新增补助金额</w:t>
            </w:r>
          </w:p>
        </w:tc>
        <w:tc>
          <w:tcPr>
            <w:tcW w:w="1069"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本期计入当期损益金额</w:t>
            </w:r>
          </w:p>
        </w:tc>
        <w:tc>
          <w:tcPr>
            <w:tcW w:w="1044"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本期返还金额</w:t>
            </w:r>
          </w:p>
        </w:tc>
        <w:tc>
          <w:tcPr>
            <w:tcW w:w="1069"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其他变动</w:t>
            </w:r>
          </w:p>
        </w:tc>
        <w:tc>
          <w:tcPr>
            <w:tcW w:w="1207"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期末余额</w:t>
            </w:r>
          </w:p>
        </w:tc>
        <w:tc>
          <w:tcPr>
            <w:tcW w:w="603"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返还原因</w:t>
            </w:r>
          </w:p>
        </w:tc>
        <w:tc>
          <w:tcPr>
            <w:tcW w:w="1090"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与资产相关/与收益相关</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7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2009年纳雍环保项目补助</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1,481,481.53</w:t>
            </w:r>
          </w:p>
        </w:tc>
        <w:tc>
          <w:tcPr>
            <w:tcW w:w="1195"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444,444.44</w:t>
            </w:r>
          </w:p>
        </w:tc>
        <w:tc>
          <w:tcPr>
            <w:tcW w:w="1044"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1,037,037.09</w:t>
            </w:r>
          </w:p>
        </w:tc>
        <w:tc>
          <w:tcPr>
            <w:tcW w:w="603"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p>
        </w:tc>
        <w:tc>
          <w:tcPr>
            <w:tcW w:w="109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与资产相关</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7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平箐项目光伏补助</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5,376,750.85</w:t>
            </w:r>
          </w:p>
        </w:tc>
        <w:tc>
          <w:tcPr>
            <w:tcW w:w="1195"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453,703.68</w:t>
            </w:r>
          </w:p>
        </w:tc>
        <w:tc>
          <w:tcPr>
            <w:tcW w:w="1044"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4,923,047.17</w:t>
            </w:r>
          </w:p>
        </w:tc>
        <w:tc>
          <w:tcPr>
            <w:tcW w:w="603"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p>
        </w:tc>
        <w:tc>
          <w:tcPr>
            <w:tcW w:w="109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与资产相关</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7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维检中心基础设施补偿费</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8,040,164.67</w:t>
            </w:r>
          </w:p>
        </w:tc>
        <w:tc>
          <w:tcPr>
            <w:tcW w:w="1195"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539,376.36</w:t>
            </w:r>
          </w:p>
        </w:tc>
        <w:tc>
          <w:tcPr>
            <w:tcW w:w="1044"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7,500,788.31</w:t>
            </w:r>
          </w:p>
        </w:tc>
        <w:tc>
          <w:tcPr>
            <w:tcW w:w="603"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p>
        </w:tc>
        <w:tc>
          <w:tcPr>
            <w:tcW w:w="109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与资产相关</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7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脱硫工程环保项目补助</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1,037,043.00</w:t>
            </w:r>
          </w:p>
        </w:tc>
        <w:tc>
          <w:tcPr>
            <w:tcW w:w="1195"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444,444.00</w:t>
            </w:r>
          </w:p>
        </w:tc>
        <w:tc>
          <w:tcPr>
            <w:tcW w:w="1044"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592,599.00</w:t>
            </w:r>
          </w:p>
        </w:tc>
        <w:tc>
          <w:tcPr>
            <w:tcW w:w="603"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p>
        </w:tc>
        <w:tc>
          <w:tcPr>
            <w:tcW w:w="109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与资产相关</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7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2023年煤电机组改造项目补助</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2,212,200.00</w:t>
            </w:r>
          </w:p>
        </w:tc>
        <w:tc>
          <w:tcPr>
            <w:tcW w:w="1195"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1,672,111.48</w:t>
            </w:r>
          </w:p>
        </w:tc>
        <w:tc>
          <w:tcPr>
            <w:tcW w:w="1044"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540,088.52</w:t>
            </w:r>
          </w:p>
        </w:tc>
        <w:tc>
          <w:tcPr>
            <w:tcW w:w="603"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p>
        </w:tc>
        <w:tc>
          <w:tcPr>
            <w:tcW w:w="109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与资产相关</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7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2013年第一批环境污染治理项目（脱硫脱硝减排项目）补助</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92,307.12</w:t>
            </w:r>
          </w:p>
        </w:tc>
        <w:tc>
          <w:tcPr>
            <w:tcW w:w="1195"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92,307.12</w:t>
            </w:r>
          </w:p>
        </w:tc>
        <w:tc>
          <w:tcPr>
            <w:tcW w:w="1044"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603"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p>
        </w:tc>
        <w:tc>
          <w:tcPr>
            <w:tcW w:w="109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与资产相关</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7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第二批节能技术改造项目补助</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242,857.10</w:t>
            </w:r>
          </w:p>
        </w:tc>
        <w:tc>
          <w:tcPr>
            <w:tcW w:w="1195"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242,857.10</w:t>
            </w:r>
          </w:p>
        </w:tc>
        <w:tc>
          <w:tcPr>
            <w:tcW w:w="1044"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603"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p>
        </w:tc>
        <w:tc>
          <w:tcPr>
            <w:tcW w:w="109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与资产相关</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7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贵州省财政厅第二批能源节约项目补助</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300,000.00</w:t>
            </w:r>
          </w:p>
        </w:tc>
        <w:tc>
          <w:tcPr>
            <w:tcW w:w="1195"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150,000.00</w:t>
            </w:r>
          </w:p>
        </w:tc>
        <w:tc>
          <w:tcPr>
            <w:tcW w:w="1044"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150,000.00</w:t>
            </w:r>
          </w:p>
        </w:tc>
        <w:tc>
          <w:tcPr>
            <w:tcW w:w="603"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p>
        </w:tc>
        <w:tc>
          <w:tcPr>
            <w:tcW w:w="109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与资产相关</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7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贵州省能源局清洁高效电力产业振兴项目补助</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2,263,201.24</w:t>
            </w:r>
          </w:p>
        </w:tc>
        <w:tc>
          <w:tcPr>
            <w:tcW w:w="1195"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120,209.99</w:t>
            </w:r>
          </w:p>
        </w:tc>
        <w:tc>
          <w:tcPr>
            <w:tcW w:w="1044"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2,142,991.25</w:t>
            </w:r>
          </w:p>
        </w:tc>
        <w:tc>
          <w:tcPr>
            <w:tcW w:w="603"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p>
        </w:tc>
        <w:tc>
          <w:tcPr>
            <w:tcW w:w="109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与资产相关</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7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贵州省能源局2号机能源结构调整项目补助</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228,100.00</w:t>
            </w:r>
          </w:p>
        </w:tc>
        <w:tc>
          <w:tcPr>
            <w:tcW w:w="1195"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88,800.00</w:t>
            </w:r>
          </w:p>
        </w:tc>
        <w:tc>
          <w:tcPr>
            <w:tcW w:w="1044"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139,300.00</w:t>
            </w:r>
          </w:p>
        </w:tc>
        <w:tc>
          <w:tcPr>
            <w:tcW w:w="603"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p>
        </w:tc>
        <w:tc>
          <w:tcPr>
            <w:tcW w:w="109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与资产相关</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7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贵州省能源局3、4号机组空预器蓄热元件升级改造项目补助</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675,000.00</w:t>
            </w:r>
          </w:p>
        </w:tc>
        <w:tc>
          <w:tcPr>
            <w:tcW w:w="1195"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270,000.00</w:t>
            </w:r>
          </w:p>
        </w:tc>
        <w:tc>
          <w:tcPr>
            <w:tcW w:w="1044"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405,000.00</w:t>
            </w:r>
          </w:p>
        </w:tc>
        <w:tc>
          <w:tcPr>
            <w:tcW w:w="603"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p>
        </w:tc>
        <w:tc>
          <w:tcPr>
            <w:tcW w:w="109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与资产相关</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7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贵州省能源局2023年新型电力系统建设4号机锅炉A、B、C、D磨煤机衬板改造项目补助</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308,965.52</w:t>
            </w:r>
          </w:p>
        </w:tc>
        <w:tc>
          <w:tcPr>
            <w:tcW w:w="1195"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132,413.78</w:t>
            </w:r>
          </w:p>
        </w:tc>
        <w:tc>
          <w:tcPr>
            <w:tcW w:w="1044"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176,551.74</w:t>
            </w:r>
          </w:p>
        </w:tc>
        <w:tc>
          <w:tcPr>
            <w:tcW w:w="603"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p>
        </w:tc>
        <w:tc>
          <w:tcPr>
            <w:tcW w:w="109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与资产相关</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7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贵州省能源局5号机能源结构调整项目补助</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4,543,019.35</w:t>
            </w:r>
          </w:p>
        </w:tc>
        <w:tc>
          <w:tcPr>
            <w:tcW w:w="1195"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322,580.65</w:t>
            </w:r>
          </w:p>
        </w:tc>
        <w:tc>
          <w:tcPr>
            <w:tcW w:w="1044"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4,220,438.70</w:t>
            </w:r>
          </w:p>
        </w:tc>
        <w:tc>
          <w:tcPr>
            <w:tcW w:w="603"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p>
        </w:tc>
        <w:tc>
          <w:tcPr>
            <w:tcW w:w="109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与资产相关</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7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漾头电站增效扩容项目补助</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16,101,243.29</w:t>
            </w:r>
          </w:p>
        </w:tc>
        <w:tc>
          <w:tcPr>
            <w:tcW w:w="1195"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1,334,871.32</w:t>
            </w:r>
          </w:p>
        </w:tc>
        <w:tc>
          <w:tcPr>
            <w:tcW w:w="1044"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14,766,371.97</w:t>
            </w:r>
          </w:p>
        </w:tc>
        <w:tc>
          <w:tcPr>
            <w:tcW w:w="603"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p>
        </w:tc>
        <w:tc>
          <w:tcPr>
            <w:tcW w:w="109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与资产相关</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7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方竹增效扩容项目补助</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9,683,560.45</w:t>
            </w:r>
          </w:p>
        </w:tc>
        <w:tc>
          <w:tcPr>
            <w:tcW w:w="1195"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880,323.68</w:t>
            </w:r>
          </w:p>
        </w:tc>
        <w:tc>
          <w:tcPr>
            <w:tcW w:w="1044"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8,803,236.77</w:t>
            </w:r>
          </w:p>
        </w:tc>
        <w:tc>
          <w:tcPr>
            <w:tcW w:w="603"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p>
        </w:tc>
        <w:tc>
          <w:tcPr>
            <w:tcW w:w="109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与资产相关</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7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石门坎一厂增效扩容项目补助</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12,148,500.00</w:t>
            </w:r>
          </w:p>
        </w:tc>
        <w:tc>
          <w:tcPr>
            <w:tcW w:w="1195"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500,500.00</w:t>
            </w:r>
          </w:p>
        </w:tc>
        <w:tc>
          <w:tcPr>
            <w:tcW w:w="1044"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11,648,000.00</w:t>
            </w:r>
          </w:p>
        </w:tc>
        <w:tc>
          <w:tcPr>
            <w:tcW w:w="603"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p>
        </w:tc>
        <w:tc>
          <w:tcPr>
            <w:tcW w:w="109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与资产相关</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7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雷公滩生态流量监测系统项目补助</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224,416.70</w:t>
            </w:r>
          </w:p>
        </w:tc>
        <w:tc>
          <w:tcPr>
            <w:tcW w:w="1195"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35,265.45</w:t>
            </w:r>
          </w:p>
        </w:tc>
        <w:tc>
          <w:tcPr>
            <w:tcW w:w="1044"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189,151.25</w:t>
            </w:r>
          </w:p>
        </w:tc>
        <w:tc>
          <w:tcPr>
            <w:tcW w:w="603"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p>
        </w:tc>
        <w:tc>
          <w:tcPr>
            <w:tcW w:w="109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与资产相关</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7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织金智慧能源产业园区项目前期补助</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2,000,000.00</w:t>
            </w:r>
          </w:p>
        </w:tc>
        <w:tc>
          <w:tcPr>
            <w:tcW w:w="1195"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44"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2,000,000.00</w:t>
            </w:r>
          </w:p>
        </w:tc>
        <w:tc>
          <w:tcPr>
            <w:tcW w:w="603"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p>
        </w:tc>
        <w:tc>
          <w:tcPr>
            <w:tcW w:w="109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与资产相关</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7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2021年贵州省工业和信息化发展项目补助(第三批)</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879,310.48</w:t>
            </w:r>
          </w:p>
        </w:tc>
        <w:tc>
          <w:tcPr>
            <w:tcW w:w="1195"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44"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879,310.48</w:t>
            </w: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603"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p>
        </w:tc>
        <w:tc>
          <w:tcPr>
            <w:tcW w:w="109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与资产相关</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7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织金县小寨风电场建设项目专项资金</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195"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2,000,000.00</w:t>
            </w: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44"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2,000,000.00</w:t>
            </w:r>
          </w:p>
        </w:tc>
        <w:tc>
          <w:tcPr>
            <w:tcW w:w="603"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p>
        </w:tc>
        <w:tc>
          <w:tcPr>
            <w:tcW w:w="109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与资产相关</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7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罗甸县朗顶二期水光互补光伏电站建设项目补助</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1,000,000.00</w:t>
            </w:r>
          </w:p>
        </w:tc>
        <w:tc>
          <w:tcPr>
            <w:tcW w:w="1195"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62,500.00</w:t>
            </w:r>
          </w:p>
        </w:tc>
        <w:tc>
          <w:tcPr>
            <w:tcW w:w="1044"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937,500.00</w:t>
            </w:r>
          </w:p>
        </w:tc>
        <w:tc>
          <w:tcPr>
            <w:tcW w:w="603"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p>
        </w:tc>
        <w:tc>
          <w:tcPr>
            <w:tcW w:w="109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与资产相关</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7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罗甸县蒙江水光互补农业光伏电站建设项目政府专项资金</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195"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750,000.00</w:t>
            </w: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44"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750,000.00</w:t>
            </w:r>
          </w:p>
        </w:tc>
        <w:tc>
          <w:tcPr>
            <w:tcW w:w="603"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p>
        </w:tc>
        <w:tc>
          <w:tcPr>
            <w:tcW w:w="109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与资产相关</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7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建设补助资金</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195"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2,930,900.00</w:t>
            </w: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44"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2,930,900.00</w:t>
            </w:r>
          </w:p>
        </w:tc>
        <w:tc>
          <w:tcPr>
            <w:tcW w:w="603"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p>
        </w:tc>
        <w:tc>
          <w:tcPr>
            <w:tcW w:w="109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与资产相关</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7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2024年新型电力系统建设补助资金</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195"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749,400.00</w:t>
            </w: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16,122.90</w:t>
            </w:r>
          </w:p>
        </w:tc>
        <w:tc>
          <w:tcPr>
            <w:tcW w:w="1044"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733,277.10</w:t>
            </w:r>
          </w:p>
        </w:tc>
        <w:tc>
          <w:tcPr>
            <w:tcW w:w="603"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p>
        </w:tc>
        <w:tc>
          <w:tcPr>
            <w:tcW w:w="109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与资产相关</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7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2023年煤电机组改造奖补资金</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195"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1,120,000.00</w:t>
            </w: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74,666.67</w:t>
            </w:r>
          </w:p>
        </w:tc>
        <w:tc>
          <w:tcPr>
            <w:tcW w:w="1044"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1,045,333.33</w:t>
            </w:r>
          </w:p>
        </w:tc>
        <w:tc>
          <w:tcPr>
            <w:tcW w:w="603"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p>
        </w:tc>
        <w:tc>
          <w:tcPr>
            <w:tcW w:w="109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与资产相关</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71"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合计</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68,838,121.30</w:t>
            </w:r>
          </w:p>
        </w:tc>
        <w:tc>
          <w:tcPr>
            <w:tcW w:w="1195"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7,550,300.00</w:t>
            </w: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7,877,498.62</w:t>
            </w:r>
          </w:p>
        </w:tc>
        <w:tc>
          <w:tcPr>
            <w:tcW w:w="1044"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879,310.48</w:t>
            </w:r>
          </w:p>
        </w:tc>
        <w:tc>
          <w:tcPr>
            <w:tcW w:w="106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67,631,612.20</w:t>
            </w:r>
          </w:p>
        </w:tc>
        <w:tc>
          <w:tcPr>
            <w:tcW w:w="603"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p>
        </w:tc>
        <w:tc>
          <w:tcPr>
            <w:tcW w:w="109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p>
        </w:tc>
      </w:tr>
    </w:tbl>
    <w:p>
      <w:pPr>
        <w:pStyle w:val="38"/>
        <w:rPr>
          <w:rFonts w:eastAsiaTheme="minorEastAsia"/>
          <w:color w:val="auto"/>
          <w:highlight w:val="none"/>
        </w:rPr>
      </w:pPr>
      <w:r>
        <w:rPr>
          <w:rFonts w:eastAsiaTheme="minorEastAsia"/>
          <w:color w:val="auto"/>
          <w:highlight w:val="none"/>
        </w:rPr>
        <w:fldChar w:fldCharType="end"/>
      </w:r>
    </w:p>
    <w:p>
      <w:pPr>
        <w:pStyle w:val="38"/>
        <w:rPr>
          <w:rFonts w:eastAsiaTheme="minorEastAsia"/>
          <w:color w:val="auto"/>
          <w:highlight w:val="none"/>
        </w:rPr>
      </w:pPr>
    </w:p>
    <w:p>
      <w:pPr>
        <w:pStyle w:val="38"/>
        <w:rPr>
          <w:rFonts w:eastAsiaTheme="minorEastAsia"/>
          <w:color w:val="auto"/>
          <w:highlight w:val="none"/>
        </w:rPr>
        <w:sectPr>
          <w:pgSz w:w="16839" w:h="11907" w:orient="landscape"/>
          <w:pgMar w:top="1797" w:right="1440" w:bottom="1797" w:left="1440" w:header="680" w:footer="992" w:gutter="0"/>
          <w:cols w:space="425" w:num="1"/>
          <w:docGrid w:linePitch="312" w:charSpace="0"/>
        </w:sectPr>
      </w:pPr>
    </w:p>
    <w:p>
      <w:pPr>
        <w:pStyle w:val="37"/>
        <w:rPr>
          <w:rFonts w:eastAsiaTheme="minorEastAsia"/>
          <w:color w:val="auto"/>
          <w:highlight w:val="none"/>
        </w:rPr>
      </w:pPr>
      <w:r>
        <w:rPr>
          <w:rFonts w:hint="eastAsia" w:eastAsiaTheme="minorEastAsia"/>
          <w:color w:val="auto"/>
          <w:highlight w:val="none"/>
        </w:rPr>
        <w:t>股本</w:t>
      </w:r>
    </w:p>
    <w:p>
      <w:pPr>
        <w:pStyle w:val="38"/>
        <w:rPr>
          <w:rFonts w:eastAsiaTheme="minorEastAsia"/>
          <w:color w:val="auto"/>
          <w:highlight w:val="none"/>
        </w:rPr>
      </w:pPr>
      <w:r>
        <w:rPr>
          <w:rFonts w:eastAsiaTheme="minorEastAsia"/>
          <w:b/>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w:instrText>
      </w:r>
      <w:r>
        <w:rPr>
          <w:rFonts w:hint="eastAsia" w:eastAsiaTheme="minorEastAsia"/>
          <w:color w:val="auto"/>
          <w:highlight w:val="none"/>
        </w:rPr>
        <w:instrText xml:space="preserve">实收资本</w:instrText>
      </w:r>
      <w:r>
        <w:rPr>
          <w:rFonts w:eastAsiaTheme="minorEastAsia"/>
          <w:color w:val="auto"/>
          <w:highlight w:val="none"/>
        </w:rPr>
        <w:instrText xml:space="preserve"> \f 4 \h \* MERGEFORMAT </w:instrText>
      </w:r>
      <w:r>
        <w:rPr>
          <w:rFonts w:eastAsiaTheme="minorEastAsia"/>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1474"/>
        <w:gridCol w:w="1437"/>
        <w:gridCol w:w="908"/>
        <w:gridCol w:w="575"/>
        <w:gridCol w:w="1437"/>
        <w:gridCol w:w="1437"/>
        <w:gridCol w:w="920"/>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474"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投资者名称</w:t>
            </w:r>
          </w:p>
        </w:tc>
        <w:tc>
          <w:tcPr>
            <w:tcW w:w="2345"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期初余额</w:t>
            </w:r>
          </w:p>
        </w:tc>
        <w:tc>
          <w:tcPr>
            <w:tcW w:w="575"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本期增加</w:t>
            </w:r>
          </w:p>
        </w:tc>
        <w:tc>
          <w:tcPr>
            <w:tcW w:w="1437"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本期减少</w:t>
            </w:r>
          </w:p>
        </w:tc>
        <w:tc>
          <w:tcPr>
            <w:tcW w:w="2357"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期末余额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474"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437"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投资金额</w:t>
            </w:r>
          </w:p>
        </w:tc>
        <w:tc>
          <w:tcPr>
            <w:tcW w:w="908"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所占比例（%）</w:t>
            </w:r>
          </w:p>
        </w:tc>
        <w:tc>
          <w:tcPr>
            <w:tcW w:w="575"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437"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437"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投资金额</w:t>
            </w:r>
          </w:p>
        </w:tc>
        <w:tc>
          <w:tcPr>
            <w:tcW w:w="92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所占比例（%）</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474"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合计</w:t>
            </w:r>
          </w:p>
        </w:tc>
        <w:tc>
          <w:tcPr>
            <w:tcW w:w="143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5,892,315,400.00</w:t>
            </w:r>
          </w:p>
        </w:tc>
        <w:tc>
          <w:tcPr>
            <w:tcW w:w="9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100.00</w:t>
            </w:r>
          </w:p>
        </w:tc>
        <w:tc>
          <w:tcPr>
            <w:tcW w:w="57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43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1,200,000,000.00</w:t>
            </w:r>
          </w:p>
        </w:tc>
        <w:tc>
          <w:tcPr>
            <w:tcW w:w="143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4,692,315,400.00</w:t>
            </w:r>
          </w:p>
        </w:tc>
        <w:tc>
          <w:tcPr>
            <w:tcW w:w="92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100.00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47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国家电力投资集团有限公司</w:t>
            </w:r>
          </w:p>
        </w:tc>
        <w:tc>
          <w:tcPr>
            <w:tcW w:w="143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4,393,120,000.00</w:t>
            </w:r>
          </w:p>
        </w:tc>
        <w:tc>
          <w:tcPr>
            <w:tcW w:w="9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74.56</w:t>
            </w:r>
          </w:p>
        </w:tc>
        <w:tc>
          <w:tcPr>
            <w:tcW w:w="57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43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1,200,000,000.00</w:t>
            </w:r>
          </w:p>
        </w:tc>
        <w:tc>
          <w:tcPr>
            <w:tcW w:w="143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3,193,120,000.00</w:t>
            </w:r>
          </w:p>
        </w:tc>
        <w:tc>
          <w:tcPr>
            <w:tcW w:w="92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68.05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47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贵州盘江煤电集团有限责任公司</w:t>
            </w:r>
          </w:p>
        </w:tc>
        <w:tc>
          <w:tcPr>
            <w:tcW w:w="143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1,183,107,400.00</w:t>
            </w:r>
          </w:p>
        </w:tc>
        <w:tc>
          <w:tcPr>
            <w:tcW w:w="9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20.08</w:t>
            </w:r>
          </w:p>
        </w:tc>
        <w:tc>
          <w:tcPr>
            <w:tcW w:w="57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43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43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1,183,107,400.00</w:t>
            </w:r>
          </w:p>
        </w:tc>
        <w:tc>
          <w:tcPr>
            <w:tcW w:w="92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25.21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47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自然人股东</w:t>
            </w:r>
          </w:p>
        </w:tc>
        <w:tc>
          <w:tcPr>
            <w:tcW w:w="143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316,088,000.00</w:t>
            </w:r>
          </w:p>
        </w:tc>
        <w:tc>
          <w:tcPr>
            <w:tcW w:w="9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5.36</w:t>
            </w:r>
          </w:p>
        </w:tc>
        <w:tc>
          <w:tcPr>
            <w:tcW w:w="57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43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43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316,088,000.00</w:t>
            </w:r>
          </w:p>
        </w:tc>
        <w:tc>
          <w:tcPr>
            <w:tcW w:w="92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6.74</w:t>
            </w:r>
          </w:p>
        </w:tc>
      </w:tr>
    </w:tbl>
    <w:p>
      <w:pPr>
        <w:pStyle w:val="38"/>
        <w:rPr>
          <w:rFonts w:eastAsiaTheme="minorEastAsia"/>
          <w:color w:val="auto"/>
          <w:highlight w:val="none"/>
        </w:rPr>
      </w:pPr>
      <w:r>
        <w:rPr>
          <w:rFonts w:eastAsiaTheme="minorEastAsia"/>
          <w:color w:val="auto"/>
          <w:highlight w:val="none"/>
        </w:rPr>
        <w:fldChar w:fldCharType="end"/>
      </w:r>
      <w:bookmarkStart w:id="62" w:name="OLE_LINK4"/>
      <w:r>
        <w:rPr>
          <w:rFonts w:hint="eastAsia" w:eastAsiaTheme="minorEastAsia"/>
          <w:color w:val="auto"/>
          <w:highlight w:val="none"/>
        </w:rPr>
        <w:t>注：股本本期减少1,200,000,000.00元，系将母公司增资款调整至资本公积。</w:t>
      </w:r>
      <w:bookmarkEnd w:id="62"/>
    </w:p>
    <w:p>
      <w:pPr>
        <w:pStyle w:val="38"/>
        <w:rPr>
          <w:rFonts w:eastAsiaTheme="minorEastAsia"/>
          <w:color w:val="auto"/>
          <w:highlight w:val="none"/>
        </w:rPr>
      </w:pPr>
    </w:p>
    <w:p>
      <w:pPr>
        <w:pStyle w:val="37"/>
        <w:rPr>
          <w:rFonts w:eastAsiaTheme="minorEastAsia"/>
          <w:color w:val="auto"/>
          <w:highlight w:val="none"/>
        </w:rPr>
      </w:pPr>
      <w:r>
        <w:rPr>
          <w:rFonts w:eastAsiaTheme="minorEastAsia"/>
          <w:color w:val="auto"/>
          <w:highlight w:val="none"/>
        </w:rPr>
        <w:t>其他权益工具</w:t>
      </w:r>
    </w:p>
    <w:p>
      <w:pPr>
        <w:pStyle w:val="38"/>
        <w:rPr>
          <w:color w:val="auto"/>
          <w:highlight w:val="none"/>
        </w:rPr>
      </w:pPr>
      <w:r>
        <w:rPr>
          <w:b/>
          <w:color w:val="auto"/>
          <w:highlight w:val="none"/>
        </w:rPr>
        <w:fldChar w:fldCharType="begin"/>
      </w:r>
      <w:r>
        <w:rPr>
          <w:color w:val="auto"/>
          <w:highlight w:val="none"/>
        </w:rPr>
        <w:instrText xml:space="preserve"> LINK Excel.Sheet.12 E:\\雍\\附注排版\\2014年年报格式\\附注过渡表20150130V0910.xlsx</w:instrText>
      </w:r>
      <w:r>
        <w:rPr>
          <w:rFonts w:hint="eastAsia"/>
          <w:color w:val="auto"/>
          <w:highlight w:val="none"/>
        </w:rPr>
        <w:instrText xml:space="preserve"> </w:instrText>
      </w:r>
      <w:r>
        <w:rPr>
          <w:rFonts w:hint="eastAsia" w:eastAsiaTheme="minorEastAsia"/>
          <w:color w:val="auto"/>
          <w:highlight w:val="none"/>
        </w:rPr>
        <w:instrText xml:space="preserve">合并附注</w:instrText>
      </w:r>
      <w:r>
        <w:rPr>
          <w:color w:val="auto"/>
          <w:highlight w:val="none"/>
        </w:rPr>
        <w:instrText xml:space="preserve">!其他权益工具 \f 4 \h \* MERGEFORMAT </w:instrText>
      </w:r>
      <w:r>
        <w:rPr>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842"/>
        <w:gridCol w:w="394"/>
        <w:gridCol w:w="1514"/>
        <w:gridCol w:w="449"/>
        <w:gridCol w:w="1371"/>
        <w:gridCol w:w="411"/>
        <w:gridCol w:w="1371"/>
        <w:gridCol w:w="394"/>
        <w:gridCol w:w="1442"/>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842"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发行在外的金融工具</w:t>
            </w:r>
          </w:p>
        </w:tc>
        <w:tc>
          <w:tcPr>
            <w:tcW w:w="1908"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期初数</w:t>
            </w:r>
          </w:p>
        </w:tc>
        <w:tc>
          <w:tcPr>
            <w:tcW w:w="1820"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本期增加</w:t>
            </w:r>
          </w:p>
        </w:tc>
        <w:tc>
          <w:tcPr>
            <w:tcW w:w="1782"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本期减少</w:t>
            </w:r>
          </w:p>
        </w:tc>
        <w:tc>
          <w:tcPr>
            <w:tcW w:w="1836"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期末数</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842"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394"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数量</w:t>
            </w:r>
          </w:p>
        </w:tc>
        <w:tc>
          <w:tcPr>
            <w:tcW w:w="1514"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账面价值</w:t>
            </w:r>
          </w:p>
        </w:tc>
        <w:tc>
          <w:tcPr>
            <w:tcW w:w="449"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数量</w:t>
            </w:r>
          </w:p>
        </w:tc>
        <w:tc>
          <w:tcPr>
            <w:tcW w:w="1371"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账面价值</w:t>
            </w:r>
          </w:p>
        </w:tc>
        <w:tc>
          <w:tcPr>
            <w:tcW w:w="411"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数量</w:t>
            </w:r>
          </w:p>
        </w:tc>
        <w:tc>
          <w:tcPr>
            <w:tcW w:w="1371"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账面价值</w:t>
            </w:r>
          </w:p>
        </w:tc>
        <w:tc>
          <w:tcPr>
            <w:tcW w:w="394"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数量</w:t>
            </w:r>
          </w:p>
        </w:tc>
        <w:tc>
          <w:tcPr>
            <w:tcW w:w="1442"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账面价值</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842"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永续债</w:t>
            </w:r>
          </w:p>
        </w:tc>
        <w:tc>
          <w:tcPr>
            <w:tcW w:w="394"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514"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18,318,660,000.00</w:t>
            </w:r>
          </w:p>
        </w:tc>
        <w:tc>
          <w:tcPr>
            <w:tcW w:w="44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7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4,000,000,000.00</w:t>
            </w:r>
          </w:p>
        </w:tc>
        <w:tc>
          <w:tcPr>
            <w:tcW w:w="41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7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3,000,000,000.00</w:t>
            </w:r>
          </w:p>
        </w:tc>
        <w:tc>
          <w:tcPr>
            <w:tcW w:w="394"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44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19,318,660,000.00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842"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合计</w:t>
            </w:r>
          </w:p>
        </w:tc>
        <w:tc>
          <w:tcPr>
            <w:tcW w:w="394"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514"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18,318,660,000.00</w:t>
            </w:r>
          </w:p>
        </w:tc>
        <w:tc>
          <w:tcPr>
            <w:tcW w:w="44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7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4,000,000,000.00</w:t>
            </w:r>
          </w:p>
        </w:tc>
        <w:tc>
          <w:tcPr>
            <w:tcW w:w="41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71"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3,000,000,000.00</w:t>
            </w:r>
          </w:p>
        </w:tc>
        <w:tc>
          <w:tcPr>
            <w:tcW w:w="394"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44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19,318,660,000.00</w:t>
            </w:r>
          </w:p>
        </w:tc>
      </w:tr>
    </w:tbl>
    <w:p>
      <w:pPr>
        <w:pStyle w:val="38"/>
        <w:rPr>
          <w:rFonts w:eastAsiaTheme="minorEastAsia"/>
          <w:color w:val="auto"/>
          <w:highlight w:val="none"/>
        </w:rPr>
      </w:pPr>
      <w:r>
        <w:rPr>
          <w:color w:val="auto"/>
          <w:highlight w:val="none"/>
        </w:rPr>
        <w:fldChar w:fldCharType="end"/>
      </w:r>
    </w:p>
    <w:p>
      <w:pPr>
        <w:pStyle w:val="37"/>
        <w:rPr>
          <w:rFonts w:eastAsiaTheme="minorEastAsia"/>
          <w:color w:val="auto"/>
          <w:highlight w:val="none"/>
        </w:rPr>
      </w:pPr>
      <w:r>
        <w:rPr>
          <w:rFonts w:eastAsiaTheme="minorEastAsia"/>
          <w:color w:val="auto"/>
          <w:highlight w:val="none"/>
        </w:rPr>
        <w:t>资本公积</w:t>
      </w:r>
    </w:p>
    <w:p>
      <w:pPr>
        <w:pStyle w:val="38"/>
        <w:rPr>
          <w:rFonts w:eastAsiaTheme="minorEastAsia"/>
          <w:color w:val="auto"/>
          <w:highlight w:val="none"/>
        </w:rPr>
      </w:pPr>
      <w:r>
        <w:rPr>
          <w:rFonts w:eastAsiaTheme="minorEastAsia"/>
          <w:b/>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!资本公积 \f 4 \h \* MERGEFORMAT </w:instrText>
      </w:r>
      <w:r>
        <w:rPr>
          <w:rFonts w:eastAsiaTheme="minorEastAsia"/>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2335"/>
        <w:gridCol w:w="1464"/>
        <w:gridCol w:w="1463"/>
        <w:gridCol w:w="1463"/>
        <w:gridCol w:w="1463"/>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233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项目</w:t>
            </w:r>
          </w:p>
        </w:tc>
        <w:tc>
          <w:tcPr>
            <w:tcW w:w="1464"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期初余额</w:t>
            </w:r>
          </w:p>
        </w:tc>
        <w:tc>
          <w:tcPr>
            <w:tcW w:w="1463"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本期增加</w:t>
            </w:r>
          </w:p>
        </w:tc>
        <w:tc>
          <w:tcPr>
            <w:tcW w:w="1463"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本期减少</w:t>
            </w:r>
          </w:p>
        </w:tc>
        <w:tc>
          <w:tcPr>
            <w:tcW w:w="1463"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期末余额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335"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一、资本（或股本）溢价</w:t>
            </w:r>
          </w:p>
        </w:tc>
        <w:tc>
          <w:tcPr>
            <w:tcW w:w="146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46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1,200,000,000.00</w:t>
            </w:r>
          </w:p>
        </w:tc>
        <w:tc>
          <w:tcPr>
            <w:tcW w:w="146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46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1,200,000,000.00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335"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二、其他资本公积</w:t>
            </w:r>
          </w:p>
        </w:tc>
        <w:tc>
          <w:tcPr>
            <w:tcW w:w="146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411,548,322.64</w:t>
            </w:r>
          </w:p>
        </w:tc>
        <w:tc>
          <w:tcPr>
            <w:tcW w:w="146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13,761,902.00</w:t>
            </w:r>
          </w:p>
        </w:tc>
        <w:tc>
          <w:tcPr>
            <w:tcW w:w="146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80,108,798.10</w:t>
            </w:r>
          </w:p>
        </w:tc>
        <w:tc>
          <w:tcPr>
            <w:tcW w:w="146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345,201,426.54</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33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合计</w:t>
            </w:r>
          </w:p>
        </w:tc>
        <w:tc>
          <w:tcPr>
            <w:tcW w:w="146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411,548,322.64</w:t>
            </w:r>
          </w:p>
        </w:tc>
        <w:tc>
          <w:tcPr>
            <w:tcW w:w="146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1,213,761,902.00</w:t>
            </w:r>
          </w:p>
        </w:tc>
        <w:tc>
          <w:tcPr>
            <w:tcW w:w="146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80,108,798.10</w:t>
            </w:r>
          </w:p>
        </w:tc>
        <w:tc>
          <w:tcPr>
            <w:tcW w:w="146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1,545,201,426.54</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335"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其中：国有独享资本公积</w:t>
            </w:r>
          </w:p>
        </w:tc>
        <w:tc>
          <w:tcPr>
            <w:tcW w:w="146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46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1,200,000,000.00</w:t>
            </w:r>
          </w:p>
        </w:tc>
        <w:tc>
          <w:tcPr>
            <w:tcW w:w="146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46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1,200,000,000.00</w:t>
            </w:r>
          </w:p>
        </w:tc>
      </w:tr>
    </w:tbl>
    <w:p>
      <w:pPr>
        <w:pStyle w:val="38"/>
        <w:rPr>
          <w:rFonts w:eastAsiaTheme="minorEastAsia"/>
          <w:color w:val="auto"/>
          <w:highlight w:val="none"/>
        </w:rPr>
      </w:pPr>
      <w:r>
        <w:rPr>
          <w:rFonts w:eastAsiaTheme="minorEastAsia"/>
          <w:color w:val="auto"/>
          <w:highlight w:val="none"/>
        </w:rPr>
        <w:fldChar w:fldCharType="end"/>
      </w:r>
      <w:r>
        <w:rPr>
          <w:rFonts w:hint="eastAsia" w:eastAsiaTheme="minorEastAsia"/>
          <w:color w:val="auto"/>
          <w:highlight w:val="none"/>
        </w:rPr>
        <w:t>注：1.资本溢价本期增加</w:t>
      </w:r>
      <w:r>
        <w:rPr>
          <w:rFonts w:eastAsiaTheme="minorEastAsia"/>
          <w:color w:val="auto"/>
          <w:highlight w:val="none"/>
        </w:rPr>
        <w:t>1,200,000,000.00</w:t>
      </w:r>
      <w:r>
        <w:rPr>
          <w:rFonts w:hint="eastAsia" w:eastAsiaTheme="minorEastAsia"/>
          <w:color w:val="auto"/>
          <w:highlight w:val="none"/>
        </w:rPr>
        <w:t>元，系将母公司增资款调整至资本公积；</w:t>
      </w:r>
    </w:p>
    <w:p>
      <w:pPr>
        <w:pStyle w:val="38"/>
        <w:rPr>
          <w:rFonts w:eastAsiaTheme="minorEastAsia"/>
          <w:color w:val="auto"/>
          <w:highlight w:val="none"/>
        </w:rPr>
      </w:pPr>
      <w:r>
        <w:rPr>
          <w:rFonts w:hint="eastAsia" w:eastAsiaTheme="minorEastAsia"/>
          <w:color w:val="auto"/>
          <w:highlight w:val="none"/>
        </w:rPr>
        <w:t>2.其他资本公积本期增加</w:t>
      </w:r>
      <w:r>
        <w:rPr>
          <w:rFonts w:eastAsiaTheme="minorEastAsia"/>
          <w:color w:val="auto"/>
          <w:highlight w:val="none"/>
        </w:rPr>
        <w:t>13,761,902.00</w:t>
      </w:r>
      <w:r>
        <w:rPr>
          <w:rFonts w:hint="eastAsia" w:eastAsiaTheme="minorEastAsia"/>
          <w:color w:val="auto"/>
          <w:highlight w:val="none"/>
        </w:rPr>
        <w:t>元，系对原子公司贵州能发电力燃料开发有限公司长期股权投资核算方式由成本法转换为权益法，将模拟追溯调整权益变动增加其他资本公积</w:t>
      </w:r>
      <w:r>
        <w:rPr>
          <w:rFonts w:eastAsiaTheme="minorEastAsia"/>
          <w:color w:val="auto"/>
          <w:highlight w:val="none"/>
        </w:rPr>
        <w:t>13,761,902.00</w:t>
      </w:r>
      <w:r>
        <w:rPr>
          <w:rFonts w:hint="eastAsia" w:eastAsiaTheme="minorEastAsia"/>
          <w:color w:val="auto"/>
          <w:highlight w:val="none"/>
        </w:rPr>
        <w:t>元；</w:t>
      </w:r>
    </w:p>
    <w:p>
      <w:pPr>
        <w:pStyle w:val="38"/>
        <w:rPr>
          <w:rFonts w:eastAsiaTheme="minorEastAsia"/>
          <w:color w:val="auto"/>
          <w:highlight w:val="none"/>
        </w:rPr>
      </w:pPr>
      <w:r>
        <w:rPr>
          <w:rFonts w:hint="eastAsia" w:eastAsiaTheme="minorEastAsia"/>
          <w:color w:val="auto"/>
          <w:highlight w:val="none"/>
        </w:rPr>
        <w:t>3.其他资本公积本期减少</w:t>
      </w:r>
      <w:r>
        <w:rPr>
          <w:rFonts w:eastAsiaTheme="minorEastAsia"/>
          <w:color w:val="auto"/>
          <w:highlight w:val="none"/>
        </w:rPr>
        <w:t>80,108,798.10</w:t>
      </w:r>
      <w:r>
        <w:rPr>
          <w:rFonts w:hint="eastAsia" w:eastAsiaTheme="minorEastAsia"/>
          <w:color w:val="auto"/>
          <w:highlight w:val="none"/>
        </w:rPr>
        <w:t>元，系</w:t>
      </w:r>
      <w:r>
        <w:rPr>
          <w:rFonts w:hint="eastAsia" w:ascii="Segoe UI Emoji" w:hAnsi="Segoe UI Emoji" w:eastAsiaTheme="minorEastAsia"/>
          <w:color w:val="auto"/>
          <w:highlight w:val="none"/>
        </w:rPr>
        <w:t>①</w:t>
      </w:r>
      <w:r>
        <w:rPr>
          <w:rFonts w:hint="eastAsia" w:eastAsiaTheme="minorEastAsia"/>
          <w:color w:val="auto"/>
          <w:highlight w:val="none"/>
        </w:rPr>
        <w:t>收购少数股东权益的价差，减少其他资本公积</w:t>
      </w:r>
      <w:r>
        <w:rPr>
          <w:rFonts w:eastAsiaTheme="minorEastAsia"/>
          <w:color w:val="auto"/>
          <w:highlight w:val="none"/>
        </w:rPr>
        <w:t>77,599,067.99</w:t>
      </w:r>
      <w:r>
        <w:rPr>
          <w:rFonts w:hint="eastAsia" w:eastAsiaTheme="minorEastAsia"/>
          <w:color w:val="auto"/>
          <w:highlight w:val="none"/>
        </w:rPr>
        <w:t>元；②参股单位其他权益变动减少其他资本公积</w:t>
      </w:r>
      <w:r>
        <w:rPr>
          <w:rFonts w:eastAsiaTheme="minorEastAsia"/>
          <w:color w:val="auto"/>
          <w:highlight w:val="none"/>
        </w:rPr>
        <w:t>2,509,730.11</w:t>
      </w:r>
      <w:r>
        <w:rPr>
          <w:rFonts w:hint="eastAsia" w:eastAsiaTheme="minorEastAsia"/>
          <w:color w:val="auto"/>
          <w:highlight w:val="none"/>
        </w:rPr>
        <w:t>元。</w:t>
      </w:r>
      <w:r>
        <w:rPr>
          <w:rFonts w:eastAsiaTheme="minorEastAsia"/>
          <w:color w:val="auto"/>
          <w:highlight w:val="none"/>
        </w:rPr>
        <w:br w:type="page"/>
      </w:r>
    </w:p>
    <w:p>
      <w:pPr>
        <w:pStyle w:val="37"/>
        <w:rPr>
          <w:rFonts w:eastAsiaTheme="minorEastAsia"/>
          <w:color w:val="auto"/>
          <w:highlight w:val="none"/>
        </w:rPr>
      </w:pPr>
      <w:r>
        <w:rPr>
          <w:rFonts w:eastAsiaTheme="minorEastAsia"/>
          <w:color w:val="auto"/>
          <w:highlight w:val="none"/>
        </w:rPr>
        <w:t>专项储备</w:t>
      </w:r>
    </w:p>
    <w:p>
      <w:pPr>
        <w:pStyle w:val="38"/>
        <w:rPr>
          <w:rFonts w:eastAsiaTheme="minorEastAsia"/>
          <w:color w:val="auto"/>
          <w:highlight w:val="none"/>
        </w:rPr>
      </w:pPr>
      <w:r>
        <w:rPr>
          <w:rFonts w:eastAsiaTheme="minorEastAsia"/>
          <w:b/>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!专项储备 \f 4 \h \* MERGEFORMAT </w:instrText>
      </w:r>
      <w:r>
        <w:rPr>
          <w:rFonts w:eastAsiaTheme="minorEastAsia"/>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1240"/>
        <w:gridCol w:w="1377"/>
        <w:gridCol w:w="1442"/>
        <w:gridCol w:w="1442"/>
        <w:gridCol w:w="1375"/>
        <w:gridCol w:w="1312"/>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24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项目</w:t>
            </w:r>
          </w:p>
        </w:tc>
        <w:tc>
          <w:tcPr>
            <w:tcW w:w="1377"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期初余额</w:t>
            </w:r>
          </w:p>
        </w:tc>
        <w:tc>
          <w:tcPr>
            <w:tcW w:w="144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本期增加</w:t>
            </w:r>
          </w:p>
        </w:tc>
        <w:tc>
          <w:tcPr>
            <w:tcW w:w="144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本期减少</w:t>
            </w:r>
          </w:p>
        </w:tc>
        <w:tc>
          <w:tcPr>
            <w:tcW w:w="137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期末余额</w:t>
            </w:r>
          </w:p>
        </w:tc>
        <w:tc>
          <w:tcPr>
            <w:tcW w:w="131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备注</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24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安全生产费</w:t>
            </w:r>
          </w:p>
        </w:tc>
        <w:tc>
          <w:tcPr>
            <w:tcW w:w="137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26,288,187.65</w:t>
            </w:r>
          </w:p>
        </w:tc>
        <w:tc>
          <w:tcPr>
            <w:tcW w:w="144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209,158,954.65</w:t>
            </w:r>
          </w:p>
        </w:tc>
        <w:tc>
          <w:tcPr>
            <w:tcW w:w="144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222,059,030.33</w:t>
            </w:r>
          </w:p>
        </w:tc>
        <w:tc>
          <w:tcPr>
            <w:tcW w:w="137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13,388,111.97</w:t>
            </w:r>
          </w:p>
        </w:tc>
        <w:tc>
          <w:tcPr>
            <w:tcW w:w="131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24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合计</w:t>
            </w:r>
          </w:p>
        </w:tc>
        <w:tc>
          <w:tcPr>
            <w:tcW w:w="137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26,288,187.65</w:t>
            </w:r>
          </w:p>
        </w:tc>
        <w:tc>
          <w:tcPr>
            <w:tcW w:w="144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209,158,954.65</w:t>
            </w:r>
          </w:p>
        </w:tc>
        <w:tc>
          <w:tcPr>
            <w:tcW w:w="144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222,059,030.33</w:t>
            </w:r>
          </w:p>
        </w:tc>
        <w:tc>
          <w:tcPr>
            <w:tcW w:w="137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13,388,111.97</w:t>
            </w:r>
          </w:p>
        </w:tc>
        <w:tc>
          <w:tcPr>
            <w:tcW w:w="131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r>
    </w:tbl>
    <w:p>
      <w:pPr>
        <w:pStyle w:val="38"/>
        <w:rPr>
          <w:rFonts w:eastAsiaTheme="minorEastAsia"/>
          <w:color w:val="auto"/>
          <w:highlight w:val="none"/>
        </w:rPr>
      </w:pPr>
      <w:r>
        <w:rPr>
          <w:rFonts w:eastAsiaTheme="minorEastAsia"/>
          <w:color w:val="auto"/>
          <w:highlight w:val="none"/>
        </w:rPr>
        <w:fldChar w:fldCharType="end"/>
      </w:r>
    </w:p>
    <w:p>
      <w:pPr>
        <w:pStyle w:val="37"/>
        <w:rPr>
          <w:rFonts w:eastAsiaTheme="minorEastAsia"/>
          <w:color w:val="auto"/>
          <w:highlight w:val="none"/>
        </w:rPr>
      </w:pPr>
      <w:r>
        <w:rPr>
          <w:rFonts w:eastAsiaTheme="minorEastAsia"/>
          <w:color w:val="auto"/>
          <w:highlight w:val="none"/>
        </w:rPr>
        <w:t>盈余公积</w:t>
      </w:r>
    </w:p>
    <w:p>
      <w:pPr>
        <w:pStyle w:val="38"/>
        <w:rPr>
          <w:rFonts w:eastAsiaTheme="minorEastAsia"/>
          <w:color w:val="auto"/>
          <w:highlight w:val="none"/>
        </w:rPr>
      </w:pPr>
      <w:r>
        <w:rPr>
          <w:rFonts w:eastAsiaTheme="minorEastAsia"/>
          <w:b/>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!盈余公积 \f 4 \h \* MERGEFORMAT </w:instrText>
      </w:r>
      <w:r>
        <w:rPr>
          <w:rFonts w:eastAsiaTheme="minorEastAsia"/>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1772"/>
        <w:gridCol w:w="1604"/>
        <w:gridCol w:w="1604"/>
        <w:gridCol w:w="1604"/>
        <w:gridCol w:w="1604"/>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77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项目</w:t>
            </w:r>
          </w:p>
        </w:tc>
        <w:tc>
          <w:tcPr>
            <w:tcW w:w="1604"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期初余额</w:t>
            </w:r>
          </w:p>
        </w:tc>
        <w:tc>
          <w:tcPr>
            <w:tcW w:w="1604"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本期增加</w:t>
            </w:r>
          </w:p>
        </w:tc>
        <w:tc>
          <w:tcPr>
            <w:tcW w:w="1604"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本期减少</w:t>
            </w:r>
          </w:p>
        </w:tc>
        <w:tc>
          <w:tcPr>
            <w:tcW w:w="1604"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期末余额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77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法定盈余公积金</w:t>
            </w:r>
          </w:p>
        </w:tc>
        <w:tc>
          <w:tcPr>
            <w:tcW w:w="160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466,989,510.71</w:t>
            </w:r>
          </w:p>
        </w:tc>
        <w:tc>
          <w:tcPr>
            <w:tcW w:w="160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60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60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466,989,510.71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77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合计</w:t>
            </w:r>
          </w:p>
        </w:tc>
        <w:tc>
          <w:tcPr>
            <w:tcW w:w="160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466,989,510.71</w:t>
            </w:r>
          </w:p>
        </w:tc>
        <w:tc>
          <w:tcPr>
            <w:tcW w:w="160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60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60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466,989,510.71</w:t>
            </w:r>
          </w:p>
        </w:tc>
      </w:tr>
    </w:tbl>
    <w:p>
      <w:pPr>
        <w:pStyle w:val="38"/>
        <w:rPr>
          <w:rFonts w:eastAsiaTheme="minorEastAsia"/>
          <w:color w:val="auto"/>
          <w:highlight w:val="none"/>
        </w:rPr>
      </w:pPr>
      <w:r>
        <w:rPr>
          <w:rFonts w:eastAsiaTheme="minorEastAsia"/>
          <w:color w:val="auto"/>
          <w:highlight w:val="none"/>
        </w:rPr>
        <w:fldChar w:fldCharType="end"/>
      </w:r>
    </w:p>
    <w:p>
      <w:pPr>
        <w:pStyle w:val="37"/>
        <w:rPr>
          <w:rFonts w:eastAsiaTheme="minorEastAsia"/>
          <w:color w:val="auto"/>
          <w:highlight w:val="none"/>
        </w:rPr>
      </w:pPr>
      <w:r>
        <w:rPr>
          <w:rFonts w:eastAsiaTheme="minorEastAsia"/>
          <w:color w:val="auto"/>
          <w:highlight w:val="none"/>
        </w:rPr>
        <w:t>未分配利润</w:t>
      </w:r>
    </w:p>
    <w:p>
      <w:pPr>
        <w:pStyle w:val="38"/>
        <w:rPr>
          <w:rFonts w:eastAsiaTheme="minorEastAsia"/>
          <w:color w:val="auto"/>
          <w:highlight w:val="none"/>
        </w:rPr>
      </w:pPr>
      <w:r>
        <w:rPr>
          <w:rFonts w:eastAsiaTheme="minorEastAsia"/>
          <w:b/>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!未分配利润 \f 4 \h \* MERGEFORMAT </w:instrText>
      </w:r>
      <w:r>
        <w:rPr>
          <w:rFonts w:eastAsiaTheme="minorEastAsia"/>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3672"/>
        <w:gridCol w:w="2258"/>
        <w:gridCol w:w="2258"/>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367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项目</w:t>
            </w:r>
          </w:p>
        </w:tc>
        <w:tc>
          <w:tcPr>
            <w:tcW w:w="2258"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本期金额</w:t>
            </w:r>
          </w:p>
        </w:tc>
        <w:tc>
          <w:tcPr>
            <w:tcW w:w="2258"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上期金额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7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上年年末余额</w:t>
            </w:r>
          </w:p>
        </w:tc>
        <w:tc>
          <w:tcPr>
            <w:tcW w:w="22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-25,806,459,189.66</w:t>
            </w:r>
          </w:p>
        </w:tc>
        <w:tc>
          <w:tcPr>
            <w:tcW w:w="22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-22,513,002,165.56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7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期初调整金额</w:t>
            </w:r>
          </w:p>
        </w:tc>
        <w:tc>
          <w:tcPr>
            <w:tcW w:w="22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22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15,979,882.66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7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本期期初余额</w:t>
            </w:r>
          </w:p>
        </w:tc>
        <w:tc>
          <w:tcPr>
            <w:tcW w:w="22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-25,806,459,189.66</w:t>
            </w:r>
          </w:p>
        </w:tc>
        <w:tc>
          <w:tcPr>
            <w:tcW w:w="22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-22,497,022,282.90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7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本期增加额</w:t>
            </w:r>
          </w:p>
        </w:tc>
        <w:tc>
          <w:tcPr>
            <w:tcW w:w="22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-543,673,983.84</w:t>
            </w:r>
          </w:p>
        </w:tc>
        <w:tc>
          <w:tcPr>
            <w:tcW w:w="22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-2,591,168,934.88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7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其中：本期净利润转入</w:t>
            </w:r>
          </w:p>
        </w:tc>
        <w:tc>
          <w:tcPr>
            <w:tcW w:w="22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-543,673,983.84</w:t>
            </w:r>
          </w:p>
        </w:tc>
        <w:tc>
          <w:tcPr>
            <w:tcW w:w="22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-2,591,168,934.88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7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其他调整因素</w:t>
            </w:r>
          </w:p>
        </w:tc>
        <w:tc>
          <w:tcPr>
            <w:tcW w:w="22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22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7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本期减少额</w:t>
            </w:r>
          </w:p>
        </w:tc>
        <w:tc>
          <w:tcPr>
            <w:tcW w:w="22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749,117,316.46</w:t>
            </w:r>
          </w:p>
        </w:tc>
        <w:tc>
          <w:tcPr>
            <w:tcW w:w="22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718,267,971.88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7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其中：本期提取盈余公积数</w:t>
            </w:r>
          </w:p>
        </w:tc>
        <w:tc>
          <w:tcPr>
            <w:tcW w:w="22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22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7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本期提取一般风险准备</w:t>
            </w:r>
          </w:p>
        </w:tc>
        <w:tc>
          <w:tcPr>
            <w:tcW w:w="22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22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7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本期分配现金股利数</w:t>
            </w:r>
          </w:p>
        </w:tc>
        <w:tc>
          <w:tcPr>
            <w:tcW w:w="22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22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7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转增资本</w:t>
            </w:r>
          </w:p>
        </w:tc>
        <w:tc>
          <w:tcPr>
            <w:tcW w:w="22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22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7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永续债（基金）利息</w:t>
            </w:r>
          </w:p>
        </w:tc>
        <w:tc>
          <w:tcPr>
            <w:tcW w:w="22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749,117,316.46</w:t>
            </w:r>
          </w:p>
        </w:tc>
        <w:tc>
          <w:tcPr>
            <w:tcW w:w="22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718,267,971.88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7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其他减少</w:t>
            </w:r>
          </w:p>
        </w:tc>
        <w:tc>
          <w:tcPr>
            <w:tcW w:w="22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22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7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本期期末余额</w:t>
            </w:r>
          </w:p>
        </w:tc>
        <w:tc>
          <w:tcPr>
            <w:tcW w:w="22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-27,099,250,489.96</w:t>
            </w:r>
          </w:p>
        </w:tc>
        <w:tc>
          <w:tcPr>
            <w:tcW w:w="22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-25,806,459,189.66</w:t>
            </w:r>
          </w:p>
        </w:tc>
      </w:tr>
    </w:tbl>
    <w:p>
      <w:pPr>
        <w:pStyle w:val="38"/>
        <w:rPr>
          <w:rFonts w:eastAsiaTheme="minorEastAsia"/>
          <w:color w:val="auto"/>
          <w:highlight w:val="none"/>
        </w:rPr>
      </w:pPr>
      <w:r>
        <w:rPr>
          <w:rFonts w:eastAsiaTheme="minorEastAsia"/>
          <w:color w:val="auto"/>
          <w:highlight w:val="none"/>
        </w:rPr>
        <w:fldChar w:fldCharType="end"/>
      </w:r>
    </w:p>
    <w:p>
      <w:pPr>
        <w:pStyle w:val="38"/>
        <w:rPr>
          <w:rFonts w:eastAsiaTheme="minorEastAsia"/>
          <w:color w:val="auto"/>
          <w:highlight w:val="none"/>
        </w:rPr>
      </w:pPr>
    </w:p>
    <w:p>
      <w:pPr>
        <w:pStyle w:val="38"/>
        <w:rPr>
          <w:rFonts w:eastAsiaTheme="minorEastAsia"/>
          <w:color w:val="auto"/>
          <w:highlight w:val="none"/>
        </w:rPr>
      </w:pPr>
      <w:r>
        <w:rPr>
          <w:rFonts w:eastAsiaTheme="minorEastAsia"/>
          <w:color w:val="auto"/>
          <w:highlight w:val="none"/>
        </w:rPr>
        <w:br w:type="page"/>
      </w:r>
    </w:p>
    <w:p>
      <w:pPr>
        <w:pStyle w:val="37"/>
        <w:rPr>
          <w:rFonts w:eastAsiaTheme="minorEastAsia"/>
          <w:color w:val="auto"/>
          <w:highlight w:val="none"/>
        </w:rPr>
      </w:pPr>
      <w:r>
        <w:rPr>
          <w:rFonts w:eastAsiaTheme="minorEastAsia"/>
          <w:color w:val="auto"/>
          <w:highlight w:val="none"/>
        </w:rPr>
        <w:t>营业收入</w:t>
      </w:r>
      <w:r>
        <w:rPr>
          <w:rFonts w:hint="eastAsia" w:eastAsiaTheme="minorEastAsia"/>
          <w:color w:val="auto"/>
          <w:highlight w:val="none"/>
        </w:rPr>
        <w:t>、</w:t>
      </w:r>
      <w:r>
        <w:rPr>
          <w:rFonts w:eastAsiaTheme="minorEastAsia"/>
          <w:color w:val="auto"/>
          <w:highlight w:val="none"/>
        </w:rPr>
        <w:t>营业成本</w:t>
      </w:r>
    </w:p>
    <w:p>
      <w:pPr>
        <w:pStyle w:val="38"/>
        <w:rPr>
          <w:rFonts w:eastAsiaTheme="minorEastAsia"/>
          <w:color w:val="auto"/>
          <w:highlight w:val="none"/>
        </w:rPr>
      </w:pPr>
      <w:r>
        <w:rPr>
          <w:rFonts w:eastAsiaTheme="minorEastAsia"/>
          <w:b/>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!营业收入和营业成本 \f 4 \h \* MERGEFORMAT </w:instrText>
      </w:r>
      <w:r>
        <w:rPr>
          <w:rFonts w:eastAsiaTheme="minorEastAsia"/>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1860"/>
        <w:gridCol w:w="1533"/>
        <w:gridCol w:w="1534"/>
        <w:gridCol w:w="1592"/>
        <w:gridCol w:w="1669"/>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860"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项目</w:t>
            </w:r>
          </w:p>
        </w:tc>
        <w:tc>
          <w:tcPr>
            <w:tcW w:w="3067"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本期发生额</w:t>
            </w:r>
          </w:p>
        </w:tc>
        <w:tc>
          <w:tcPr>
            <w:tcW w:w="3261"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上期发生额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860"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533"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收入</w:t>
            </w:r>
          </w:p>
        </w:tc>
        <w:tc>
          <w:tcPr>
            <w:tcW w:w="1534"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成本</w:t>
            </w:r>
          </w:p>
        </w:tc>
        <w:tc>
          <w:tcPr>
            <w:tcW w:w="159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收入</w:t>
            </w:r>
          </w:p>
        </w:tc>
        <w:tc>
          <w:tcPr>
            <w:tcW w:w="1669"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成本</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86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1．主营业务小计</w:t>
            </w:r>
          </w:p>
        </w:tc>
        <w:tc>
          <w:tcPr>
            <w:tcW w:w="153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15,338,363,901.00</w:t>
            </w:r>
          </w:p>
        </w:tc>
        <w:tc>
          <w:tcPr>
            <w:tcW w:w="153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13,922,336,128.69</w:t>
            </w:r>
          </w:p>
        </w:tc>
        <w:tc>
          <w:tcPr>
            <w:tcW w:w="159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16,706,559,682.60</w:t>
            </w:r>
          </w:p>
        </w:tc>
        <w:tc>
          <w:tcPr>
            <w:tcW w:w="166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14,223,650,276.85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86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售电收入</w:t>
            </w:r>
          </w:p>
        </w:tc>
        <w:tc>
          <w:tcPr>
            <w:tcW w:w="153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13,430,158,763.71</w:t>
            </w:r>
          </w:p>
        </w:tc>
        <w:tc>
          <w:tcPr>
            <w:tcW w:w="153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11,045,418,117.46</w:t>
            </w:r>
          </w:p>
        </w:tc>
        <w:tc>
          <w:tcPr>
            <w:tcW w:w="159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13,758,658,373.67</w:t>
            </w:r>
          </w:p>
        </w:tc>
        <w:tc>
          <w:tcPr>
            <w:tcW w:w="166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11,471,652,441.32</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86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其他收入</w:t>
            </w:r>
          </w:p>
        </w:tc>
        <w:tc>
          <w:tcPr>
            <w:tcW w:w="153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1,908,205,137.29</w:t>
            </w:r>
          </w:p>
        </w:tc>
        <w:tc>
          <w:tcPr>
            <w:tcW w:w="153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2,876,918,011.23</w:t>
            </w:r>
          </w:p>
        </w:tc>
        <w:tc>
          <w:tcPr>
            <w:tcW w:w="159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2,947,901,308.93</w:t>
            </w:r>
          </w:p>
        </w:tc>
        <w:tc>
          <w:tcPr>
            <w:tcW w:w="166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2,751,997,835.53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PrEx>
        <w:trPr>
          <w:trHeight w:val="283" w:hRule="atLeast"/>
        </w:trPr>
        <w:tc>
          <w:tcPr>
            <w:tcW w:w="186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2．其他业务小计</w:t>
            </w:r>
          </w:p>
        </w:tc>
        <w:tc>
          <w:tcPr>
            <w:tcW w:w="153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982,641,978.66</w:t>
            </w:r>
          </w:p>
        </w:tc>
        <w:tc>
          <w:tcPr>
            <w:tcW w:w="153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862,235,433.87</w:t>
            </w:r>
          </w:p>
        </w:tc>
        <w:tc>
          <w:tcPr>
            <w:tcW w:w="159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514,681,244.14</w:t>
            </w:r>
          </w:p>
        </w:tc>
        <w:tc>
          <w:tcPr>
            <w:tcW w:w="166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290,564,236.82</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86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粉煤灰及蒸汽销售</w:t>
            </w:r>
          </w:p>
        </w:tc>
        <w:tc>
          <w:tcPr>
            <w:tcW w:w="153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17,876,233.84</w:t>
            </w:r>
          </w:p>
        </w:tc>
        <w:tc>
          <w:tcPr>
            <w:tcW w:w="153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9,460,753.05</w:t>
            </w:r>
          </w:p>
        </w:tc>
        <w:tc>
          <w:tcPr>
            <w:tcW w:w="159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48,674,082.38</w:t>
            </w:r>
          </w:p>
        </w:tc>
        <w:tc>
          <w:tcPr>
            <w:tcW w:w="166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26,356,269.62</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86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固定资产出租</w:t>
            </w:r>
          </w:p>
        </w:tc>
        <w:tc>
          <w:tcPr>
            <w:tcW w:w="153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58,746,720.29</w:t>
            </w:r>
          </w:p>
        </w:tc>
        <w:tc>
          <w:tcPr>
            <w:tcW w:w="153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28,095,161.03</w:t>
            </w:r>
          </w:p>
        </w:tc>
        <w:tc>
          <w:tcPr>
            <w:tcW w:w="159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22,621,899.50</w:t>
            </w:r>
          </w:p>
        </w:tc>
        <w:tc>
          <w:tcPr>
            <w:tcW w:w="166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10,795,616.42</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86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发电委托运行</w:t>
            </w:r>
          </w:p>
        </w:tc>
        <w:tc>
          <w:tcPr>
            <w:tcW w:w="153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116,837,418.91</w:t>
            </w:r>
          </w:p>
        </w:tc>
        <w:tc>
          <w:tcPr>
            <w:tcW w:w="153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57,724,568.68</w:t>
            </w:r>
          </w:p>
        </w:tc>
        <w:tc>
          <w:tcPr>
            <w:tcW w:w="159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102,929,826.83</w:t>
            </w:r>
          </w:p>
        </w:tc>
        <w:tc>
          <w:tcPr>
            <w:tcW w:w="166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48,902,333.39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86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其他收入</w:t>
            </w:r>
          </w:p>
        </w:tc>
        <w:tc>
          <w:tcPr>
            <w:tcW w:w="153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789,181,605.62</w:t>
            </w:r>
          </w:p>
        </w:tc>
        <w:tc>
          <w:tcPr>
            <w:tcW w:w="153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766,954,951.11</w:t>
            </w:r>
          </w:p>
        </w:tc>
        <w:tc>
          <w:tcPr>
            <w:tcW w:w="159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340,455,435.43</w:t>
            </w:r>
          </w:p>
        </w:tc>
        <w:tc>
          <w:tcPr>
            <w:tcW w:w="166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204,510,017.39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86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合计</w:t>
            </w:r>
          </w:p>
        </w:tc>
        <w:tc>
          <w:tcPr>
            <w:tcW w:w="153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16,321,005,879.66</w:t>
            </w:r>
          </w:p>
        </w:tc>
        <w:tc>
          <w:tcPr>
            <w:tcW w:w="153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14,784,571,562.56</w:t>
            </w:r>
          </w:p>
        </w:tc>
        <w:tc>
          <w:tcPr>
            <w:tcW w:w="159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17,221,240,926.74</w:t>
            </w:r>
          </w:p>
        </w:tc>
        <w:tc>
          <w:tcPr>
            <w:tcW w:w="166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14,514,214,513.67</w:t>
            </w:r>
          </w:p>
        </w:tc>
      </w:tr>
    </w:tbl>
    <w:p>
      <w:pPr>
        <w:pStyle w:val="38"/>
        <w:rPr>
          <w:rFonts w:eastAsiaTheme="minorEastAsia"/>
          <w:color w:val="auto"/>
          <w:highlight w:val="none"/>
        </w:rPr>
      </w:pPr>
      <w:r>
        <w:rPr>
          <w:rFonts w:eastAsiaTheme="minorEastAsia"/>
          <w:color w:val="auto"/>
          <w:highlight w:val="none"/>
        </w:rPr>
        <w:fldChar w:fldCharType="end"/>
      </w:r>
    </w:p>
    <w:p>
      <w:pPr>
        <w:pStyle w:val="37"/>
        <w:rPr>
          <w:rFonts w:eastAsiaTheme="minorEastAsia"/>
          <w:color w:val="auto"/>
          <w:highlight w:val="none"/>
        </w:rPr>
      </w:pPr>
      <w:r>
        <w:rPr>
          <w:rFonts w:eastAsiaTheme="minorEastAsia"/>
          <w:color w:val="auto"/>
          <w:highlight w:val="none"/>
        </w:rPr>
        <w:t>销售费用</w:t>
      </w:r>
      <w:r>
        <w:rPr>
          <w:rFonts w:hint="eastAsia" w:eastAsiaTheme="minorEastAsia"/>
          <w:color w:val="auto"/>
          <w:highlight w:val="none"/>
        </w:rPr>
        <w:t>、管理费用、研发费用、财务费用</w:t>
      </w:r>
    </w:p>
    <w:p>
      <w:pPr>
        <w:pStyle w:val="44"/>
        <w:rPr>
          <w:color w:val="auto"/>
          <w:highlight w:val="none"/>
        </w:rPr>
      </w:pPr>
      <w:r>
        <w:rPr>
          <w:rFonts w:hint="eastAsia"/>
          <w:color w:val="auto"/>
          <w:highlight w:val="none"/>
        </w:rPr>
        <w:t>销售费用</w:t>
      </w:r>
    </w:p>
    <w:p>
      <w:pPr>
        <w:pStyle w:val="35"/>
        <w:rPr>
          <w:color w:val="auto"/>
          <w:highlight w:val="none"/>
        </w:rPr>
      </w:pPr>
      <w:r>
        <w:rPr>
          <w:b/>
          <w:color w:val="auto"/>
          <w:highlight w:val="none"/>
        </w:rPr>
        <w:fldChar w:fldCharType="begin"/>
      </w:r>
      <w:r>
        <w:rPr>
          <w:color w:val="auto"/>
          <w:highlight w:val="none"/>
        </w:rPr>
        <w:instrText xml:space="preserve"> LINK Excel.Sheet.12 E:\\雍\\附注排版\\2014年年报格式\\附注过渡表20150130V0910.xlsx</w:instrText>
      </w:r>
      <w:r>
        <w:rPr>
          <w:rFonts w:hint="eastAsia"/>
          <w:color w:val="auto"/>
          <w:highlight w:val="none"/>
        </w:rPr>
        <w:instrText xml:space="preserve"> </w:instrText>
      </w:r>
      <w:r>
        <w:rPr>
          <w:rFonts w:hint="eastAsia" w:eastAsiaTheme="minorEastAsia"/>
          <w:color w:val="auto"/>
          <w:highlight w:val="none"/>
        </w:rPr>
        <w:instrText xml:space="preserve">合并附注</w:instrText>
      </w:r>
      <w:r>
        <w:rPr>
          <w:color w:val="auto"/>
          <w:highlight w:val="none"/>
        </w:rPr>
        <w:instrText xml:space="preserve">!销售费用 \f 4 \h \* MERGEFORMAT </w:instrText>
      </w:r>
      <w:r>
        <w:rPr>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3375"/>
        <w:gridCol w:w="2406"/>
        <w:gridCol w:w="2407"/>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337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项目</w:t>
            </w:r>
          </w:p>
        </w:tc>
        <w:tc>
          <w:tcPr>
            <w:tcW w:w="2406"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本期发生额</w:t>
            </w:r>
          </w:p>
        </w:tc>
        <w:tc>
          <w:tcPr>
            <w:tcW w:w="2407"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上期发生额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运输费</w:t>
            </w:r>
          </w:p>
        </w:tc>
        <w:tc>
          <w:tcPr>
            <w:tcW w:w="240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37,966,797.36</w:t>
            </w:r>
          </w:p>
        </w:tc>
        <w:tc>
          <w:tcPr>
            <w:tcW w:w="240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44,730,366.53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职工薪酬</w:t>
            </w:r>
          </w:p>
        </w:tc>
        <w:tc>
          <w:tcPr>
            <w:tcW w:w="240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19,306,296.43</w:t>
            </w:r>
          </w:p>
        </w:tc>
        <w:tc>
          <w:tcPr>
            <w:tcW w:w="240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20,064,223.49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包装费</w:t>
            </w:r>
          </w:p>
        </w:tc>
        <w:tc>
          <w:tcPr>
            <w:tcW w:w="240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19,237,332.21</w:t>
            </w:r>
          </w:p>
        </w:tc>
        <w:tc>
          <w:tcPr>
            <w:tcW w:w="240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33,641,341.47</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装卸费</w:t>
            </w:r>
          </w:p>
        </w:tc>
        <w:tc>
          <w:tcPr>
            <w:tcW w:w="240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7,349,222.96</w:t>
            </w:r>
          </w:p>
        </w:tc>
        <w:tc>
          <w:tcPr>
            <w:tcW w:w="240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11,182,500.61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电费</w:t>
            </w:r>
          </w:p>
        </w:tc>
        <w:tc>
          <w:tcPr>
            <w:tcW w:w="240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6,505,387.44</w:t>
            </w:r>
          </w:p>
        </w:tc>
        <w:tc>
          <w:tcPr>
            <w:tcW w:w="240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8,125,260.48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材料费</w:t>
            </w:r>
          </w:p>
        </w:tc>
        <w:tc>
          <w:tcPr>
            <w:tcW w:w="240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1,543,601.56</w:t>
            </w:r>
          </w:p>
        </w:tc>
        <w:tc>
          <w:tcPr>
            <w:tcW w:w="240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3,199,922.73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仓储保管费</w:t>
            </w:r>
          </w:p>
        </w:tc>
        <w:tc>
          <w:tcPr>
            <w:tcW w:w="240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769,062.29</w:t>
            </w:r>
          </w:p>
        </w:tc>
        <w:tc>
          <w:tcPr>
            <w:tcW w:w="240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样品及产品损耗</w:t>
            </w:r>
          </w:p>
        </w:tc>
        <w:tc>
          <w:tcPr>
            <w:tcW w:w="240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575,267.33</w:t>
            </w:r>
          </w:p>
        </w:tc>
        <w:tc>
          <w:tcPr>
            <w:tcW w:w="240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1,283,037.63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差旅费</w:t>
            </w:r>
          </w:p>
        </w:tc>
        <w:tc>
          <w:tcPr>
            <w:tcW w:w="240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290,056.56</w:t>
            </w:r>
          </w:p>
        </w:tc>
        <w:tc>
          <w:tcPr>
            <w:tcW w:w="240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440,210.61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折旧费</w:t>
            </w:r>
          </w:p>
        </w:tc>
        <w:tc>
          <w:tcPr>
            <w:tcW w:w="240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199,688.30</w:t>
            </w:r>
          </w:p>
        </w:tc>
        <w:tc>
          <w:tcPr>
            <w:tcW w:w="240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179,632.33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租赁费</w:t>
            </w:r>
          </w:p>
        </w:tc>
        <w:tc>
          <w:tcPr>
            <w:tcW w:w="240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177,924.89</w:t>
            </w:r>
          </w:p>
        </w:tc>
        <w:tc>
          <w:tcPr>
            <w:tcW w:w="240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1,582,740.41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业务招待费</w:t>
            </w:r>
          </w:p>
        </w:tc>
        <w:tc>
          <w:tcPr>
            <w:tcW w:w="240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103,087.00</w:t>
            </w:r>
          </w:p>
        </w:tc>
        <w:tc>
          <w:tcPr>
            <w:tcW w:w="240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236,723.16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试验检验费</w:t>
            </w:r>
          </w:p>
        </w:tc>
        <w:tc>
          <w:tcPr>
            <w:tcW w:w="240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88,282.40</w:t>
            </w:r>
          </w:p>
        </w:tc>
        <w:tc>
          <w:tcPr>
            <w:tcW w:w="240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33,482.45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修理费</w:t>
            </w:r>
          </w:p>
        </w:tc>
        <w:tc>
          <w:tcPr>
            <w:tcW w:w="240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58,233.37</w:t>
            </w:r>
          </w:p>
        </w:tc>
        <w:tc>
          <w:tcPr>
            <w:tcW w:w="240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82,102.38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办公费</w:t>
            </w:r>
          </w:p>
        </w:tc>
        <w:tc>
          <w:tcPr>
            <w:tcW w:w="240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19,595.75</w:t>
            </w:r>
          </w:p>
        </w:tc>
        <w:tc>
          <w:tcPr>
            <w:tcW w:w="240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56,525.53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广告宣传费</w:t>
            </w:r>
          </w:p>
        </w:tc>
        <w:tc>
          <w:tcPr>
            <w:tcW w:w="240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14,142.57</w:t>
            </w:r>
          </w:p>
        </w:tc>
        <w:tc>
          <w:tcPr>
            <w:tcW w:w="240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7,862.18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其他</w:t>
            </w:r>
          </w:p>
        </w:tc>
        <w:tc>
          <w:tcPr>
            <w:tcW w:w="240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452,525.18</w:t>
            </w:r>
          </w:p>
        </w:tc>
        <w:tc>
          <w:tcPr>
            <w:tcW w:w="240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3,608,581.80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合计</w:t>
            </w:r>
          </w:p>
        </w:tc>
        <w:tc>
          <w:tcPr>
            <w:tcW w:w="240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94,656,503.60</w:t>
            </w:r>
          </w:p>
        </w:tc>
        <w:tc>
          <w:tcPr>
            <w:tcW w:w="240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128,454,513.79</w:t>
            </w:r>
          </w:p>
        </w:tc>
      </w:tr>
    </w:tbl>
    <w:p>
      <w:pPr>
        <w:pStyle w:val="35"/>
        <w:rPr>
          <w:color w:val="auto"/>
          <w:highlight w:val="none"/>
        </w:rPr>
      </w:pPr>
      <w:r>
        <w:rPr>
          <w:color w:val="auto"/>
          <w:highlight w:val="none"/>
        </w:rPr>
        <w:fldChar w:fldCharType="end"/>
      </w:r>
    </w:p>
    <w:p>
      <w:pPr>
        <w:pStyle w:val="44"/>
        <w:rPr>
          <w:color w:val="auto"/>
          <w:highlight w:val="none"/>
        </w:rPr>
      </w:pPr>
      <w:r>
        <w:rPr>
          <w:color w:val="auto"/>
          <w:highlight w:val="none"/>
        </w:rPr>
        <w:t>管理费用</w:t>
      </w:r>
    </w:p>
    <w:p>
      <w:pPr>
        <w:pStyle w:val="35"/>
        <w:rPr>
          <w:color w:val="auto"/>
          <w:highlight w:val="none"/>
        </w:rPr>
      </w:pPr>
      <w:r>
        <w:rPr>
          <w:b/>
          <w:color w:val="auto"/>
          <w:highlight w:val="none"/>
        </w:rPr>
        <w:fldChar w:fldCharType="begin"/>
      </w:r>
      <w:r>
        <w:rPr>
          <w:color w:val="auto"/>
          <w:highlight w:val="none"/>
        </w:rPr>
        <w:instrText xml:space="preserve"> LINK Excel.Sheet.12 E:\\雍\\附注排版\\2014年年报格式\\附注过渡表20150130V0910.xlsx</w:instrText>
      </w:r>
      <w:r>
        <w:rPr>
          <w:rFonts w:hint="eastAsia"/>
          <w:color w:val="auto"/>
          <w:highlight w:val="none"/>
        </w:rPr>
        <w:instrText xml:space="preserve"> </w:instrText>
      </w:r>
      <w:r>
        <w:rPr>
          <w:rFonts w:hint="eastAsia" w:eastAsiaTheme="minorEastAsia"/>
          <w:color w:val="auto"/>
          <w:highlight w:val="none"/>
        </w:rPr>
        <w:instrText xml:space="preserve">合并附注</w:instrText>
      </w:r>
      <w:r>
        <w:rPr>
          <w:color w:val="auto"/>
          <w:highlight w:val="none"/>
        </w:rPr>
        <w:instrText xml:space="preserve">!管理费用 \f 4 \h \* MERGEFORMAT </w:instrText>
      </w:r>
      <w:r>
        <w:rPr>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3436"/>
        <w:gridCol w:w="2376"/>
        <w:gridCol w:w="2376"/>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3436"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项目</w:t>
            </w:r>
          </w:p>
        </w:tc>
        <w:tc>
          <w:tcPr>
            <w:tcW w:w="2376"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本期发生额</w:t>
            </w:r>
          </w:p>
        </w:tc>
        <w:tc>
          <w:tcPr>
            <w:tcW w:w="2376"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上期发生额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43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职工薪酬</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449,324,769.42</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442,740,397.36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43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折旧费</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33,996,567.36</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35,728,115.26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43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咨询费</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17,438,154.76</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16,524,336.97</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43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物业管理费</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15,034,906.02</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14,423,170.25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43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审计费</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12,157,355.96</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12,373,659.38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43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租赁费</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10,506,939.83</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10,720,216.91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43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差旅费</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10,125,810.64</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10,285,753.77</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43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车辆使用费</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8,819,589.10</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8,987,316.85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43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无形资产摊销</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8,784,144.17</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8,005,323.81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43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信息化费用</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7,161,489.70</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6,956,785.43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43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律师费</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5,106,429.03</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5,038,751.86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43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电费</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3,609,369.23</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3,779,739.15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43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评估费</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3,320,278.71</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3,253,413.59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43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残疾人就业保障金</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3,924,340.17</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3,988,923.23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43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佣金及手续费</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2,826,055.09</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2,865,003.28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43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修理费</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2,970,316.63</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3,045,188.11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43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保险费</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2,936,921.54</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2,989,931.55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43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业务招待费</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2,579,709.45</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6,974,418.72</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43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办公费</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2,497,120.84</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2,539,758.16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43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广告宣传费</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2,194,521.13</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2,255,026.83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43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运输费</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1,748,565.46</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1,769,636.92</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43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诉讼费</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1,197,814.24</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1,134,927.63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43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长期待摊费用摊销</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945,345.04</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930,040.06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43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水费</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620,989.99</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569,045.25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43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协会会费</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636,953.94</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647,169.81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43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取暖费</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527,327.43</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507,700.42</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43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党建工作经费</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991,553.18</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1,019,789.19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43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劳动保护费</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940,592.55</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1,017,733.88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43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低值易耗品摊销</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210,261.94</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600,974.33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43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其他</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37,490,019.63</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92,207,828.50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436"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合计</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650,624,212.18</w:t>
            </w:r>
          </w:p>
        </w:tc>
        <w:tc>
          <w:tcPr>
            <w:tcW w:w="23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703,880,076.46</w:t>
            </w:r>
          </w:p>
        </w:tc>
      </w:tr>
    </w:tbl>
    <w:p>
      <w:pPr>
        <w:pStyle w:val="35"/>
        <w:rPr>
          <w:color w:val="auto"/>
          <w:highlight w:val="none"/>
        </w:rPr>
      </w:pPr>
      <w:r>
        <w:rPr>
          <w:color w:val="auto"/>
          <w:highlight w:val="none"/>
        </w:rPr>
        <w:fldChar w:fldCharType="end"/>
      </w:r>
      <w:r>
        <w:rPr>
          <w:color w:val="auto"/>
          <w:highlight w:val="none"/>
        </w:rPr>
        <w:br w:type="page"/>
      </w:r>
    </w:p>
    <w:p>
      <w:pPr>
        <w:pStyle w:val="44"/>
        <w:rPr>
          <w:color w:val="auto"/>
          <w:highlight w:val="none"/>
        </w:rPr>
      </w:pPr>
      <w:r>
        <w:rPr>
          <w:color w:val="auto"/>
          <w:highlight w:val="none"/>
        </w:rPr>
        <w:t>研发费用</w:t>
      </w:r>
    </w:p>
    <w:p>
      <w:pPr>
        <w:pStyle w:val="35"/>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LINK Excel.SheetMacroEnabled.12 "D:\\vsWorkspace\\branches\\20180822\\StandardTemplateTool\\template\\SASAC\\Frame\\201812\\SASACFinancialReports.xlsm" "合并附注!研发费用" \f 4 \h \* MERGEFORMAT </w:instrText>
      </w:r>
      <w:r>
        <w:rPr>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3692"/>
        <w:gridCol w:w="2305"/>
        <w:gridCol w:w="2191"/>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369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项目</w:t>
            </w:r>
          </w:p>
        </w:tc>
        <w:tc>
          <w:tcPr>
            <w:tcW w:w="230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本期发生额</w:t>
            </w:r>
          </w:p>
        </w:tc>
        <w:tc>
          <w:tcPr>
            <w:tcW w:w="2191"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上期发生额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9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职工薪酬</w:t>
            </w:r>
          </w:p>
        </w:tc>
        <w:tc>
          <w:tcPr>
            <w:tcW w:w="230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98,231,189.33</w:t>
            </w:r>
          </w:p>
        </w:tc>
        <w:tc>
          <w:tcPr>
            <w:tcW w:w="219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252,154,802.45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9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折旧费</w:t>
            </w:r>
          </w:p>
        </w:tc>
        <w:tc>
          <w:tcPr>
            <w:tcW w:w="230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112,291.54</w:t>
            </w:r>
          </w:p>
        </w:tc>
        <w:tc>
          <w:tcPr>
            <w:tcW w:w="219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43,798.65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9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委托开发费</w:t>
            </w:r>
          </w:p>
        </w:tc>
        <w:tc>
          <w:tcPr>
            <w:tcW w:w="230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219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200,000.00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9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咨询费</w:t>
            </w:r>
          </w:p>
        </w:tc>
        <w:tc>
          <w:tcPr>
            <w:tcW w:w="230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219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65,653.66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9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其他</w:t>
            </w:r>
          </w:p>
        </w:tc>
        <w:tc>
          <w:tcPr>
            <w:tcW w:w="230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31,235,962.47</w:t>
            </w:r>
          </w:p>
        </w:tc>
        <w:tc>
          <w:tcPr>
            <w:tcW w:w="219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33,181,838.69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9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合计</w:t>
            </w:r>
          </w:p>
        </w:tc>
        <w:tc>
          <w:tcPr>
            <w:tcW w:w="230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129,579,443.34</w:t>
            </w:r>
          </w:p>
        </w:tc>
        <w:tc>
          <w:tcPr>
            <w:tcW w:w="219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285,646,093.45</w:t>
            </w:r>
          </w:p>
        </w:tc>
      </w:tr>
    </w:tbl>
    <w:p>
      <w:pPr>
        <w:pStyle w:val="35"/>
        <w:rPr>
          <w:color w:val="auto"/>
          <w:highlight w:val="none"/>
        </w:rPr>
      </w:pPr>
      <w:r>
        <w:rPr>
          <w:color w:val="auto"/>
          <w:highlight w:val="none"/>
        </w:rPr>
        <w:fldChar w:fldCharType="end"/>
      </w:r>
    </w:p>
    <w:p>
      <w:pPr>
        <w:pStyle w:val="44"/>
        <w:rPr>
          <w:color w:val="auto"/>
          <w:highlight w:val="none"/>
        </w:rPr>
      </w:pPr>
      <w:r>
        <w:rPr>
          <w:color w:val="auto"/>
          <w:highlight w:val="none"/>
        </w:rPr>
        <w:t>财务费用</w:t>
      </w:r>
    </w:p>
    <w:p>
      <w:pPr>
        <w:pStyle w:val="35"/>
        <w:rPr>
          <w:color w:val="auto"/>
          <w:highlight w:val="none"/>
        </w:rPr>
      </w:pPr>
      <w:r>
        <w:rPr>
          <w:b/>
          <w:color w:val="auto"/>
          <w:highlight w:val="none"/>
        </w:rPr>
        <w:fldChar w:fldCharType="begin"/>
      </w:r>
      <w:r>
        <w:rPr>
          <w:color w:val="auto"/>
          <w:highlight w:val="none"/>
        </w:rPr>
        <w:instrText xml:space="preserve"> LINK Excel.Sheet.12 E:\\雍\\附注排版\\2014年年报格式\\附注过渡表20150130V0910.xlsx</w:instrText>
      </w:r>
      <w:r>
        <w:rPr>
          <w:rFonts w:hint="eastAsia"/>
          <w:color w:val="auto"/>
          <w:highlight w:val="none"/>
        </w:rPr>
        <w:instrText xml:space="preserve"> </w:instrText>
      </w:r>
      <w:r>
        <w:rPr>
          <w:rFonts w:hint="eastAsia" w:eastAsiaTheme="minorEastAsia"/>
          <w:color w:val="auto"/>
          <w:highlight w:val="none"/>
        </w:rPr>
        <w:instrText xml:space="preserve">合并附注</w:instrText>
      </w:r>
      <w:r>
        <w:rPr>
          <w:color w:val="auto"/>
          <w:highlight w:val="none"/>
        </w:rPr>
        <w:instrText xml:space="preserve">!财务费用 \f 4 \h \* MERGEFORMAT </w:instrText>
      </w:r>
      <w:r>
        <w:rPr>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3653"/>
        <w:gridCol w:w="2130"/>
        <w:gridCol w:w="2405"/>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3653"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类别</w:t>
            </w:r>
          </w:p>
        </w:tc>
        <w:tc>
          <w:tcPr>
            <w:tcW w:w="213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本期发生额</w:t>
            </w:r>
          </w:p>
        </w:tc>
        <w:tc>
          <w:tcPr>
            <w:tcW w:w="240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上期发生额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5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利息费用</w:t>
            </w:r>
          </w:p>
        </w:tc>
        <w:tc>
          <w:tcPr>
            <w:tcW w:w="213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1,555,891,589.30</w:t>
            </w:r>
          </w:p>
        </w:tc>
        <w:tc>
          <w:tcPr>
            <w:tcW w:w="240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1,661,311,374.51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5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其中：租赁负债利息费用</w:t>
            </w:r>
          </w:p>
        </w:tc>
        <w:tc>
          <w:tcPr>
            <w:tcW w:w="213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40,081,605.27</w:t>
            </w:r>
          </w:p>
        </w:tc>
        <w:tc>
          <w:tcPr>
            <w:tcW w:w="240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20,726,768.18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5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减：利息收入</w:t>
            </w:r>
          </w:p>
        </w:tc>
        <w:tc>
          <w:tcPr>
            <w:tcW w:w="213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66,264,900.15</w:t>
            </w:r>
          </w:p>
        </w:tc>
        <w:tc>
          <w:tcPr>
            <w:tcW w:w="240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53,867,012.53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5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汇兑净损失（净收益以“-”号填列）</w:t>
            </w:r>
          </w:p>
        </w:tc>
        <w:tc>
          <w:tcPr>
            <w:tcW w:w="213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240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5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其中：汇兑收益</w:t>
            </w:r>
          </w:p>
        </w:tc>
        <w:tc>
          <w:tcPr>
            <w:tcW w:w="213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240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5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汇兑损失</w:t>
            </w:r>
          </w:p>
        </w:tc>
        <w:tc>
          <w:tcPr>
            <w:tcW w:w="213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240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5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其他</w:t>
            </w:r>
          </w:p>
        </w:tc>
        <w:tc>
          <w:tcPr>
            <w:tcW w:w="213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45,582,778.79</w:t>
            </w:r>
          </w:p>
        </w:tc>
        <w:tc>
          <w:tcPr>
            <w:tcW w:w="240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87,925,166.29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53"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合计</w:t>
            </w:r>
          </w:p>
        </w:tc>
        <w:tc>
          <w:tcPr>
            <w:tcW w:w="213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1,535,209,467.94</w:t>
            </w:r>
          </w:p>
        </w:tc>
        <w:tc>
          <w:tcPr>
            <w:tcW w:w="240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1,695,369,528.27</w:t>
            </w:r>
          </w:p>
        </w:tc>
      </w:tr>
    </w:tbl>
    <w:p>
      <w:pPr>
        <w:pStyle w:val="35"/>
        <w:rPr>
          <w:rFonts w:eastAsiaTheme="minorEastAsia"/>
          <w:color w:val="auto"/>
          <w:highlight w:val="none"/>
        </w:rPr>
      </w:pPr>
      <w:r>
        <w:rPr>
          <w:color w:val="auto"/>
          <w:highlight w:val="none"/>
        </w:rPr>
        <w:fldChar w:fldCharType="end"/>
      </w:r>
    </w:p>
    <w:p>
      <w:pPr>
        <w:pStyle w:val="37"/>
        <w:rPr>
          <w:rFonts w:eastAsiaTheme="minorEastAsia"/>
          <w:color w:val="auto"/>
          <w:highlight w:val="none"/>
        </w:rPr>
      </w:pPr>
      <w:r>
        <w:rPr>
          <w:rFonts w:hint="eastAsia"/>
          <w:color w:val="auto"/>
          <w:highlight w:val="none"/>
        </w:rPr>
        <w:t>其他收益</w:t>
      </w:r>
    </w:p>
    <w:p>
      <w:pPr>
        <w:pStyle w:val="38"/>
        <w:rPr>
          <w:rFonts w:asciiTheme="minorHAnsi" w:hAnsiTheme="minorHAnsi" w:eastAsiaTheme="minorEastAsia" w:cstheme="minorBidi"/>
          <w:color w:val="auto"/>
          <w:highlight w:val="none"/>
        </w:rPr>
      </w:pPr>
      <w:r>
        <w:rPr>
          <w:rFonts w:eastAsiaTheme="minorEastAsia"/>
          <w:color w:val="auto"/>
          <w:highlight w:val="none"/>
        </w:rPr>
        <w:fldChar w:fldCharType="begin"/>
      </w:r>
      <w:r>
        <w:rPr>
          <w:rFonts w:eastAsiaTheme="minorEastAsia"/>
          <w:color w:val="auto"/>
          <w:highlight w:val="none"/>
        </w:rPr>
        <w:instrText xml:space="preserve"> LINK Excel.SheetMacroEnabled.12 "D:\\tonylee\\立信\\新附注排版工具\\2016央企年报格式\\中央企业财务报表和报表附注20170109V1.xlsm" "合并附注!其他收益" \f 4 \h \* MERGEFORMAT </w:instrText>
      </w:r>
      <w:r>
        <w:rPr>
          <w:rFonts w:eastAsiaTheme="minorEastAsia"/>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3653"/>
        <w:gridCol w:w="1676"/>
        <w:gridCol w:w="1372"/>
        <w:gridCol w:w="1487"/>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3653"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项目</w:t>
            </w:r>
          </w:p>
        </w:tc>
        <w:tc>
          <w:tcPr>
            <w:tcW w:w="1676"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本期发生额</w:t>
            </w:r>
          </w:p>
        </w:tc>
        <w:tc>
          <w:tcPr>
            <w:tcW w:w="137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上期发生额</w:t>
            </w:r>
          </w:p>
        </w:tc>
        <w:tc>
          <w:tcPr>
            <w:tcW w:w="1487"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是否为政府补助</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5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政府补助-与日常经营活动相关</w:t>
            </w:r>
          </w:p>
        </w:tc>
        <w:tc>
          <w:tcPr>
            <w:tcW w:w="16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83,611,508.37</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243,820,657.60</w:t>
            </w:r>
          </w:p>
        </w:tc>
        <w:tc>
          <w:tcPr>
            <w:tcW w:w="1487"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是</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5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增值税返还</w:t>
            </w:r>
          </w:p>
        </w:tc>
        <w:tc>
          <w:tcPr>
            <w:tcW w:w="16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1,630,330.04</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1,226,464.50</w:t>
            </w:r>
          </w:p>
        </w:tc>
        <w:tc>
          <w:tcPr>
            <w:tcW w:w="1487"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5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个人手续费返还</w:t>
            </w:r>
          </w:p>
        </w:tc>
        <w:tc>
          <w:tcPr>
            <w:tcW w:w="16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1,053,932.23</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560,345.61</w:t>
            </w:r>
          </w:p>
        </w:tc>
        <w:tc>
          <w:tcPr>
            <w:tcW w:w="1487"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5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按照当期可抵扣进项税加计扣除的进项税额</w:t>
            </w:r>
          </w:p>
        </w:tc>
        <w:tc>
          <w:tcPr>
            <w:tcW w:w="16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5,850.00</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117,535.29</w:t>
            </w:r>
          </w:p>
        </w:tc>
        <w:tc>
          <w:tcPr>
            <w:tcW w:w="1487"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5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其他</w:t>
            </w:r>
          </w:p>
        </w:tc>
        <w:tc>
          <w:tcPr>
            <w:tcW w:w="16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114,195.37</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356,710.17</w:t>
            </w:r>
          </w:p>
        </w:tc>
        <w:tc>
          <w:tcPr>
            <w:tcW w:w="1487"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53"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合计</w:t>
            </w:r>
          </w:p>
        </w:tc>
        <w:tc>
          <w:tcPr>
            <w:tcW w:w="16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86,415,816.01</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246,081,713.17</w:t>
            </w:r>
          </w:p>
        </w:tc>
        <w:tc>
          <w:tcPr>
            <w:tcW w:w="1487"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5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其中：政府补助</w:t>
            </w:r>
          </w:p>
        </w:tc>
        <w:tc>
          <w:tcPr>
            <w:tcW w:w="167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83,611,508.37</w:t>
            </w:r>
          </w:p>
        </w:tc>
        <w:tc>
          <w:tcPr>
            <w:tcW w:w="137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243,820,657.60</w:t>
            </w:r>
          </w:p>
        </w:tc>
        <w:tc>
          <w:tcPr>
            <w:tcW w:w="1487"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r>
    </w:tbl>
    <w:p>
      <w:pPr>
        <w:pStyle w:val="38"/>
        <w:rPr>
          <w:rFonts w:eastAsiaTheme="minorEastAsia"/>
          <w:color w:val="auto"/>
          <w:highlight w:val="none"/>
        </w:rPr>
      </w:pPr>
      <w:r>
        <w:rPr>
          <w:rFonts w:eastAsiaTheme="minorEastAsia"/>
          <w:color w:val="auto"/>
          <w:highlight w:val="none"/>
        </w:rPr>
        <w:fldChar w:fldCharType="end"/>
      </w:r>
    </w:p>
    <w:p>
      <w:pPr>
        <w:pStyle w:val="38"/>
        <w:rPr>
          <w:rFonts w:eastAsiaTheme="minorEastAsia"/>
          <w:color w:val="auto"/>
          <w:highlight w:val="none"/>
        </w:rPr>
      </w:pPr>
      <w:r>
        <w:rPr>
          <w:rFonts w:eastAsiaTheme="minorEastAsia"/>
          <w:color w:val="auto"/>
          <w:highlight w:val="none"/>
        </w:rPr>
        <w:br w:type="page"/>
      </w:r>
    </w:p>
    <w:p>
      <w:pPr>
        <w:pStyle w:val="37"/>
        <w:rPr>
          <w:rFonts w:eastAsiaTheme="minorEastAsia"/>
          <w:color w:val="auto"/>
          <w:highlight w:val="none"/>
        </w:rPr>
      </w:pPr>
      <w:r>
        <w:rPr>
          <w:rFonts w:eastAsiaTheme="minorEastAsia"/>
          <w:color w:val="auto"/>
          <w:highlight w:val="none"/>
        </w:rPr>
        <w:t>投资收益</w:t>
      </w:r>
    </w:p>
    <w:p>
      <w:pPr>
        <w:pStyle w:val="38"/>
        <w:rPr>
          <w:rFonts w:eastAsiaTheme="minorEastAsia"/>
          <w:color w:val="auto"/>
          <w:szCs w:val="22"/>
          <w:highlight w:val="none"/>
        </w:rPr>
      </w:pPr>
      <w:r>
        <w:rPr>
          <w:rFonts w:eastAsiaTheme="minorEastAsia"/>
          <w:b/>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!投资收益 \f 4 \h \* MERGEFORMAT </w:instrText>
      </w:r>
      <w:r>
        <w:rPr>
          <w:rFonts w:eastAsiaTheme="minorEastAsia"/>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4712"/>
        <w:gridCol w:w="1738"/>
        <w:gridCol w:w="1738"/>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471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项目</w:t>
            </w:r>
          </w:p>
        </w:tc>
        <w:tc>
          <w:tcPr>
            <w:tcW w:w="1738"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本期发生额</w:t>
            </w:r>
          </w:p>
        </w:tc>
        <w:tc>
          <w:tcPr>
            <w:tcW w:w="1738"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上期发生额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71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权益法核算的长期股权投资收益</w:t>
            </w:r>
          </w:p>
        </w:tc>
        <w:tc>
          <w:tcPr>
            <w:tcW w:w="173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44,407,853.19</w:t>
            </w:r>
          </w:p>
        </w:tc>
        <w:tc>
          <w:tcPr>
            <w:tcW w:w="173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151,635,581.26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71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处置长期股权投资产生的投资收益</w:t>
            </w:r>
          </w:p>
        </w:tc>
        <w:tc>
          <w:tcPr>
            <w:tcW w:w="173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1,650,139,459.22</w:t>
            </w:r>
          </w:p>
        </w:tc>
        <w:tc>
          <w:tcPr>
            <w:tcW w:w="173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42,025,109.16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71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其他权益工具投资持有期间的投资收益</w:t>
            </w:r>
          </w:p>
        </w:tc>
        <w:tc>
          <w:tcPr>
            <w:tcW w:w="173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36,232,800.00</w:t>
            </w:r>
          </w:p>
        </w:tc>
        <w:tc>
          <w:tcPr>
            <w:tcW w:w="173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36,710,930.00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71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取得控制权时，股权按公允价值重新计量产生的利得</w:t>
            </w:r>
          </w:p>
        </w:tc>
        <w:tc>
          <w:tcPr>
            <w:tcW w:w="173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73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347,190,654.27</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71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委贷利息收益</w:t>
            </w:r>
          </w:p>
        </w:tc>
        <w:tc>
          <w:tcPr>
            <w:tcW w:w="173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82,684,447.91</w:t>
            </w:r>
          </w:p>
        </w:tc>
        <w:tc>
          <w:tcPr>
            <w:tcW w:w="173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80,242,508.74</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71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其他</w:t>
            </w:r>
          </w:p>
        </w:tc>
        <w:tc>
          <w:tcPr>
            <w:tcW w:w="173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139,673.30</w:t>
            </w:r>
          </w:p>
        </w:tc>
        <w:tc>
          <w:tcPr>
            <w:tcW w:w="173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71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合计</w:t>
            </w:r>
          </w:p>
        </w:tc>
        <w:tc>
          <w:tcPr>
            <w:tcW w:w="173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1,813,604,233.62</w:t>
            </w:r>
          </w:p>
        </w:tc>
        <w:tc>
          <w:tcPr>
            <w:tcW w:w="173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657,804,783.43</w:t>
            </w:r>
          </w:p>
        </w:tc>
      </w:tr>
    </w:tbl>
    <w:p>
      <w:pPr>
        <w:pStyle w:val="38"/>
        <w:rPr>
          <w:rFonts w:eastAsiaTheme="minorEastAsia"/>
          <w:color w:val="auto"/>
          <w:highlight w:val="none"/>
        </w:rPr>
      </w:pPr>
      <w:r>
        <w:rPr>
          <w:rFonts w:eastAsiaTheme="minorEastAsia"/>
          <w:color w:val="auto"/>
          <w:highlight w:val="none"/>
        </w:rPr>
        <w:fldChar w:fldCharType="end"/>
      </w:r>
    </w:p>
    <w:p>
      <w:pPr>
        <w:pStyle w:val="37"/>
        <w:rPr>
          <w:rFonts w:eastAsiaTheme="minorEastAsia"/>
          <w:color w:val="auto"/>
          <w:highlight w:val="none"/>
        </w:rPr>
      </w:pPr>
      <w:r>
        <w:rPr>
          <w:rFonts w:eastAsiaTheme="minorEastAsia"/>
          <w:color w:val="auto"/>
          <w:highlight w:val="none"/>
        </w:rPr>
        <w:t>公允价值变动收益</w:t>
      </w:r>
    </w:p>
    <w:p>
      <w:pPr>
        <w:pStyle w:val="38"/>
        <w:rPr>
          <w:rFonts w:eastAsiaTheme="minorEastAsia"/>
          <w:color w:val="auto"/>
          <w:highlight w:val="none"/>
        </w:rPr>
      </w:pPr>
      <w:r>
        <w:rPr>
          <w:rFonts w:eastAsiaTheme="minorEastAsia"/>
          <w:b/>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!公允价值变动收益 \f 4 \h \* MERGEFORMAT </w:instrText>
      </w:r>
      <w:r>
        <w:rPr>
          <w:rFonts w:eastAsiaTheme="minorEastAsia"/>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4778"/>
        <w:gridCol w:w="1706"/>
        <w:gridCol w:w="1704"/>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4778"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产生公允价值变动收益的来源</w:t>
            </w:r>
          </w:p>
        </w:tc>
        <w:tc>
          <w:tcPr>
            <w:tcW w:w="1706"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本期发生额</w:t>
            </w:r>
          </w:p>
        </w:tc>
        <w:tc>
          <w:tcPr>
            <w:tcW w:w="1704"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上期发生额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77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按公允价值计量的投资性房地产</w:t>
            </w:r>
          </w:p>
        </w:tc>
        <w:tc>
          <w:tcPr>
            <w:tcW w:w="170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-24,724,161.36</w:t>
            </w:r>
          </w:p>
        </w:tc>
        <w:tc>
          <w:tcPr>
            <w:tcW w:w="170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-16,471,236.91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778"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合计</w:t>
            </w:r>
          </w:p>
        </w:tc>
        <w:tc>
          <w:tcPr>
            <w:tcW w:w="170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-24,724,161.36</w:t>
            </w:r>
          </w:p>
        </w:tc>
        <w:tc>
          <w:tcPr>
            <w:tcW w:w="170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-16,471,236.91</w:t>
            </w:r>
          </w:p>
        </w:tc>
      </w:tr>
    </w:tbl>
    <w:p>
      <w:pPr>
        <w:pStyle w:val="38"/>
        <w:rPr>
          <w:rFonts w:eastAsiaTheme="minorEastAsia"/>
          <w:color w:val="auto"/>
          <w:highlight w:val="none"/>
        </w:rPr>
      </w:pPr>
      <w:r>
        <w:rPr>
          <w:rFonts w:eastAsiaTheme="minorEastAsia"/>
          <w:color w:val="auto"/>
          <w:highlight w:val="none"/>
        </w:rPr>
        <w:fldChar w:fldCharType="end"/>
      </w:r>
    </w:p>
    <w:p>
      <w:pPr>
        <w:pStyle w:val="37"/>
        <w:rPr>
          <w:rFonts w:eastAsiaTheme="minorEastAsia"/>
          <w:color w:val="auto"/>
          <w:highlight w:val="none"/>
        </w:rPr>
      </w:pPr>
      <w:r>
        <w:rPr>
          <w:rFonts w:hint="eastAsia" w:eastAsiaTheme="minorEastAsia"/>
          <w:color w:val="auto"/>
          <w:highlight w:val="none"/>
        </w:rPr>
        <w:t>信用</w:t>
      </w:r>
      <w:r>
        <w:rPr>
          <w:rFonts w:eastAsiaTheme="minorEastAsia"/>
          <w:color w:val="auto"/>
          <w:highlight w:val="none"/>
        </w:rPr>
        <w:t>减值损失</w:t>
      </w:r>
    </w:p>
    <w:p>
      <w:pPr>
        <w:pStyle w:val="38"/>
        <w:rPr>
          <w:rFonts w:eastAsiaTheme="minorEastAsia"/>
          <w:color w:val="auto"/>
          <w:highlight w:val="none"/>
        </w:rPr>
      </w:pPr>
      <w:r>
        <w:rPr>
          <w:rFonts w:eastAsiaTheme="minorEastAsia"/>
          <w:b/>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w:instrText>
      </w:r>
      <w:r>
        <w:rPr>
          <w:rFonts w:hint="eastAsia" w:eastAsiaTheme="minorEastAsia"/>
          <w:color w:val="auto"/>
          <w:highlight w:val="none"/>
        </w:rPr>
        <w:instrText xml:space="preserve">信用</w:instrText>
      </w:r>
      <w:r>
        <w:rPr>
          <w:rFonts w:eastAsiaTheme="minorEastAsia"/>
          <w:color w:val="auto"/>
          <w:highlight w:val="none"/>
        </w:rPr>
        <w:instrText xml:space="preserve">减值损失 \f 4 \h \* MERGEFORMAT </w:instrText>
      </w:r>
      <w:r>
        <w:rPr>
          <w:rFonts w:eastAsiaTheme="minorEastAsia"/>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3375"/>
        <w:gridCol w:w="2406"/>
        <w:gridCol w:w="2407"/>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337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项目</w:t>
            </w:r>
          </w:p>
        </w:tc>
        <w:tc>
          <w:tcPr>
            <w:tcW w:w="2406"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本期发生额</w:t>
            </w:r>
          </w:p>
        </w:tc>
        <w:tc>
          <w:tcPr>
            <w:tcW w:w="2407"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上期发生额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坏账损失</w:t>
            </w:r>
          </w:p>
        </w:tc>
        <w:tc>
          <w:tcPr>
            <w:tcW w:w="240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12,183,109.32</w:t>
            </w:r>
          </w:p>
        </w:tc>
        <w:tc>
          <w:tcPr>
            <w:tcW w:w="240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796,874,509.75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其他债权投资减值损失</w:t>
            </w:r>
          </w:p>
        </w:tc>
        <w:tc>
          <w:tcPr>
            <w:tcW w:w="240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240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-1,960,500,000.00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合计</w:t>
            </w:r>
          </w:p>
        </w:tc>
        <w:tc>
          <w:tcPr>
            <w:tcW w:w="240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12,183,109.32</w:t>
            </w:r>
          </w:p>
        </w:tc>
        <w:tc>
          <w:tcPr>
            <w:tcW w:w="240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-1,163,625,490.25</w:t>
            </w:r>
          </w:p>
        </w:tc>
      </w:tr>
    </w:tbl>
    <w:p>
      <w:pPr>
        <w:pStyle w:val="38"/>
        <w:rPr>
          <w:rFonts w:eastAsiaTheme="minorEastAsia"/>
          <w:color w:val="auto"/>
          <w:highlight w:val="none"/>
        </w:rPr>
      </w:pPr>
      <w:r>
        <w:rPr>
          <w:rFonts w:eastAsiaTheme="minorEastAsia"/>
          <w:color w:val="auto"/>
          <w:highlight w:val="none"/>
        </w:rPr>
        <w:fldChar w:fldCharType="end"/>
      </w:r>
    </w:p>
    <w:p>
      <w:pPr>
        <w:pStyle w:val="37"/>
        <w:rPr>
          <w:rFonts w:eastAsiaTheme="minorEastAsia"/>
          <w:color w:val="auto"/>
          <w:highlight w:val="none"/>
        </w:rPr>
      </w:pPr>
      <w:r>
        <w:rPr>
          <w:rFonts w:eastAsiaTheme="minorEastAsia"/>
          <w:color w:val="auto"/>
          <w:highlight w:val="none"/>
        </w:rPr>
        <w:t>资产减值损失</w:t>
      </w:r>
    </w:p>
    <w:p>
      <w:pPr>
        <w:pStyle w:val="38"/>
        <w:rPr>
          <w:rFonts w:eastAsiaTheme="minorEastAsia"/>
          <w:color w:val="auto"/>
          <w:highlight w:val="none"/>
        </w:rPr>
      </w:pPr>
      <w:r>
        <w:rPr>
          <w:rFonts w:eastAsiaTheme="minorEastAsia"/>
          <w:b/>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!资产减值损失 \f 4 \h \* MERGEFORMAT </w:instrText>
      </w:r>
      <w:r>
        <w:rPr>
          <w:rFonts w:eastAsiaTheme="minorEastAsia"/>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3375"/>
        <w:gridCol w:w="2406"/>
        <w:gridCol w:w="2407"/>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337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项目</w:t>
            </w:r>
          </w:p>
        </w:tc>
        <w:tc>
          <w:tcPr>
            <w:tcW w:w="2406"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本期发生额</w:t>
            </w:r>
          </w:p>
        </w:tc>
        <w:tc>
          <w:tcPr>
            <w:tcW w:w="2407"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上期发生额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存货跌价损失</w:t>
            </w:r>
          </w:p>
        </w:tc>
        <w:tc>
          <w:tcPr>
            <w:tcW w:w="240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-524,325.46</w:t>
            </w:r>
          </w:p>
        </w:tc>
        <w:tc>
          <w:tcPr>
            <w:tcW w:w="240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固定资产减值损失</w:t>
            </w:r>
          </w:p>
        </w:tc>
        <w:tc>
          <w:tcPr>
            <w:tcW w:w="240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508,041,073.66</w:t>
            </w:r>
          </w:p>
        </w:tc>
        <w:tc>
          <w:tcPr>
            <w:tcW w:w="240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764,498.66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在建工程减值损失</w:t>
            </w:r>
          </w:p>
        </w:tc>
        <w:tc>
          <w:tcPr>
            <w:tcW w:w="240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1,011,766.47</w:t>
            </w:r>
          </w:p>
        </w:tc>
        <w:tc>
          <w:tcPr>
            <w:tcW w:w="240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2,751,328.27</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商誉减值损失</w:t>
            </w:r>
          </w:p>
        </w:tc>
        <w:tc>
          <w:tcPr>
            <w:tcW w:w="240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240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3,501,241,469.15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坏账损失（预付款项）</w:t>
            </w:r>
          </w:p>
        </w:tc>
        <w:tc>
          <w:tcPr>
            <w:tcW w:w="240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-5,626,191.31</w:t>
            </w:r>
          </w:p>
        </w:tc>
        <w:tc>
          <w:tcPr>
            <w:tcW w:w="240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-6,735,334.29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合计</w:t>
            </w:r>
          </w:p>
        </w:tc>
        <w:tc>
          <w:tcPr>
            <w:tcW w:w="240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502,902,323.36</w:t>
            </w:r>
          </w:p>
        </w:tc>
        <w:tc>
          <w:tcPr>
            <w:tcW w:w="240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3,498,021,961.79</w:t>
            </w:r>
          </w:p>
        </w:tc>
      </w:tr>
    </w:tbl>
    <w:p>
      <w:pPr>
        <w:pStyle w:val="38"/>
        <w:rPr>
          <w:rFonts w:eastAsiaTheme="minorEastAsia"/>
          <w:color w:val="auto"/>
          <w:highlight w:val="none"/>
        </w:rPr>
      </w:pPr>
      <w:r>
        <w:rPr>
          <w:rFonts w:eastAsiaTheme="minorEastAsia"/>
          <w:color w:val="auto"/>
          <w:highlight w:val="none"/>
        </w:rPr>
        <w:fldChar w:fldCharType="end"/>
      </w:r>
    </w:p>
    <w:p>
      <w:pPr>
        <w:pStyle w:val="38"/>
        <w:rPr>
          <w:rFonts w:eastAsiaTheme="minorEastAsia"/>
          <w:color w:val="auto"/>
          <w:highlight w:val="none"/>
        </w:rPr>
      </w:pPr>
      <w:r>
        <w:rPr>
          <w:rFonts w:eastAsiaTheme="minorEastAsia"/>
          <w:color w:val="auto"/>
          <w:highlight w:val="none"/>
        </w:rPr>
        <w:br w:type="page"/>
      </w:r>
    </w:p>
    <w:p>
      <w:pPr>
        <w:pStyle w:val="37"/>
        <w:rPr>
          <w:rFonts w:eastAsiaTheme="minorEastAsia"/>
          <w:color w:val="auto"/>
          <w:highlight w:val="none"/>
        </w:rPr>
      </w:pPr>
      <w:r>
        <w:rPr>
          <w:rFonts w:hint="eastAsia" w:eastAsiaTheme="minorEastAsia"/>
          <w:color w:val="auto"/>
          <w:highlight w:val="none"/>
        </w:rPr>
        <w:t>资产处置收益</w:t>
      </w:r>
    </w:p>
    <w:p>
      <w:pPr>
        <w:pStyle w:val="38"/>
        <w:rPr>
          <w:rFonts w:asciiTheme="minorHAnsi" w:hAnsiTheme="minorHAnsi" w:eastAsiaTheme="minorEastAsia" w:cstheme="minorBidi"/>
          <w:color w:val="auto"/>
          <w:szCs w:val="22"/>
          <w:highlight w:val="none"/>
        </w:rPr>
      </w:pPr>
      <w:r>
        <w:rPr>
          <w:rFonts w:eastAsiaTheme="minorEastAsia"/>
          <w:color w:val="auto"/>
          <w:highlight w:val="none"/>
        </w:rPr>
        <w:fldChar w:fldCharType="begin"/>
      </w:r>
      <w:r>
        <w:rPr>
          <w:rFonts w:eastAsiaTheme="minorEastAsia"/>
          <w:color w:val="auto"/>
          <w:highlight w:val="none"/>
        </w:rPr>
        <w:instrText xml:space="preserve"> LINK Excel.SheetMacroEnabled.12 "D:\\vsWorkspace\\branches\\20180822\\StandardTemplateTool\\template\\SASAC\\Frame\\201812\\SASACFinancialReports.xlsm" "合并附注!资产处置收益" \f 4 \h \* MERGEFORMAT </w:instrText>
      </w:r>
      <w:r>
        <w:rPr>
          <w:rFonts w:eastAsiaTheme="minorEastAsia"/>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3692"/>
        <w:gridCol w:w="2305"/>
        <w:gridCol w:w="2191"/>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369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项目</w:t>
            </w:r>
          </w:p>
        </w:tc>
        <w:tc>
          <w:tcPr>
            <w:tcW w:w="230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本期发生额</w:t>
            </w:r>
          </w:p>
        </w:tc>
        <w:tc>
          <w:tcPr>
            <w:tcW w:w="2191"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上期发生额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9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固定资产处置利得或损失</w:t>
            </w:r>
          </w:p>
        </w:tc>
        <w:tc>
          <w:tcPr>
            <w:tcW w:w="230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130,879,954.49</w:t>
            </w:r>
          </w:p>
        </w:tc>
        <w:tc>
          <w:tcPr>
            <w:tcW w:w="219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393,982.36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9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在建工程处置利得或损失</w:t>
            </w:r>
          </w:p>
        </w:tc>
        <w:tc>
          <w:tcPr>
            <w:tcW w:w="230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219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160,739,624.90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9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合计</w:t>
            </w:r>
          </w:p>
        </w:tc>
        <w:tc>
          <w:tcPr>
            <w:tcW w:w="230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130,879,954.49</w:t>
            </w:r>
          </w:p>
        </w:tc>
        <w:tc>
          <w:tcPr>
            <w:tcW w:w="219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161,133,607.26</w:t>
            </w:r>
          </w:p>
        </w:tc>
      </w:tr>
    </w:tbl>
    <w:p>
      <w:pPr>
        <w:pStyle w:val="38"/>
        <w:rPr>
          <w:rFonts w:eastAsiaTheme="minorEastAsia"/>
          <w:color w:val="auto"/>
          <w:highlight w:val="none"/>
        </w:rPr>
      </w:pPr>
      <w:r>
        <w:rPr>
          <w:rFonts w:eastAsiaTheme="minorEastAsia"/>
          <w:color w:val="auto"/>
          <w:highlight w:val="none"/>
        </w:rPr>
        <w:fldChar w:fldCharType="end"/>
      </w:r>
    </w:p>
    <w:p>
      <w:pPr>
        <w:pStyle w:val="37"/>
        <w:rPr>
          <w:rFonts w:eastAsiaTheme="minorEastAsia"/>
          <w:color w:val="auto"/>
          <w:highlight w:val="none"/>
        </w:rPr>
      </w:pPr>
      <w:r>
        <w:rPr>
          <w:rFonts w:eastAsiaTheme="minorEastAsia"/>
          <w:color w:val="auto"/>
          <w:highlight w:val="none"/>
        </w:rPr>
        <w:t>营业外收入</w:t>
      </w:r>
    </w:p>
    <w:p>
      <w:pPr>
        <w:pStyle w:val="38"/>
        <w:rPr>
          <w:rFonts w:eastAsiaTheme="minorEastAsia"/>
          <w:color w:val="auto"/>
          <w:highlight w:val="none"/>
        </w:rPr>
      </w:pPr>
      <w:r>
        <w:rPr>
          <w:rFonts w:eastAsiaTheme="minorEastAsia"/>
          <w:b/>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!营业外收入 \f 4 \h \* MERGEFORMAT </w:instrText>
      </w:r>
      <w:r>
        <w:rPr>
          <w:rFonts w:eastAsiaTheme="minorEastAsia"/>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3043"/>
        <w:gridCol w:w="1525"/>
        <w:gridCol w:w="1371"/>
        <w:gridCol w:w="2249"/>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3043"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项目</w:t>
            </w:r>
          </w:p>
        </w:tc>
        <w:tc>
          <w:tcPr>
            <w:tcW w:w="152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本期发生额</w:t>
            </w:r>
          </w:p>
        </w:tc>
        <w:tc>
          <w:tcPr>
            <w:tcW w:w="1371"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上期发生额</w:t>
            </w:r>
          </w:p>
        </w:tc>
        <w:tc>
          <w:tcPr>
            <w:tcW w:w="2249"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计入当期非经常性损益的金额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04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违约金收入</w:t>
            </w:r>
          </w:p>
        </w:tc>
        <w:tc>
          <w:tcPr>
            <w:tcW w:w="152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24,515,701.22</w:t>
            </w:r>
          </w:p>
        </w:tc>
        <w:tc>
          <w:tcPr>
            <w:tcW w:w="1371"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1,343,851.51</w:t>
            </w:r>
          </w:p>
        </w:tc>
        <w:tc>
          <w:tcPr>
            <w:tcW w:w="2249"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24,515,701.22</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04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经批准无需支付的应付款项</w:t>
            </w:r>
          </w:p>
        </w:tc>
        <w:tc>
          <w:tcPr>
            <w:tcW w:w="152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18,373,985.87</w:t>
            </w:r>
          </w:p>
        </w:tc>
        <w:tc>
          <w:tcPr>
            <w:tcW w:w="1371"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p>
        </w:tc>
        <w:tc>
          <w:tcPr>
            <w:tcW w:w="2249"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18,373,985.87</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04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罚款净收入</w:t>
            </w:r>
          </w:p>
        </w:tc>
        <w:tc>
          <w:tcPr>
            <w:tcW w:w="152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2,618,401.43</w:t>
            </w:r>
          </w:p>
        </w:tc>
        <w:tc>
          <w:tcPr>
            <w:tcW w:w="1371"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1,803,276.95</w:t>
            </w:r>
          </w:p>
        </w:tc>
        <w:tc>
          <w:tcPr>
            <w:tcW w:w="2249"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2,618,401.43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04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与企业日常活动无关的政府补助</w:t>
            </w:r>
          </w:p>
        </w:tc>
        <w:tc>
          <w:tcPr>
            <w:tcW w:w="152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325,473.00</w:t>
            </w:r>
          </w:p>
        </w:tc>
        <w:tc>
          <w:tcPr>
            <w:tcW w:w="1371"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200,900.00</w:t>
            </w:r>
          </w:p>
        </w:tc>
        <w:tc>
          <w:tcPr>
            <w:tcW w:w="2249"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325,473.00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04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非流动资产毁损报废利得</w:t>
            </w:r>
          </w:p>
        </w:tc>
        <w:tc>
          <w:tcPr>
            <w:tcW w:w="152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63,216.95</w:t>
            </w:r>
          </w:p>
        </w:tc>
        <w:tc>
          <w:tcPr>
            <w:tcW w:w="137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811,067.47</w:t>
            </w:r>
          </w:p>
        </w:tc>
        <w:tc>
          <w:tcPr>
            <w:tcW w:w="2249"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63,216.95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04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预计负债担保减少</w:t>
            </w:r>
          </w:p>
        </w:tc>
        <w:tc>
          <w:tcPr>
            <w:tcW w:w="152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222,000.00</w:t>
            </w:r>
          </w:p>
        </w:tc>
        <w:tc>
          <w:tcPr>
            <w:tcW w:w="137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800,000.00</w:t>
            </w:r>
          </w:p>
        </w:tc>
        <w:tc>
          <w:tcPr>
            <w:tcW w:w="2249"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222,000.00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04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盘盈利得</w:t>
            </w:r>
          </w:p>
        </w:tc>
        <w:tc>
          <w:tcPr>
            <w:tcW w:w="152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12,551.40</w:t>
            </w:r>
          </w:p>
        </w:tc>
        <w:tc>
          <w:tcPr>
            <w:tcW w:w="137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3,251.77</w:t>
            </w:r>
          </w:p>
        </w:tc>
        <w:tc>
          <w:tcPr>
            <w:tcW w:w="2249"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12,551.40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04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其他</w:t>
            </w:r>
          </w:p>
        </w:tc>
        <w:tc>
          <w:tcPr>
            <w:tcW w:w="152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9,846,113.29</w:t>
            </w:r>
          </w:p>
        </w:tc>
        <w:tc>
          <w:tcPr>
            <w:tcW w:w="137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19,091,719.43</w:t>
            </w:r>
          </w:p>
        </w:tc>
        <w:tc>
          <w:tcPr>
            <w:tcW w:w="2249"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9,846,113.29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043"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合计</w:t>
            </w:r>
          </w:p>
        </w:tc>
        <w:tc>
          <w:tcPr>
            <w:tcW w:w="152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55,977,443.16</w:t>
            </w:r>
          </w:p>
        </w:tc>
        <w:tc>
          <w:tcPr>
            <w:tcW w:w="137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24,054,067.13</w:t>
            </w:r>
          </w:p>
        </w:tc>
        <w:tc>
          <w:tcPr>
            <w:tcW w:w="224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55,977,443.16</w:t>
            </w:r>
          </w:p>
        </w:tc>
      </w:tr>
    </w:tbl>
    <w:p>
      <w:pPr>
        <w:pStyle w:val="38"/>
        <w:rPr>
          <w:rFonts w:eastAsiaTheme="minorEastAsia"/>
          <w:color w:val="auto"/>
          <w:highlight w:val="none"/>
        </w:rPr>
      </w:pPr>
      <w:r>
        <w:rPr>
          <w:rFonts w:eastAsiaTheme="minorEastAsia"/>
          <w:color w:val="auto"/>
          <w:highlight w:val="none"/>
        </w:rPr>
        <w:fldChar w:fldCharType="end"/>
      </w:r>
    </w:p>
    <w:p>
      <w:pPr>
        <w:pStyle w:val="37"/>
        <w:rPr>
          <w:rFonts w:eastAsiaTheme="minorEastAsia"/>
          <w:color w:val="auto"/>
          <w:highlight w:val="none"/>
        </w:rPr>
      </w:pPr>
      <w:r>
        <w:rPr>
          <w:rFonts w:eastAsiaTheme="minorEastAsia"/>
          <w:color w:val="auto"/>
          <w:highlight w:val="none"/>
        </w:rPr>
        <w:t>营业外支出</w:t>
      </w:r>
    </w:p>
    <w:p>
      <w:pPr>
        <w:pStyle w:val="38"/>
        <w:rPr>
          <w:rFonts w:eastAsiaTheme="minorEastAsia"/>
          <w:color w:val="auto"/>
          <w:highlight w:val="none"/>
        </w:rPr>
      </w:pPr>
      <w:r>
        <w:rPr>
          <w:rFonts w:eastAsiaTheme="minorEastAsia"/>
          <w:b/>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!营业外支出 \f 4 \h \* MERGEFORMAT </w:instrText>
      </w:r>
      <w:r>
        <w:rPr>
          <w:rFonts w:eastAsiaTheme="minorEastAsia"/>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2990"/>
        <w:gridCol w:w="1523"/>
        <w:gridCol w:w="1442"/>
        <w:gridCol w:w="2233"/>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299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项目</w:t>
            </w:r>
          </w:p>
        </w:tc>
        <w:tc>
          <w:tcPr>
            <w:tcW w:w="1523"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本期发生额</w:t>
            </w:r>
          </w:p>
        </w:tc>
        <w:tc>
          <w:tcPr>
            <w:tcW w:w="144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上期发生额</w:t>
            </w:r>
          </w:p>
        </w:tc>
        <w:tc>
          <w:tcPr>
            <w:tcW w:w="2233"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计入当期非经常性损益的金额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99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碳资产支出</w:t>
            </w:r>
          </w:p>
        </w:tc>
        <w:tc>
          <w:tcPr>
            <w:tcW w:w="152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223,671,195.63</w:t>
            </w:r>
          </w:p>
        </w:tc>
        <w:tc>
          <w:tcPr>
            <w:tcW w:w="144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97,947,182.88</w:t>
            </w:r>
          </w:p>
        </w:tc>
        <w:tc>
          <w:tcPr>
            <w:tcW w:w="223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223,671,195.63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99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违约金及滞纳金</w:t>
            </w:r>
          </w:p>
        </w:tc>
        <w:tc>
          <w:tcPr>
            <w:tcW w:w="152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17,321,328.96</w:t>
            </w:r>
          </w:p>
        </w:tc>
        <w:tc>
          <w:tcPr>
            <w:tcW w:w="144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1,300,225.87</w:t>
            </w:r>
          </w:p>
        </w:tc>
        <w:tc>
          <w:tcPr>
            <w:tcW w:w="223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17,321,328.96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99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罚款支出</w:t>
            </w:r>
          </w:p>
        </w:tc>
        <w:tc>
          <w:tcPr>
            <w:tcW w:w="152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2,673,660.29</w:t>
            </w:r>
          </w:p>
        </w:tc>
        <w:tc>
          <w:tcPr>
            <w:tcW w:w="144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13,713,909.05</w:t>
            </w:r>
          </w:p>
        </w:tc>
        <w:tc>
          <w:tcPr>
            <w:tcW w:w="223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2,673,660.29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99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对外捐赠</w:t>
            </w:r>
          </w:p>
        </w:tc>
        <w:tc>
          <w:tcPr>
            <w:tcW w:w="152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1,937,355.03</w:t>
            </w:r>
          </w:p>
        </w:tc>
        <w:tc>
          <w:tcPr>
            <w:tcW w:w="144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2,659,000.00</w:t>
            </w:r>
          </w:p>
        </w:tc>
        <w:tc>
          <w:tcPr>
            <w:tcW w:w="223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1,937,355.03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99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非流动资产毁损报废损失</w:t>
            </w:r>
          </w:p>
        </w:tc>
        <w:tc>
          <w:tcPr>
            <w:tcW w:w="152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41,777.23</w:t>
            </w:r>
          </w:p>
        </w:tc>
        <w:tc>
          <w:tcPr>
            <w:tcW w:w="144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1,723,155.98</w:t>
            </w:r>
          </w:p>
        </w:tc>
        <w:tc>
          <w:tcPr>
            <w:tcW w:w="223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41,777.23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99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非常损失</w:t>
            </w:r>
          </w:p>
        </w:tc>
        <w:tc>
          <w:tcPr>
            <w:tcW w:w="152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44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9,620.00</w:t>
            </w:r>
          </w:p>
        </w:tc>
        <w:tc>
          <w:tcPr>
            <w:tcW w:w="223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99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其他支出</w:t>
            </w:r>
          </w:p>
        </w:tc>
        <w:tc>
          <w:tcPr>
            <w:tcW w:w="152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5,997,272.26</w:t>
            </w:r>
          </w:p>
        </w:tc>
        <w:tc>
          <w:tcPr>
            <w:tcW w:w="144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22,733,678.53</w:t>
            </w:r>
          </w:p>
        </w:tc>
        <w:tc>
          <w:tcPr>
            <w:tcW w:w="223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5,997,272.26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99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合计</w:t>
            </w:r>
          </w:p>
        </w:tc>
        <w:tc>
          <w:tcPr>
            <w:tcW w:w="152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251,642,589.40</w:t>
            </w:r>
          </w:p>
        </w:tc>
        <w:tc>
          <w:tcPr>
            <w:tcW w:w="144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140,086,772.31</w:t>
            </w:r>
          </w:p>
        </w:tc>
        <w:tc>
          <w:tcPr>
            <w:tcW w:w="223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251,642,589.40</w:t>
            </w:r>
          </w:p>
        </w:tc>
      </w:tr>
    </w:tbl>
    <w:p>
      <w:pPr>
        <w:pStyle w:val="38"/>
        <w:rPr>
          <w:rFonts w:eastAsiaTheme="minorEastAsia"/>
          <w:color w:val="auto"/>
          <w:highlight w:val="none"/>
        </w:rPr>
      </w:pPr>
      <w:r>
        <w:rPr>
          <w:rFonts w:eastAsiaTheme="minorEastAsia"/>
          <w:color w:val="auto"/>
          <w:highlight w:val="none"/>
        </w:rPr>
        <w:fldChar w:fldCharType="end"/>
      </w:r>
      <w:r>
        <w:rPr>
          <w:rFonts w:eastAsiaTheme="minorEastAsia"/>
          <w:color w:val="auto"/>
          <w:highlight w:val="none"/>
        </w:rPr>
        <w:br w:type="page"/>
      </w:r>
    </w:p>
    <w:p>
      <w:pPr>
        <w:pStyle w:val="37"/>
        <w:rPr>
          <w:rFonts w:eastAsiaTheme="minorEastAsia"/>
          <w:color w:val="auto"/>
          <w:highlight w:val="none"/>
        </w:rPr>
      </w:pPr>
      <w:r>
        <w:rPr>
          <w:rFonts w:eastAsiaTheme="minorEastAsia"/>
          <w:color w:val="auto"/>
          <w:highlight w:val="none"/>
        </w:rPr>
        <w:t>所得税费用</w:t>
      </w:r>
    </w:p>
    <w:p>
      <w:pPr>
        <w:pStyle w:val="38"/>
        <w:rPr>
          <w:color w:val="auto"/>
          <w:highlight w:val="none"/>
        </w:rPr>
      </w:pPr>
      <w:r>
        <w:rPr>
          <w:b/>
          <w:bCs/>
          <w:color w:val="auto"/>
          <w:highlight w:val="none"/>
        </w:rPr>
        <w:fldChar w:fldCharType="begin"/>
      </w:r>
      <w:r>
        <w:rPr>
          <w:color w:val="auto"/>
          <w:highlight w:val="none"/>
        </w:rPr>
        <w:instrText xml:space="preserve"> LINK Excel.Sheet.12 E:\\雍\\附注排版\\2014年年报格式\\附注过渡表20150130V0910.xlsx</w:instrText>
      </w:r>
      <w:r>
        <w:rPr>
          <w:rFonts w:hint="eastAsia"/>
          <w:color w:val="auto"/>
          <w:highlight w:val="none"/>
        </w:rPr>
        <w:instrText xml:space="preserve"> 合并附注</w:instrText>
      </w:r>
      <w:r>
        <w:rPr>
          <w:color w:val="auto"/>
          <w:highlight w:val="none"/>
        </w:rPr>
        <w:instrText xml:space="preserve">!所得税费用 \f 4 \h \* MERGEFORMAT </w:instrText>
      </w:r>
      <w:r>
        <w:rPr>
          <w:b/>
          <w:bCs/>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3375"/>
        <w:gridCol w:w="2406"/>
        <w:gridCol w:w="2407"/>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337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项目</w:t>
            </w:r>
          </w:p>
        </w:tc>
        <w:tc>
          <w:tcPr>
            <w:tcW w:w="2406"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本期发生额</w:t>
            </w:r>
          </w:p>
        </w:tc>
        <w:tc>
          <w:tcPr>
            <w:tcW w:w="2407"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上期发生额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当期所得税费用</w:t>
            </w:r>
          </w:p>
        </w:tc>
        <w:tc>
          <w:tcPr>
            <w:tcW w:w="240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110,737,356.00</w:t>
            </w:r>
          </w:p>
        </w:tc>
        <w:tc>
          <w:tcPr>
            <w:tcW w:w="240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155,207,935.36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递延所得税调整</w:t>
            </w:r>
          </w:p>
        </w:tc>
        <w:tc>
          <w:tcPr>
            <w:tcW w:w="240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28,837,689.74</w:t>
            </w:r>
          </w:p>
        </w:tc>
        <w:tc>
          <w:tcPr>
            <w:tcW w:w="240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21,049,306.48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其他</w:t>
            </w:r>
          </w:p>
        </w:tc>
        <w:tc>
          <w:tcPr>
            <w:tcW w:w="240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240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37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合计</w:t>
            </w:r>
          </w:p>
        </w:tc>
        <w:tc>
          <w:tcPr>
            <w:tcW w:w="240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139,575,045.74</w:t>
            </w:r>
          </w:p>
        </w:tc>
        <w:tc>
          <w:tcPr>
            <w:tcW w:w="240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176,257,241.84</w:t>
            </w:r>
          </w:p>
        </w:tc>
      </w:tr>
    </w:tbl>
    <w:p>
      <w:pPr>
        <w:pStyle w:val="38"/>
        <w:rPr>
          <w:color w:val="auto"/>
          <w:highlight w:val="none"/>
        </w:rPr>
      </w:pPr>
      <w:r>
        <w:rPr>
          <w:color w:val="auto"/>
          <w:highlight w:val="none"/>
        </w:rPr>
        <w:fldChar w:fldCharType="end"/>
      </w:r>
    </w:p>
    <w:p>
      <w:pPr>
        <w:pStyle w:val="38"/>
        <w:rPr>
          <w:rFonts w:eastAsiaTheme="minorEastAsia"/>
          <w:color w:val="auto"/>
          <w:highlight w:val="none"/>
        </w:rPr>
        <w:sectPr>
          <w:pgSz w:w="11907" w:h="16839"/>
          <w:pgMar w:top="1440" w:right="1797" w:bottom="1440" w:left="1797" w:header="680" w:footer="992" w:gutter="0"/>
          <w:cols w:space="425" w:num="1"/>
          <w:docGrid w:linePitch="312" w:charSpace="0"/>
        </w:sectPr>
      </w:pPr>
    </w:p>
    <w:p>
      <w:pPr>
        <w:pStyle w:val="37"/>
        <w:rPr>
          <w:rFonts w:eastAsiaTheme="minorEastAsia"/>
          <w:color w:val="auto"/>
          <w:highlight w:val="none"/>
        </w:rPr>
      </w:pPr>
      <w:r>
        <w:rPr>
          <w:rFonts w:hint="eastAsia"/>
          <w:color w:val="auto"/>
          <w:highlight w:val="none"/>
        </w:rPr>
        <w:t>归属于母公司所有者的</w:t>
      </w:r>
      <w:r>
        <w:rPr>
          <w:rFonts w:hint="eastAsia" w:eastAsiaTheme="minorEastAsia"/>
          <w:color w:val="auto"/>
          <w:highlight w:val="none"/>
        </w:rPr>
        <w:t>其他综合收益</w:t>
      </w:r>
    </w:p>
    <w:p>
      <w:pPr>
        <w:pStyle w:val="38"/>
        <w:rPr>
          <w:color w:val="auto"/>
          <w:highlight w:val="none"/>
        </w:rPr>
      </w:pPr>
      <w:r>
        <w:rPr>
          <w:color w:val="auto"/>
          <w:highlight w:val="none"/>
        </w:rPr>
        <w:fldChar w:fldCharType="begin"/>
      </w:r>
      <w:r>
        <w:rPr>
          <w:color w:val="auto"/>
          <w:highlight w:val="none"/>
        </w:rPr>
        <w:instrText xml:space="preserve"> LINK Excel.SheetMacroEnabled.12 "D:\\tonylee\\立信\\新附注排版工具\\2015央企年报格式\\中央企业财务报表和报表附注20160818.xlsm" "合并附注!其他综合收益" \f 4 \h \* MERGEFORMAT </w:instrText>
      </w:r>
      <w:r>
        <w:rPr>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4261"/>
        <w:gridCol w:w="1558"/>
        <w:gridCol w:w="1556"/>
        <w:gridCol w:w="1559"/>
        <w:gridCol w:w="1556"/>
        <w:gridCol w:w="1556"/>
        <w:gridCol w:w="1562"/>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4261"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项目</w:t>
            </w:r>
          </w:p>
        </w:tc>
        <w:tc>
          <w:tcPr>
            <w:tcW w:w="4673" w:type="dxa"/>
            <w:gridSpan w:val="3"/>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本期发生额</w:t>
            </w:r>
          </w:p>
        </w:tc>
        <w:tc>
          <w:tcPr>
            <w:tcW w:w="4674" w:type="dxa"/>
            <w:gridSpan w:val="3"/>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上期发生额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4261"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558"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税前金额</w:t>
            </w:r>
          </w:p>
        </w:tc>
        <w:tc>
          <w:tcPr>
            <w:tcW w:w="1556"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所得税</w:t>
            </w:r>
          </w:p>
        </w:tc>
        <w:tc>
          <w:tcPr>
            <w:tcW w:w="1559"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税后净额</w:t>
            </w:r>
          </w:p>
        </w:tc>
        <w:tc>
          <w:tcPr>
            <w:tcW w:w="1556"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税前金额</w:t>
            </w:r>
          </w:p>
        </w:tc>
        <w:tc>
          <w:tcPr>
            <w:tcW w:w="1556"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所得税</w:t>
            </w:r>
          </w:p>
        </w:tc>
        <w:tc>
          <w:tcPr>
            <w:tcW w:w="156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税后净额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6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一、不能重分类进损益的其他综合收益</w:t>
            </w:r>
          </w:p>
        </w:tc>
        <w:tc>
          <w:tcPr>
            <w:tcW w:w="15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24,204,325.40</w:t>
            </w: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24,204,325.40</w:t>
            </w: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40,849,935.68</w:t>
            </w: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40,849,935.68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6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1、重新计量设定受益计划变动额</w:t>
            </w:r>
          </w:p>
        </w:tc>
        <w:tc>
          <w:tcPr>
            <w:tcW w:w="15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6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2、权益法下不能转损益的其他综合收益</w:t>
            </w:r>
          </w:p>
        </w:tc>
        <w:tc>
          <w:tcPr>
            <w:tcW w:w="15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6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3、其他权益工具投资公允价值变动</w:t>
            </w:r>
          </w:p>
        </w:tc>
        <w:tc>
          <w:tcPr>
            <w:tcW w:w="15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24,204,325.40</w:t>
            </w: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24,204,325.40</w:t>
            </w: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40,849,935.68</w:t>
            </w: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40,849,935.68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6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4、企业自身信用风险公允价值变动</w:t>
            </w:r>
          </w:p>
        </w:tc>
        <w:tc>
          <w:tcPr>
            <w:tcW w:w="15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6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5、不能转损益的保险合同金融变动（金融企业适用）</w:t>
            </w:r>
          </w:p>
        </w:tc>
        <w:tc>
          <w:tcPr>
            <w:tcW w:w="15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6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6、其他</w:t>
            </w:r>
          </w:p>
        </w:tc>
        <w:tc>
          <w:tcPr>
            <w:tcW w:w="15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6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二、将重分类进损益的其他综合收益</w:t>
            </w:r>
          </w:p>
        </w:tc>
        <w:tc>
          <w:tcPr>
            <w:tcW w:w="15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6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1、权益法下可转损益的其他综合收益</w:t>
            </w:r>
          </w:p>
        </w:tc>
        <w:tc>
          <w:tcPr>
            <w:tcW w:w="15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6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减：前期计入其他综合收益当期转入损益</w:t>
            </w:r>
          </w:p>
        </w:tc>
        <w:tc>
          <w:tcPr>
            <w:tcW w:w="15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6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小计</w:t>
            </w:r>
          </w:p>
        </w:tc>
        <w:tc>
          <w:tcPr>
            <w:tcW w:w="15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6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2、其他债权投资公允价值变动</w:t>
            </w:r>
          </w:p>
        </w:tc>
        <w:tc>
          <w:tcPr>
            <w:tcW w:w="15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6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减：前期计入其他综合收益当期转入损益</w:t>
            </w:r>
          </w:p>
        </w:tc>
        <w:tc>
          <w:tcPr>
            <w:tcW w:w="15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6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小计</w:t>
            </w:r>
          </w:p>
        </w:tc>
        <w:tc>
          <w:tcPr>
            <w:tcW w:w="15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6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3、金融资产重分类计入其他综合收益的金额</w:t>
            </w:r>
          </w:p>
        </w:tc>
        <w:tc>
          <w:tcPr>
            <w:tcW w:w="15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6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减：前期计入其他综合收益当期转入损益</w:t>
            </w:r>
          </w:p>
        </w:tc>
        <w:tc>
          <w:tcPr>
            <w:tcW w:w="15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6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小计</w:t>
            </w:r>
          </w:p>
        </w:tc>
        <w:tc>
          <w:tcPr>
            <w:tcW w:w="15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6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4、其他债权投资信用减值准备</w:t>
            </w:r>
          </w:p>
        </w:tc>
        <w:tc>
          <w:tcPr>
            <w:tcW w:w="15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6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减：前期计入其他综合收益当期转入损益</w:t>
            </w:r>
          </w:p>
        </w:tc>
        <w:tc>
          <w:tcPr>
            <w:tcW w:w="15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61"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小计</w:t>
            </w:r>
          </w:p>
        </w:tc>
        <w:tc>
          <w:tcPr>
            <w:tcW w:w="15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6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5、现金流量套期储备（现金流量套期损益的有效部分）</w:t>
            </w:r>
          </w:p>
        </w:tc>
        <w:tc>
          <w:tcPr>
            <w:tcW w:w="15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6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减：转为被套期项目初始确认金额的调整额</w:t>
            </w:r>
          </w:p>
        </w:tc>
        <w:tc>
          <w:tcPr>
            <w:tcW w:w="15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6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前期计入其他综合收益当期转入损益</w:t>
            </w:r>
          </w:p>
        </w:tc>
        <w:tc>
          <w:tcPr>
            <w:tcW w:w="15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61"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小计</w:t>
            </w:r>
          </w:p>
        </w:tc>
        <w:tc>
          <w:tcPr>
            <w:tcW w:w="15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6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6、外币财务报表折算差额</w:t>
            </w:r>
          </w:p>
        </w:tc>
        <w:tc>
          <w:tcPr>
            <w:tcW w:w="15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6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减：前期计入其他综合收益当期转入损益</w:t>
            </w:r>
          </w:p>
        </w:tc>
        <w:tc>
          <w:tcPr>
            <w:tcW w:w="15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61"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小计</w:t>
            </w:r>
          </w:p>
        </w:tc>
        <w:tc>
          <w:tcPr>
            <w:tcW w:w="15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6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7、可转损益的保险合同金融变动（金融企业适用）</w:t>
            </w:r>
          </w:p>
        </w:tc>
        <w:tc>
          <w:tcPr>
            <w:tcW w:w="15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6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减：前期计入其他综合收益当期转入损益</w:t>
            </w:r>
          </w:p>
        </w:tc>
        <w:tc>
          <w:tcPr>
            <w:tcW w:w="15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61"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小计</w:t>
            </w:r>
          </w:p>
        </w:tc>
        <w:tc>
          <w:tcPr>
            <w:tcW w:w="15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6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8、可转损益的分出再保险合同金融变动（金融企业适用）</w:t>
            </w:r>
          </w:p>
        </w:tc>
        <w:tc>
          <w:tcPr>
            <w:tcW w:w="15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6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减：前期计入其他综合收益当期转入损益</w:t>
            </w:r>
          </w:p>
        </w:tc>
        <w:tc>
          <w:tcPr>
            <w:tcW w:w="15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61"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小计</w:t>
            </w:r>
          </w:p>
        </w:tc>
        <w:tc>
          <w:tcPr>
            <w:tcW w:w="15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6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9、其他</w:t>
            </w:r>
          </w:p>
        </w:tc>
        <w:tc>
          <w:tcPr>
            <w:tcW w:w="15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6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减：前期计入其他综合收益当期转入损益</w:t>
            </w:r>
          </w:p>
        </w:tc>
        <w:tc>
          <w:tcPr>
            <w:tcW w:w="15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61"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小计</w:t>
            </w:r>
          </w:p>
        </w:tc>
        <w:tc>
          <w:tcPr>
            <w:tcW w:w="15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6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三、其他综合收益合计</w:t>
            </w:r>
          </w:p>
        </w:tc>
        <w:tc>
          <w:tcPr>
            <w:tcW w:w="155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24,204,325.40</w:t>
            </w: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59"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24,204,325.40</w:t>
            </w: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40,849,935.68</w:t>
            </w:r>
          </w:p>
        </w:tc>
        <w:tc>
          <w:tcPr>
            <w:tcW w:w="1556"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6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40,849,935.68</w:t>
            </w:r>
          </w:p>
        </w:tc>
      </w:tr>
    </w:tbl>
    <w:p>
      <w:pPr>
        <w:pStyle w:val="38"/>
        <w:rPr>
          <w:color w:val="auto"/>
          <w:highlight w:val="none"/>
        </w:rPr>
      </w:pPr>
      <w:r>
        <w:rPr>
          <w:color w:val="auto"/>
          <w:highlight w:val="none"/>
        </w:rPr>
        <w:fldChar w:fldCharType="end"/>
      </w:r>
    </w:p>
    <w:p>
      <w:pPr>
        <w:pStyle w:val="38"/>
        <w:rPr>
          <w:rFonts w:eastAsiaTheme="minorEastAsia"/>
          <w:color w:val="auto"/>
          <w:highlight w:val="none"/>
        </w:rPr>
        <w:sectPr>
          <w:pgSz w:w="16839" w:h="11907" w:orient="landscape"/>
          <w:pgMar w:top="1797" w:right="1440" w:bottom="1797" w:left="1440" w:header="794" w:footer="992" w:gutter="0"/>
          <w:cols w:space="425" w:num="1"/>
          <w:docGrid w:linePitch="312" w:charSpace="0"/>
        </w:sectPr>
      </w:pPr>
    </w:p>
    <w:p>
      <w:pPr>
        <w:pStyle w:val="37"/>
        <w:rPr>
          <w:rFonts w:eastAsiaTheme="minorEastAsia"/>
          <w:color w:val="auto"/>
          <w:highlight w:val="none"/>
        </w:rPr>
      </w:pPr>
      <w:r>
        <w:rPr>
          <w:rFonts w:hint="eastAsia" w:eastAsiaTheme="minorEastAsia"/>
          <w:color w:val="auto"/>
          <w:highlight w:val="none"/>
        </w:rPr>
        <w:t>合并</w:t>
      </w:r>
      <w:r>
        <w:rPr>
          <w:rFonts w:eastAsiaTheme="minorEastAsia"/>
          <w:color w:val="auto"/>
          <w:highlight w:val="none"/>
        </w:rPr>
        <w:t>现金流量表</w:t>
      </w:r>
    </w:p>
    <w:p>
      <w:pPr>
        <w:pStyle w:val="44"/>
        <w:rPr>
          <w:rFonts w:eastAsiaTheme="minorEastAsia"/>
          <w:color w:val="auto"/>
          <w:highlight w:val="none"/>
        </w:rPr>
      </w:pPr>
      <w:r>
        <w:rPr>
          <w:rFonts w:hint="eastAsia"/>
          <w:bCs/>
          <w:color w:val="auto"/>
          <w:kern w:val="0"/>
          <w:highlight w:val="none"/>
        </w:rPr>
        <w:t>将净利润调节为经营活动现金流量的信息情况</w:t>
      </w:r>
    </w:p>
    <w:p>
      <w:pPr>
        <w:pStyle w:val="35"/>
        <w:rPr>
          <w:rFonts w:eastAsiaTheme="minorEastAsia"/>
          <w:color w:val="auto"/>
          <w:highlight w:val="none"/>
        </w:rPr>
      </w:pPr>
      <w:r>
        <w:rPr>
          <w:rFonts w:eastAsiaTheme="minorEastAsia"/>
          <w:b/>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!现金流量表补充资料 \f 4 \h \* MERGEFORMAT </w:instrText>
      </w:r>
      <w:r>
        <w:rPr>
          <w:rFonts w:eastAsiaTheme="minorEastAsia"/>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4532"/>
        <w:gridCol w:w="1828"/>
        <w:gridCol w:w="1828"/>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453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补充资料</w:t>
            </w:r>
          </w:p>
        </w:tc>
        <w:tc>
          <w:tcPr>
            <w:tcW w:w="1828"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本期发生额</w:t>
            </w:r>
          </w:p>
        </w:tc>
        <w:tc>
          <w:tcPr>
            <w:tcW w:w="1828"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上期发生额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53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1、将净利润调节为经营活动现金流量：</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53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净利润</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70,098,978.14</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-1,894,699,948.82</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53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加：资产减值损失</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502,902,323.36</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3,498,021,961.79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53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信用减值损失</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12,183,109.32</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-1,163,625,490.25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53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固定资产折旧、油气资产折耗、生产性生物资产折旧</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2,830,893,298.73</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2,554,639,881.31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53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使用权资产折旧</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262,635,700.66</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148,665,475.86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53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无形资产摊销</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67,048,610.41</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63,226,322.93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53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长期待摊费用摊销</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18,205,905.98</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111,695,978.78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53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处置固定资产、无形资产和其他长期资产的损失（收益以“－”号填列）</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-130,879,954.49</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-161,133,607.26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53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固定资产报废损失（收益以“－”号填列）</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-21,439.72</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912,088.51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53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公允价值变动损失（收益以“－”号填列）</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24,724,161.36</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16,471,236.91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53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财务费用（收益以“－”号填列）</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1,555,891,589.30</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1,661,311,374.51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53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投资损失（收益以“－”号填列）</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-1,813,604,233.62</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-657,804,783.43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53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递延所得税资产减少（增加以“－”号填列）</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38,780,697.53</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15,768,216.10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53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递延所得税负债增加（减少以“－”号填列）</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2,445,165.75</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25,646,059.36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53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存货的减少（增加以“－”号填列）</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266,117,435.39</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-821,144,382.92</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53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经营性应收项目的减少（增加以“－”号填列）</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128,168,311.57</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988,575,700.55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53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经营性应付项目的增加（减少以“－”号填列）</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1,355,195,042.85</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-863,140,529.45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53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其他</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53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经营活动产生的现金流量净额</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5,190,784,702.52</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3,523,385,554.48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53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2、不涉及现金收支的重大投资和筹资活动：</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53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债务转为资本</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53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一年内到期的可转换公司债券</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53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融资租入固定资产</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53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3、现金及现金等价物净变动情况：</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53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现金的期末余额</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1,412,627,196.98</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895,717,263.20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53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减：现金的期初余额</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895,717,263.20</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3,344,957,010.36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53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加：现金等价物的期末余额</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53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减：现金等价物的期初余额</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PrEx>
        <w:trPr>
          <w:trHeight w:val="283" w:hRule="atLeast"/>
        </w:trPr>
        <w:tc>
          <w:tcPr>
            <w:tcW w:w="453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现金及现金等价物净增加额</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516,909,933.78</w:t>
            </w:r>
          </w:p>
        </w:tc>
        <w:tc>
          <w:tcPr>
            <w:tcW w:w="182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-2,449,239,747.16</w:t>
            </w:r>
          </w:p>
        </w:tc>
      </w:tr>
    </w:tbl>
    <w:p>
      <w:pPr>
        <w:pStyle w:val="35"/>
        <w:rPr>
          <w:rFonts w:eastAsiaTheme="minorEastAsia"/>
          <w:color w:val="auto"/>
          <w:highlight w:val="none"/>
        </w:rPr>
      </w:pPr>
      <w:r>
        <w:rPr>
          <w:rFonts w:eastAsiaTheme="minorEastAsia"/>
          <w:color w:val="auto"/>
          <w:highlight w:val="none"/>
        </w:rPr>
        <w:fldChar w:fldCharType="end"/>
      </w:r>
      <w:r>
        <w:rPr>
          <w:rFonts w:eastAsiaTheme="minorEastAsia"/>
          <w:color w:val="auto"/>
          <w:highlight w:val="none"/>
        </w:rPr>
        <w:br w:type="page"/>
      </w:r>
    </w:p>
    <w:p>
      <w:pPr>
        <w:pStyle w:val="44"/>
        <w:rPr>
          <w:rFonts w:eastAsiaTheme="minorEastAsia"/>
          <w:color w:val="auto"/>
          <w:highlight w:val="none"/>
        </w:rPr>
      </w:pPr>
      <w:r>
        <w:rPr>
          <w:rFonts w:hint="eastAsia"/>
          <w:color w:val="auto"/>
          <w:highlight w:val="none"/>
        </w:rPr>
        <w:t>本期取得子公司和收到处置子公司的现金净额情况</w:t>
      </w:r>
    </w:p>
    <w:p>
      <w:pPr>
        <w:pStyle w:val="35"/>
        <w:rPr>
          <w:rFonts w:eastAsiaTheme="minorEastAsia"/>
          <w:color w:val="auto"/>
          <w:highlight w:val="none"/>
        </w:rPr>
      </w:pPr>
      <w:r>
        <w:rPr>
          <w:rFonts w:eastAsiaTheme="minorEastAsia"/>
          <w:b/>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!现金流量表补充资料1 \f 4 \h \* MERGEFORMAT </w:instrText>
      </w:r>
      <w:r>
        <w:rPr>
          <w:rFonts w:eastAsiaTheme="minorEastAsia"/>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5515"/>
        <w:gridCol w:w="2673"/>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551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项目</w:t>
            </w:r>
          </w:p>
        </w:tc>
        <w:tc>
          <w:tcPr>
            <w:tcW w:w="2673"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金额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515"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一、本期发生的企业合并于本期支付的现金或现金等价物</w:t>
            </w:r>
          </w:p>
        </w:tc>
        <w:tc>
          <w:tcPr>
            <w:tcW w:w="267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515"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减：购买日子公司持有的现金及现金等价物</w:t>
            </w:r>
          </w:p>
        </w:tc>
        <w:tc>
          <w:tcPr>
            <w:tcW w:w="267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18,150,881.90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515"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加：以前期间发生的企业合并于本期支付的现金或现金等价物</w:t>
            </w:r>
          </w:p>
        </w:tc>
        <w:tc>
          <w:tcPr>
            <w:tcW w:w="267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515"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取得子公司支付的现金净额</w:t>
            </w:r>
          </w:p>
        </w:tc>
        <w:tc>
          <w:tcPr>
            <w:tcW w:w="267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-18,150,881.90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515"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二、本期处置子公司于本期收到的现金或现金等价物</w:t>
            </w:r>
          </w:p>
        </w:tc>
        <w:tc>
          <w:tcPr>
            <w:tcW w:w="267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4,000,000.00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515"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减：丧失控制权日子公司持有的现金及现金等价物</w:t>
            </w:r>
          </w:p>
        </w:tc>
        <w:tc>
          <w:tcPr>
            <w:tcW w:w="267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21,839,580.24</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515"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加：以前期间处置子公司于本期收到的现金或现金等价物</w:t>
            </w:r>
          </w:p>
        </w:tc>
        <w:tc>
          <w:tcPr>
            <w:tcW w:w="267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515"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处置子公司收到的现金净额</w:t>
            </w:r>
          </w:p>
        </w:tc>
        <w:tc>
          <w:tcPr>
            <w:tcW w:w="2673"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-17,839,580.24</w:t>
            </w:r>
          </w:p>
        </w:tc>
      </w:tr>
    </w:tbl>
    <w:p>
      <w:pPr>
        <w:pStyle w:val="35"/>
        <w:rPr>
          <w:color w:val="auto"/>
          <w:highlight w:val="none"/>
        </w:rPr>
      </w:pPr>
      <w:r>
        <w:rPr>
          <w:rFonts w:eastAsiaTheme="minorEastAsia"/>
          <w:color w:val="auto"/>
          <w:highlight w:val="none"/>
        </w:rPr>
        <w:fldChar w:fldCharType="end"/>
      </w:r>
    </w:p>
    <w:p>
      <w:pPr>
        <w:pStyle w:val="44"/>
        <w:rPr>
          <w:rFonts w:eastAsiaTheme="minorEastAsia"/>
          <w:color w:val="auto"/>
          <w:highlight w:val="none"/>
        </w:rPr>
      </w:pPr>
      <w:r>
        <w:rPr>
          <w:rFonts w:eastAsiaTheme="minorEastAsia"/>
          <w:color w:val="auto"/>
          <w:highlight w:val="none"/>
        </w:rPr>
        <w:t>现金和现金等价物的构成</w:t>
      </w:r>
    </w:p>
    <w:p>
      <w:pPr>
        <w:pStyle w:val="35"/>
        <w:rPr>
          <w:rFonts w:eastAsiaTheme="minorEastAsia"/>
          <w:color w:val="auto"/>
          <w:szCs w:val="22"/>
          <w:highlight w:val="none"/>
        </w:rPr>
      </w:pPr>
      <w:r>
        <w:rPr>
          <w:rFonts w:eastAsiaTheme="minorEastAsia"/>
          <w:b/>
          <w:bCs/>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!现金流量表补充资料3 \f 4 \h \* MERGEFORMAT </w:instrText>
      </w:r>
      <w:r>
        <w:rPr>
          <w:rFonts w:eastAsiaTheme="minorEastAsia"/>
          <w:b/>
          <w:bCs/>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4414"/>
        <w:gridCol w:w="1887"/>
        <w:gridCol w:w="1887"/>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4414"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项目</w:t>
            </w:r>
          </w:p>
        </w:tc>
        <w:tc>
          <w:tcPr>
            <w:tcW w:w="1887"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期末余额</w:t>
            </w:r>
          </w:p>
        </w:tc>
        <w:tc>
          <w:tcPr>
            <w:tcW w:w="1887"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期初余额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41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一、现金</w:t>
            </w:r>
          </w:p>
        </w:tc>
        <w:tc>
          <w:tcPr>
            <w:tcW w:w="188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1,412,627,196.98</w:t>
            </w:r>
          </w:p>
        </w:tc>
        <w:tc>
          <w:tcPr>
            <w:tcW w:w="188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895,717,263.20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41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其中：库存现金</w:t>
            </w:r>
          </w:p>
        </w:tc>
        <w:tc>
          <w:tcPr>
            <w:tcW w:w="188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88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PrEx>
        <w:trPr>
          <w:trHeight w:val="283" w:hRule="atLeast"/>
        </w:trPr>
        <w:tc>
          <w:tcPr>
            <w:tcW w:w="441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可随时用于支付的数字货币</w:t>
            </w:r>
          </w:p>
        </w:tc>
        <w:tc>
          <w:tcPr>
            <w:tcW w:w="188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88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PrEx>
        <w:trPr>
          <w:trHeight w:val="283" w:hRule="atLeast"/>
        </w:trPr>
        <w:tc>
          <w:tcPr>
            <w:tcW w:w="441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可随时用于支付的银行存款</w:t>
            </w:r>
          </w:p>
        </w:tc>
        <w:tc>
          <w:tcPr>
            <w:tcW w:w="188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1,412,627,196.98</w:t>
            </w:r>
          </w:p>
        </w:tc>
        <w:tc>
          <w:tcPr>
            <w:tcW w:w="188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895,717,263.20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41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可随时用于支付的其他货币资金</w:t>
            </w:r>
          </w:p>
        </w:tc>
        <w:tc>
          <w:tcPr>
            <w:tcW w:w="188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88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41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二、现金等价物</w:t>
            </w:r>
          </w:p>
        </w:tc>
        <w:tc>
          <w:tcPr>
            <w:tcW w:w="188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88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41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其中：三个月内到期的债券投资</w:t>
            </w:r>
          </w:p>
        </w:tc>
        <w:tc>
          <w:tcPr>
            <w:tcW w:w="188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88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41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三、期末现金及现金等价物余额</w:t>
            </w:r>
          </w:p>
        </w:tc>
        <w:tc>
          <w:tcPr>
            <w:tcW w:w="188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1,412,627,196.98</w:t>
            </w:r>
          </w:p>
        </w:tc>
        <w:tc>
          <w:tcPr>
            <w:tcW w:w="188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895,717,263.20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41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其中：母公司或集团内子公司使用受限制的现金和现金等价物</w:t>
            </w:r>
          </w:p>
        </w:tc>
        <w:tc>
          <w:tcPr>
            <w:tcW w:w="188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88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bl>
    <w:p>
      <w:pPr>
        <w:pStyle w:val="35"/>
        <w:rPr>
          <w:rFonts w:eastAsiaTheme="minorEastAsia"/>
          <w:color w:val="auto"/>
          <w:highlight w:val="none"/>
        </w:rPr>
      </w:pPr>
      <w:r>
        <w:rPr>
          <w:rFonts w:eastAsiaTheme="minorEastAsia"/>
          <w:color w:val="auto"/>
          <w:highlight w:val="none"/>
        </w:rPr>
        <w:fldChar w:fldCharType="end"/>
      </w:r>
    </w:p>
    <w:p>
      <w:pPr>
        <w:pStyle w:val="37"/>
        <w:rPr>
          <w:rFonts w:eastAsiaTheme="minorEastAsia"/>
          <w:color w:val="auto"/>
          <w:highlight w:val="none"/>
        </w:rPr>
      </w:pPr>
      <w:r>
        <w:rPr>
          <w:rFonts w:eastAsiaTheme="minorEastAsia"/>
          <w:color w:val="auto"/>
          <w:highlight w:val="none"/>
        </w:rPr>
        <w:t>所有权</w:t>
      </w:r>
      <w:r>
        <w:rPr>
          <w:rFonts w:hint="eastAsia" w:eastAsiaTheme="minorEastAsia"/>
          <w:color w:val="auto"/>
          <w:highlight w:val="none"/>
        </w:rPr>
        <w:t>或</w:t>
      </w:r>
      <w:r>
        <w:rPr>
          <w:rFonts w:eastAsiaTheme="minorEastAsia"/>
          <w:color w:val="auto"/>
          <w:highlight w:val="none"/>
        </w:rPr>
        <w:t>使用权受到限制的资产</w:t>
      </w:r>
    </w:p>
    <w:p>
      <w:pPr>
        <w:pStyle w:val="38"/>
        <w:rPr>
          <w:rFonts w:eastAsiaTheme="minorEastAsia"/>
          <w:color w:val="auto"/>
          <w:highlight w:val="none"/>
        </w:rPr>
      </w:pPr>
      <w:r>
        <w:rPr>
          <w:rFonts w:eastAsiaTheme="minorEastAsia"/>
          <w:b/>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合并附注</w:instrText>
      </w:r>
      <w:r>
        <w:rPr>
          <w:rFonts w:eastAsiaTheme="minorEastAsia"/>
          <w:color w:val="auto"/>
          <w:highlight w:val="none"/>
        </w:rPr>
        <w:instrText xml:space="preserve">!所有权或使用权受到限制的资产 \f 4 \h \* MERGEFORMAT </w:instrText>
      </w:r>
      <w:r>
        <w:rPr>
          <w:rFonts w:eastAsiaTheme="minorEastAsia"/>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2338"/>
        <w:gridCol w:w="1935"/>
        <w:gridCol w:w="3915"/>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2338"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项目</w:t>
            </w:r>
          </w:p>
        </w:tc>
        <w:tc>
          <w:tcPr>
            <w:tcW w:w="193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期末账面价值</w:t>
            </w:r>
          </w:p>
        </w:tc>
        <w:tc>
          <w:tcPr>
            <w:tcW w:w="391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受限原因</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33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货币资金</w:t>
            </w:r>
          </w:p>
        </w:tc>
        <w:tc>
          <w:tcPr>
            <w:tcW w:w="193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58,031,822.32</w:t>
            </w:r>
          </w:p>
        </w:tc>
        <w:tc>
          <w:tcPr>
            <w:tcW w:w="3915"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保证金、司法冻结</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33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应收账款</w:t>
            </w:r>
          </w:p>
        </w:tc>
        <w:tc>
          <w:tcPr>
            <w:tcW w:w="193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2,311,547,116.86</w:t>
            </w:r>
          </w:p>
        </w:tc>
        <w:tc>
          <w:tcPr>
            <w:tcW w:w="3915"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电费收费权质押借款</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33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固定资产</w:t>
            </w:r>
          </w:p>
        </w:tc>
        <w:tc>
          <w:tcPr>
            <w:tcW w:w="193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5,472,245,449.78</w:t>
            </w:r>
          </w:p>
        </w:tc>
        <w:tc>
          <w:tcPr>
            <w:tcW w:w="3915"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长期借款质押</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33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使用权资产</w:t>
            </w:r>
          </w:p>
        </w:tc>
        <w:tc>
          <w:tcPr>
            <w:tcW w:w="193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292,566,154.21</w:t>
            </w:r>
          </w:p>
        </w:tc>
        <w:tc>
          <w:tcPr>
            <w:tcW w:w="3915"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融资租赁抵押</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338"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合计</w:t>
            </w:r>
          </w:p>
        </w:tc>
        <w:tc>
          <w:tcPr>
            <w:tcW w:w="193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8,134,390,543.17</w:t>
            </w:r>
          </w:p>
        </w:tc>
        <w:tc>
          <w:tcPr>
            <w:tcW w:w="3915"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r>
    </w:tbl>
    <w:p>
      <w:pPr>
        <w:pStyle w:val="38"/>
        <w:rPr>
          <w:rFonts w:eastAsiaTheme="minorEastAsia"/>
          <w:color w:val="auto"/>
          <w:highlight w:val="none"/>
        </w:rPr>
      </w:pPr>
      <w:r>
        <w:rPr>
          <w:rFonts w:eastAsiaTheme="minorEastAsia"/>
          <w:color w:val="auto"/>
          <w:highlight w:val="none"/>
        </w:rPr>
        <w:fldChar w:fldCharType="end"/>
      </w:r>
    </w:p>
    <w:p>
      <w:pPr>
        <w:pStyle w:val="43"/>
        <w:rPr>
          <w:color w:val="auto"/>
          <w:highlight w:val="none"/>
        </w:rPr>
      </w:pPr>
      <w:r>
        <w:rPr>
          <w:color w:val="auto"/>
          <w:highlight w:val="none"/>
        </w:rPr>
        <w:br w:type="column"/>
      </w:r>
      <w:r>
        <w:rPr>
          <w:color w:val="auto"/>
          <w:highlight w:val="none"/>
        </w:rPr>
        <w:t>或有事项</w:t>
      </w:r>
    </w:p>
    <w:p>
      <w:pPr>
        <w:pStyle w:val="37"/>
        <w:rPr>
          <w:rFonts w:eastAsiaTheme="minorEastAsia"/>
          <w:color w:val="auto"/>
          <w:highlight w:val="none"/>
        </w:rPr>
      </w:pPr>
      <w:r>
        <w:rPr>
          <w:color w:val="auto"/>
          <w:highlight w:val="none"/>
        </w:rPr>
        <w:t>或有负债</w:t>
      </w:r>
    </w:p>
    <w:p>
      <w:pPr>
        <w:pStyle w:val="44"/>
        <w:rPr>
          <w:color w:val="auto"/>
          <w:highlight w:val="none"/>
        </w:rPr>
      </w:pPr>
      <w:r>
        <w:rPr>
          <w:rFonts w:hint="eastAsia"/>
          <w:color w:val="auto"/>
          <w:highlight w:val="none"/>
        </w:rPr>
        <w:t>未决诉讼或未决仲裁形成的或有负债</w:t>
      </w:r>
    </w:p>
    <w:p>
      <w:pPr>
        <w:pStyle w:val="35"/>
        <w:rPr>
          <w:color w:val="auto"/>
          <w:highlight w:val="none"/>
        </w:rPr>
      </w:pPr>
      <w:r>
        <w:rPr>
          <w:rFonts w:hint="eastAsia"/>
          <w:color w:val="auto"/>
          <w:highlight w:val="none"/>
        </w:rPr>
        <w:t>（</w:t>
      </w:r>
      <w:r>
        <w:rPr>
          <w:color w:val="auto"/>
          <w:highlight w:val="none"/>
        </w:rPr>
        <w:t>1</w:t>
      </w:r>
      <w:r>
        <w:rPr>
          <w:rFonts w:hint="eastAsia"/>
          <w:color w:val="auto"/>
          <w:highlight w:val="none"/>
        </w:rPr>
        <w:t>）国家电投集团贵州金元威宁能源股份有限公司系威宁能源本部，平山县北冀建能新能源开发有限责任公司系威宁能源孙公司。讼诉事由系河北君和诚律师事务所与平山县北冀建能新能源开发有限责任公司、北京中鑫泰泽科技有限公司、国家电投集团贵州金元威宁能源股份有限公司委托合同纠纷，诉讼标的金额为</w:t>
      </w:r>
      <w:r>
        <w:rPr>
          <w:color w:val="auto"/>
          <w:highlight w:val="none"/>
        </w:rPr>
        <w:t>500.83</w:t>
      </w:r>
      <w:r>
        <w:rPr>
          <w:rFonts w:hint="eastAsia"/>
          <w:color w:val="auto"/>
          <w:highlight w:val="none"/>
        </w:rPr>
        <w:t>万元。本案于</w:t>
      </w:r>
      <w:r>
        <w:rPr>
          <w:color w:val="auto"/>
          <w:highlight w:val="none"/>
        </w:rPr>
        <w:t>2024</w:t>
      </w:r>
      <w:r>
        <w:rPr>
          <w:rFonts w:hint="eastAsia"/>
          <w:color w:val="auto"/>
          <w:highlight w:val="none"/>
        </w:rPr>
        <w:t>年</w:t>
      </w:r>
      <w:r>
        <w:rPr>
          <w:color w:val="auto"/>
          <w:highlight w:val="none"/>
        </w:rPr>
        <w:t>4</w:t>
      </w:r>
      <w:r>
        <w:rPr>
          <w:rFonts w:hint="eastAsia"/>
          <w:color w:val="auto"/>
          <w:highlight w:val="none"/>
        </w:rPr>
        <w:t>月</w:t>
      </w:r>
      <w:r>
        <w:rPr>
          <w:color w:val="auto"/>
          <w:highlight w:val="none"/>
        </w:rPr>
        <w:t>8</w:t>
      </w:r>
      <w:r>
        <w:rPr>
          <w:rFonts w:hint="eastAsia"/>
          <w:color w:val="auto"/>
          <w:highlight w:val="none"/>
        </w:rPr>
        <w:t>日立案，</w:t>
      </w:r>
      <w:r>
        <w:rPr>
          <w:color w:val="auto"/>
          <w:highlight w:val="none"/>
        </w:rPr>
        <w:t>2024</w:t>
      </w:r>
      <w:r>
        <w:rPr>
          <w:rFonts w:hint="eastAsia"/>
          <w:color w:val="auto"/>
          <w:highlight w:val="none"/>
        </w:rPr>
        <w:t>年</w:t>
      </w:r>
      <w:r>
        <w:rPr>
          <w:color w:val="auto"/>
          <w:highlight w:val="none"/>
        </w:rPr>
        <w:t>5</w:t>
      </w:r>
      <w:r>
        <w:rPr>
          <w:rFonts w:hint="eastAsia"/>
          <w:color w:val="auto"/>
          <w:highlight w:val="none"/>
        </w:rPr>
        <w:t>月</w:t>
      </w:r>
      <w:r>
        <w:rPr>
          <w:color w:val="auto"/>
          <w:highlight w:val="none"/>
        </w:rPr>
        <w:t>13</w:t>
      </w:r>
      <w:r>
        <w:rPr>
          <w:rFonts w:hint="eastAsia"/>
          <w:color w:val="auto"/>
          <w:highlight w:val="none"/>
        </w:rPr>
        <w:t>日开庭，双方完成质证，后法官根据案情的复杂性，决定由简易程序转普通程序审理，本案二次开庭时间为</w:t>
      </w:r>
      <w:r>
        <w:rPr>
          <w:color w:val="auto"/>
          <w:highlight w:val="none"/>
        </w:rPr>
        <w:t>2024</w:t>
      </w:r>
      <w:r>
        <w:rPr>
          <w:rFonts w:hint="eastAsia"/>
          <w:color w:val="auto"/>
          <w:highlight w:val="none"/>
        </w:rPr>
        <w:t>年</w:t>
      </w:r>
      <w:r>
        <w:rPr>
          <w:color w:val="auto"/>
          <w:highlight w:val="none"/>
        </w:rPr>
        <w:t>6</w:t>
      </w:r>
      <w:r>
        <w:rPr>
          <w:rFonts w:hint="eastAsia"/>
          <w:color w:val="auto"/>
          <w:highlight w:val="none"/>
        </w:rPr>
        <w:t>月</w:t>
      </w:r>
      <w:r>
        <w:rPr>
          <w:color w:val="auto"/>
          <w:highlight w:val="none"/>
        </w:rPr>
        <w:t>6</w:t>
      </w:r>
      <w:r>
        <w:rPr>
          <w:rFonts w:hint="eastAsia"/>
          <w:color w:val="auto"/>
          <w:highlight w:val="none"/>
        </w:rPr>
        <w:t>日上午</w:t>
      </w:r>
      <w:r>
        <w:rPr>
          <w:color w:val="auto"/>
          <w:highlight w:val="none"/>
        </w:rPr>
        <w:t>9</w:t>
      </w:r>
      <w:r>
        <w:rPr>
          <w:rFonts w:hint="eastAsia"/>
          <w:color w:val="auto"/>
          <w:highlight w:val="none"/>
        </w:rPr>
        <w:t>点，威宁能源于</w:t>
      </w:r>
      <w:r>
        <w:rPr>
          <w:color w:val="auto"/>
          <w:highlight w:val="none"/>
        </w:rPr>
        <w:t>2024</w:t>
      </w:r>
      <w:r>
        <w:rPr>
          <w:rFonts w:hint="eastAsia"/>
          <w:color w:val="auto"/>
          <w:highlight w:val="none"/>
        </w:rPr>
        <w:t>年</w:t>
      </w:r>
      <w:r>
        <w:rPr>
          <w:color w:val="auto"/>
          <w:highlight w:val="none"/>
        </w:rPr>
        <w:t>6</w:t>
      </w:r>
      <w:r>
        <w:rPr>
          <w:rFonts w:hint="eastAsia"/>
          <w:color w:val="auto"/>
          <w:highlight w:val="none"/>
        </w:rPr>
        <w:t>月</w:t>
      </w:r>
      <w:r>
        <w:rPr>
          <w:color w:val="auto"/>
          <w:highlight w:val="none"/>
        </w:rPr>
        <w:t>15</w:t>
      </w:r>
      <w:r>
        <w:rPr>
          <w:rFonts w:hint="eastAsia"/>
          <w:color w:val="auto"/>
          <w:highlight w:val="none"/>
        </w:rPr>
        <w:t>日提交答辩意见。</w:t>
      </w:r>
      <w:r>
        <w:rPr>
          <w:color w:val="auto"/>
          <w:highlight w:val="none"/>
        </w:rPr>
        <w:t>2024</w:t>
      </w:r>
      <w:r>
        <w:rPr>
          <w:rFonts w:hint="eastAsia"/>
          <w:color w:val="auto"/>
          <w:highlight w:val="none"/>
        </w:rPr>
        <w:t>年</w:t>
      </w:r>
      <w:r>
        <w:rPr>
          <w:color w:val="auto"/>
          <w:highlight w:val="none"/>
        </w:rPr>
        <w:t>4</w:t>
      </w:r>
      <w:r>
        <w:rPr>
          <w:rFonts w:hint="eastAsia"/>
          <w:color w:val="auto"/>
          <w:highlight w:val="none"/>
        </w:rPr>
        <w:t>月</w:t>
      </w:r>
      <w:r>
        <w:rPr>
          <w:color w:val="auto"/>
          <w:highlight w:val="none"/>
        </w:rPr>
        <w:t>24</w:t>
      </w:r>
      <w:r>
        <w:rPr>
          <w:rFonts w:hint="eastAsia"/>
          <w:color w:val="auto"/>
          <w:highlight w:val="none"/>
        </w:rPr>
        <w:t>日石家庄市裕华区人民法院冻结平山县北冀建能新能源开发有限责任公司银行存款账户。截至</w:t>
      </w:r>
      <w:r>
        <w:rPr>
          <w:color w:val="auto"/>
          <w:highlight w:val="none"/>
        </w:rPr>
        <w:t>2024</w:t>
      </w:r>
      <w:r>
        <w:rPr>
          <w:rFonts w:hint="eastAsia"/>
          <w:color w:val="auto"/>
          <w:highlight w:val="none"/>
        </w:rPr>
        <w:t>年</w:t>
      </w:r>
      <w:r>
        <w:rPr>
          <w:color w:val="auto"/>
          <w:highlight w:val="none"/>
        </w:rPr>
        <w:t>12</w:t>
      </w:r>
      <w:r>
        <w:rPr>
          <w:rFonts w:hint="eastAsia"/>
          <w:color w:val="auto"/>
          <w:highlight w:val="none"/>
        </w:rPr>
        <w:t>月</w:t>
      </w:r>
      <w:r>
        <w:rPr>
          <w:color w:val="auto"/>
          <w:highlight w:val="none"/>
        </w:rPr>
        <w:t>31</w:t>
      </w:r>
      <w:r>
        <w:rPr>
          <w:rFonts w:hint="eastAsia"/>
          <w:color w:val="auto"/>
          <w:highlight w:val="none"/>
        </w:rPr>
        <w:t>日，该诉讼未结束，故无法申请解冻，冻结账户余额</w:t>
      </w:r>
      <w:r>
        <w:rPr>
          <w:color w:val="auto"/>
          <w:highlight w:val="none"/>
        </w:rPr>
        <w:t>500.83</w:t>
      </w:r>
      <w:r>
        <w:rPr>
          <w:rFonts w:hint="eastAsia"/>
          <w:color w:val="auto"/>
          <w:highlight w:val="none"/>
        </w:rPr>
        <w:t>万元。</w:t>
      </w:r>
    </w:p>
    <w:p>
      <w:pPr>
        <w:pStyle w:val="35"/>
        <w:rPr>
          <w:color w:val="auto"/>
          <w:highlight w:val="none"/>
        </w:rPr>
      </w:pPr>
      <w:r>
        <w:rPr>
          <w:color w:val="auto"/>
          <w:highlight w:val="none"/>
        </w:rPr>
        <w:t xml:space="preserve"> </w:t>
      </w:r>
    </w:p>
    <w:p>
      <w:pPr>
        <w:pStyle w:val="35"/>
        <w:rPr>
          <w:color w:val="auto"/>
          <w:highlight w:val="none"/>
        </w:rPr>
      </w:pPr>
      <w:r>
        <w:rPr>
          <w:rFonts w:hint="eastAsia"/>
          <w:color w:val="auto"/>
          <w:highlight w:val="none"/>
        </w:rPr>
        <w:t>（</w:t>
      </w:r>
      <w:r>
        <w:rPr>
          <w:color w:val="auto"/>
          <w:highlight w:val="none"/>
        </w:rPr>
        <w:t>2</w:t>
      </w:r>
      <w:r>
        <w:rPr>
          <w:rFonts w:hint="eastAsia"/>
          <w:color w:val="auto"/>
          <w:highlight w:val="none"/>
        </w:rPr>
        <w:t>）在审理申请人罗胜康与被申请人威宁能源土地损失纠纷案中，仲裁标的金额</w:t>
      </w:r>
      <w:r>
        <w:rPr>
          <w:color w:val="auto"/>
          <w:highlight w:val="none"/>
        </w:rPr>
        <w:t>51.54</w:t>
      </w:r>
      <w:r>
        <w:rPr>
          <w:rFonts w:hint="eastAsia"/>
          <w:color w:val="auto"/>
          <w:highlight w:val="none"/>
        </w:rPr>
        <w:t>万元，其中应付排除妨碍补偿支付土地损失</w:t>
      </w:r>
      <w:r>
        <w:rPr>
          <w:color w:val="auto"/>
          <w:highlight w:val="none"/>
        </w:rPr>
        <w:t>51.54</w:t>
      </w:r>
      <w:r>
        <w:rPr>
          <w:rFonts w:hint="eastAsia"/>
          <w:color w:val="auto"/>
          <w:highlight w:val="none"/>
        </w:rPr>
        <w:t>万元。法院</w:t>
      </w:r>
      <w:r>
        <w:rPr>
          <w:color w:val="auto"/>
          <w:highlight w:val="none"/>
        </w:rPr>
        <w:t>2024</w:t>
      </w:r>
      <w:r>
        <w:rPr>
          <w:rFonts w:hint="eastAsia"/>
          <w:color w:val="auto"/>
          <w:highlight w:val="none"/>
        </w:rPr>
        <w:t>年</w:t>
      </w:r>
      <w:r>
        <w:rPr>
          <w:color w:val="auto"/>
          <w:highlight w:val="none"/>
        </w:rPr>
        <w:t>8</w:t>
      </w:r>
      <w:r>
        <w:rPr>
          <w:rFonts w:hint="eastAsia"/>
          <w:color w:val="auto"/>
          <w:highlight w:val="none"/>
        </w:rPr>
        <w:t>月</w:t>
      </w:r>
      <w:r>
        <w:rPr>
          <w:color w:val="auto"/>
          <w:highlight w:val="none"/>
        </w:rPr>
        <w:t>23</w:t>
      </w:r>
      <w:r>
        <w:rPr>
          <w:rFonts w:hint="eastAsia"/>
          <w:color w:val="auto"/>
          <w:highlight w:val="none"/>
        </w:rPr>
        <w:t>日开庭后，威宁能源追加村委会作为被告，一审法院已开庭。截至2024年12月31日，尚未出具判决书。</w:t>
      </w:r>
    </w:p>
    <w:p>
      <w:pPr>
        <w:pStyle w:val="35"/>
        <w:rPr>
          <w:color w:val="auto"/>
          <w:highlight w:val="none"/>
        </w:rPr>
      </w:pPr>
      <w:r>
        <w:rPr>
          <w:color w:val="auto"/>
          <w:highlight w:val="none"/>
        </w:rPr>
        <w:t xml:space="preserve"> </w:t>
      </w:r>
    </w:p>
    <w:p>
      <w:pPr>
        <w:pStyle w:val="35"/>
        <w:rPr>
          <w:color w:val="auto"/>
          <w:highlight w:val="none"/>
        </w:rPr>
      </w:pPr>
      <w:r>
        <w:rPr>
          <w:rFonts w:hint="eastAsia"/>
          <w:color w:val="auto"/>
          <w:highlight w:val="none"/>
        </w:rPr>
        <w:t>（</w:t>
      </w:r>
      <w:r>
        <w:rPr>
          <w:color w:val="auto"/>
          <w:highlight w:val="none"/>
        </w:rPr>
        <w:t>3</w:t>
      </w:r>
      <w:r>
        <w:rPr>
          <w:rFonts w:hint="eastAsia"/>
          <w:color w:val="auto"/>
          <w:highlight w:val="none"/>
        </w:rPr>
        <w:t>）黔西南州中弘新能源有限公司系威宁能源子公司。仲裁事由系申请人江苏中弘光伏工程技术有限公司与被申请人黔西南州中弘新能源有限公司工程款纠纷案，仲裁标的金额</w:t>
      </w:r>
      <w:r>
        <w:rPr>
          <w:color w:val="auto"/>
          <w:highlight w:val="none"/>
        </w:rPr>
        <w:t>2,996.58</w:t>
      </w:r>
      <w:r>
        <w:rPr>
          <w:rFonts w:hint="eastAsia"/>
          <w:color w:val="auto"/>
          <w:highlight w:val="none"/>
        </w:rPr>
        <w:t>万元，其中应付工程款</w:t>
      </w:r>
      <w:r>
        <w:rPr>
          <w:color w:val="auto"/>
          <w:highlight w:val="none"/>
        </w:rPr>
        <w:t>2,279.68</w:t>
      </w:r>
      <w:r>
        <w:rPr>
          <w:rFonts w:hint="eastAsia"/>
          <w:color w:val="auto"/>
          <w:highlight w:val="none"/>
        </w:rPr>
        <w:t>万元（包含无合同约束金额</w:t>
      </w:r>
      <w:r>
        <w:rPr>
          <w:color w:val="auto"/>
          <w:highlight w:val="none"/>
        </w:rPr>
        <w:t>1,424.01</w:t>
      </w:r>
      <w:r>
        <w:rPr>
          <w:rFonts w:hint="eastAsia"/>
          <w:color w:val="auto"/>
          <w:highlight w:val="none"/>
        </w:rPr>
        <w:t>万元），应付利息</w:t>
      </w:r>
      <w:r>
        <w:rPr>
          <w:color w:val="auto"/>
          <w:highlight w:val="none"/>
        </w:rPr>
        <w:t>636.41</w:t>
      </w:r>
      <w:r>
        <w:rPr>
          <w:rFonts w:hint="eastAsia"/>
          <w:color w:val="auto"/>
          <w:highlight w:val="none"/>
        </w:rPr>
        <w:t>万元，应付律师费</w:t>
      </w:r>
      <w:r>
        <w:rPr>
          <w:color w:val="auto"/>
          <w:highlight w:val="none"/>
        </w:rPr>
        <w:t>80.50</w:t>
      </w:r>
      <w:r>
        <w:rPr>
          <w:rFonts w:hint="eastAsia"/>
          <w:color w:val="auto"/>
          <w:highlight w:val="none"/>
        </w:rPr>
        <w:t>万元。申请人于</w:t>
      </w:r>
      <w:r>
        <w:rPr>
          <w:color w:val="auto"/>
          <w:highlight w:val="none"/>
        </w:rPr>
        <w:t>2023</w:t>
      </w:r>
      <w:r>
        <w:rPr>
          <w:rFonts w:hint="eastAsia"/>
          <w:color w:val="auto"/>
          <w:highlight w:val="none"/>
        </w:rPr>
        <w:t>年</w:t>
      </w:r>
      <w:r>
        <w:rPr>
          <w:color w:val="auto"/>
          <w:highlight w:val="none"/>
        </w:rPr>
        <w:t>12</w:t>
      </w:r>
      <w:r>
        <w:rPr>
          <w:rFonts w:hint="eastAsia"/>
          <w:color w:val="auto"/>
          <w:highlight w:val="none"/>
        </w:rPr>
        <w:t>月</w:t>
      </w:r>
      <w:r>
        <w:rPr>
          <w:color w:val="auto"/>
          <w:highlight w:val="none"/>
        </w:rPr>
        <w:t>6</w:t>
      </w:r>
      <w:r>
        <w:rPr>
          <w:rFonts w:hint="eastAsia"/>
          <w:color w:val="auto"/>
          <w:highlight w:val="none"/>
        </w:rPr>
        <w:t>日向上海仲裁委提出财产保全申请。</w:t>
      </w:r>
      <w:r>
        <w:rPr>
          <w:color w:val="auto"/>
          <w:highlight w:val="none"/>
        </w:rPr>
        <w:t>2023</w:t>
      </w:r>
      <w:r>
        <w:rPr>
          <w:rFonts w:hint="eastAsia"/>
          <w:color w:val="auto"/>
          <w:highlight w:val="none"/>
        </w:rPr>
        <w:t>年</w:t>
      </w:r>
      <w:r>
        <w:rPr>
          <w:color w:val="auto"/>
          <w:highlight w:val="none"/>
        </w:rPr>
        <w:t>12</w:t>
      </w:r>
      <w:r>
        <w:rPr>
          <w:rFonts w:hint="eastAsia"/>
          <w:color w:val="auto"/>
          <w:highlight w:val="none"/>
        </w:rPr>
        <w:t>月</w:t>
      </w:r>
      <w:r>
        <w:rPr>
          <w:color w:val="auto"/>
          <w:highlight w:val="none"/>
        </w:rPr>
        <w:t>18</w:t>
      </w:r>
      <w:r>
        <w:rPr>
          <w:rFonts w:hint="eastAsia"/>
          <w:color w:val="auto"/>
          <w:highlight w:val="none"/>
        </w:rPr>
        <w:t>日贵州省安龙县人民法院冻结黔西南州中弘新能源有限公司银行存款账户</w:t>
      </w:r>
      <w:r>
        <w:rPr>
          <w:color w:val="auto"/>
          <w:highlight w:val="none"/>
        </w:rPr>
        <w:t>2,996.58</w:t>
      </w:r>
      <w:r>
        <w:rPr>
          <w:rFonts w:hint="eastAsia"/>
          <w:color w:val="auto"/>
          <w:highlight w:val="none"/>
        </w:rPr>
        <w:t>万元，冻结期限自</w:t>
      </w:r>
      <w:r>
        <w:rPr>
          <w:color w:val="auto"/>
          <w:highlight w:val="none"/>
        </w:rPr>
        <w:t>2023</w:t>
      </w:r>
      <w:r>
        <w:rPr>
          <w:rFonts w:hint="eastAsia"/>
          <w:color w:val="auto"/>
          <w:highlight w:val="none"/>
        </w:rPr>
        <w:t>年</w:t>
      </w:r>
      <w:r>
        <w:rPr>
          <w:color w:val="auto"/>
          <w:highlight w:val="none"/>
        </w:rPr>
        <w:t>12</w:t>
      </w:r>
      <w:r>
        <w:rPr>
          <w:rFonts w:hint="eastAsia"/>
          <w:color w:val="auto"/>
          <w:highlight w:val="none"/>
        </w:rPr>
        <w:t>月</w:t>
      </w:r>
      <w:r>
        <w:rPr>
          <w:color w:val="auto"/>
          <w:highlight w:val="none"/>
        </w:rPr>
        <w:t>18</w:t>
      </w:r>
      <w:r>
        <w:rPr>
          <w:rFonts w:hint="eastAsia"/>
          <w:color w:val="auto"/>
          <w:highlight w:val="none"/>
        </w:rPr>
        <w:t>日起至</w:t>
      </w:r>
      <w:r>
        <w:rPr>
          <w:color w:val="auto"/>
          <w:highlight w:val="none"/>
        </w:rPr>
        <w:t>2024</w:t>
      </w:r>
      <w:r>
        <w:rPr>
          <w:rFonts w:hint="eastAsia"/>
          <w:color w:val="auto"/>
          <w:highlight w:val="none"/>
        </w:rPr>
        <w:t>年</w:t>
      </w:r>
      <w:r>
        <w:rPr>
          <w:color w:val="auto"/>
          <w:highlight w:val="none"/>
        </w:rPr>
        <w:t>12</w:t>
      </w:r>
      <w:r>
        <w:rPr>
          <w:rFonts w:hint="eastAsia"/>
          <w:color w:val="auto"/>
          <w:highlight w:val="none"/>
        </w:rPr>
        <w:t>月</w:t>
      </w:r>
      <w:r>
        <w:rPr>
          <w:color w:val="auto"/>
          <w:highlight w:val="none"/>
        </w:rPr>
        <w:t>17</w:t>
      </w:r>
      <w:r>
        <w:rPr>
          <w:rFonts w:hint="eastAsia"/>
          <w:color w:val="auto"/>
          <w:highlight w:val="none"/>
        </w:rPr>
        <w:t>日。</w:t>
      </w:r>
      <w:r>
        <w:rPr>
          <w:color w:val="auto"/>
          <w:highlight w:val="none"/>
        </w:rPr>
        <w:t>2024</w:t>
      </w:r>
      <w:r>
        <w:rPr>
          <w:rFonts w:hint="eastAsia"/>
          <w:color w:val="auto"/>
          <w:highlight w:val="none"/>
        </w:rPr>
        <w:t>年</w:t>
      </w:r>
      <w:r>
        <w:rPr>
          <w:color w:val="auto"/>
          <w:highlight w:val="none"/>
        </w:rPr>
        <w:t>1</w:t>
      </w:r>
      <w:r>
        <w:rPr>
          <w:rFonts w:hint="eastAsia"/>
          <w:color w:val="auto"/>
          <w:highlight w:val="none"/>
        </w:rPr>
        <w:t>月</w:t>
      </w:r>
      <w:r>
        <w:rPr>
          <w:color w:val="auto"/>
          <w:highlight w:val="none"/>
        </w:rPr>
        <w:t>8</w:t>
      </w:r>
      <w:r>
        <w:rPr>
          <w:rFonts w:hint="eastAsia"/>
          <w:color w:val="auto"/>
          <w:highlight w:val="none"/>
        </w:rPr>
        <w:t>日，江苏中弘公司到贵州金元公司协商案件处理情况，就工程款、股权款的支付及退股相关事项进行协商。</w:t>
      </w:r>
      <w:r>
        <w:rPr>
          <w:color w:val="auto"/>
          <w:highlight w:val="none"/>
        </w:rPr>
        <w:t>2024</w:t>
      </w:r>
      <w:r>
        <w:rPr>
          <w:rFonts w:hint="eastAsia"/>
          <w:color w:val="auto"/>
          <w:highlight w:val="none"/>
        </w:rPr>
        <w:t>年</w:t>
      </w:r>
      <w:r>
        <w:rPr>
          <w:color w:val="auto"/>
          <w:highlight w:val="none"/>
        </w:rPr>
        <w:t>4</w:t>
      </w:r>
      <w:r>
        <w:rPr>
          <w:rFonts w:hint="eastAsia"/>
          <w:color w:val="auto"/>
          <w:highlight w:val="none"/>
        </w:rPr>
        <w:t>月</w:t>
      </w:r>
      <w:r>
        <w:rPr>
          <w:color w:val="auto"/>
          <w:highlight w:val="none"/>
        </w:rPr>
        <w:t>2</w:t>
      </w:r>
      <w:r>
        <w:rPr>
          <w:rFonts w:hint="eastAsia"/>
          <w:color w:val="auto"/>
          <w:highlight w:val="none"/>
        </w:rPr>
        <w:t>日黔西南州中弘新能源有限公司收到开庭通知书，于</w:t>
      </w:r>
      <w:r>
        <w:rPr>
          <w:color w:val="auto"/>
          <w:highlight w:val="none"/>
        </w:rPr>
        <w:t>2024</w:t>
      </w:r>
      <w:r>
        <w:rPr>
          <w:rFonts w:hint="eastAsia"/>
          <w:color w:val="auto"/>
          <w:highlight w:val="none"/>
        </w:rPr>
        <w:t>年</w:t>
      </w:r>
      <w:r>
        <w:rPr>
          <w:color w:val="auto"/>
          <w:highlight w:val="none"/>
        </w:rPr>
        <w:t>5</w:t>
      </w:r>
      <w:r>
        <w:rPr>
          <w:rFonts w:hint="eastAsia"/>
          <w:color w:val="auto"/>
          <w:highlight w:val="none"/>
        </w:rPr>
        <w:t>月</w:t>
      </w:r>
      <w:r>
        <w:rPr>
          <w:color w:val="auto"/>
          <w:highlight w:val="none"/>
        </w:rPr>
        <w:t>14</w:t>
      </w:r>
      <w:r>
        <w:rPr>
          <w:rFonts w:hint="eastAsia"/>
          <w:color w:val="auto"/>
          <w:highlight w:val="none"/>
        </w:rPr>
        <w:t>日进行开庭审理，目前该案件待仲裁作出裁决。</w:t>
      </w:r>
      <w:r>
        <w:rPr>
          <w:color w:val="auto"/>
          <w:highlight w:val="none"/>
        </w:rPr>
        <w:t>2024</w:t>
      </w:r>
      <w:r>
        <w:rPr>
          <w:rFonts w:hint="eastAsia"/>
          <w:color w:val="auto"/>
          <w:highlight w:val="none"/>
        </w:rPr>
        <w:t>年</w:t>
      </w:r>
      <w:r>
        <w:rPr>
          <w:color w:val="auto"/>
          <w:highlight w:val="none"/>
        </w:rPr>
        <w:t>10</w:t>
      </w:r>
      <w:r>
        <w:rPr>
          <w:rFonts w:hint="eastAsia"/>
          <w:color w:val="auto"/>
          <w:highlight w:val="none"/>
        </w:rPr>
        <w:t>月</w:t>
      </w:r>
      <w:r>
        <w:rPr>
          <w:color w:val="auto"/>
          <w:highlight w:val="none"/>
        </w:rPr>
        <w:t>14</w:t>
      </w:r>
      <w:r>
        <w:rPr>
          <w:rFonts w:hint="eastAsia"/>
          <w:color w:val="auto"/>
          <w:highlight w:val="none"/>
        </w:rPr>
        <w:t>日，黔西南州中弘新能源有限公司申请仲裁庭主持双方进行调解。</w:t>
      </w:r>
      <w:r>
        <w:rPr>
          <w:color w:val="auto"/>
          <w:highlight w:val="none"/>
        </w:rPr>
        <w:t>2024</w:t>
      </w:r>
      <w:r>
        <w:rPr>
          <w:rFonts w:hint="eastAsia"/>
          <w:color w:val="auto"/>
          <w:highlight w:val="none"/>
        </w:rPr>
        <w:t>年</w:t>
      </w:r>
      <w:r>
        <w:rPr>
          <w:color w:val="auto"/>
          <w:highlight w:val="none"/>
        </w:rPr>
        <w:t>12</w:t>
      </w:r>
      <w:r>
        <w:rPr>
          <w:rFonts w:hint="eastAsia"/>
          <w:color w:val="auto"/>
          <w:highlight w:val="none"/>
        </w:rPr>
        <w:t>月</w:t>
      </w:r>
      <w:r>
        <w:rPr>
          <w:color w:val="auto"/>
          <w:highlight w:val="none"/>
        </w:rPr>
        <w:t>25</w:t>
      </w:r>
      <w:r>
        <w:rPr>
          <w:rFonts w:hint="eastAsia"/>
          <w:color w:val="auto"/>
          <w:highlight w:val="none"/>
        </w:rPr>
        <w:t>日，黔西南州中弘新能源有限公司名下银行卡账户已解冻。20</w:t>
      </w:r>
      <w:r>
        <w:rPr>
          <w:color w:val="auto"/>
          <w:highlight w:val="none"/>
        </w:rPr>
        <w:t>25</w:t>
      </w:r>
      <w:r>
        <w:rPr>
          <w:rFonts w:hint="eastAsia"/>
          <w:color w:val="auto"/>
          <w:highlight w:val="none"/>
        </w:rPr>
        <w:t>年</w:t>
      </w:r>
      <w:r>
        <w:rPr>
          <w:color w:val="auto"/>
          <w:highlight w:val="none"/>
        </w:rPr>
        <w:t>1</w:t>
      </w:r>
      <w:r>
        <w:rPr>
          <w:rFonts w:hint="eastAsia"/>
          <w:color w:val="auto"/>
          <w:highlight w:val="none"/>
        </w:rPr>
        <w:t>月</w:t>
      </w:r>
      <w:r>
        <w:rPr>
          <w:color w:val="auto"/>
          <w:highlight w:val="none"/>
        </w:rPr>
        <w:t>21</w:t>
      </w:r>
      <w:r>
        <w:rPr>
          <w:rFonts w:hint="eastAsia"/>
          <w:color w:val="auto"/>
          <w:highlight w:val="none"/>
        </w:rPr>
        <w:t>日，经江苏中弘公司申请，贵州省安龙县人民法院再次做出冻结黔西南州中弘新能源公司名下银行基本账户加贷款账户共计</w:t>
      </w:r>
      <w:r>
        <w:rPr>
          <w:color w:val="auto"/>
          <w:highlight w:val="none"/>
        </w:rPr>
        <w:t>20.99</w:t>
      </w:r>
      <w:r>
        <w:rPr>
          <w:rFonts w:hint="eastAsia"/>
          <w:color w:val="auto"/>
          <w:highlight w:val="none"/>
        </w:rPr>
        <w:t>万元。截至</w:t>
      </w:r>
      <w:r>
        <w:rPr>
          <w:color w:val="auto"/>
          <w:highlight w:val="none"/>
        </w:rPr>
        <w:t>2024</w:t>
      </w:r>
      <w:r>
        <w:rPr>
          <w:rFonts w:hint="eastAsia"/>
          <w:color w:val="auto"/>
          <w:highlight w:val="none"/>
        </w:rPr>
        <w:t>年</w:t>
      </w:r>
      <w:r>
        <w:rPr>
          <w:color w:val="auto"/>
          <w:highlight w:val="none"/>
        </w:rPr>
        <w:t>12</w:t>
      </w:r>
      <w:r>
        <w:rPr>
          <w:rFonts w:hint="eastAsia"/>
          <w:color w:val="auto"/>
          <w:highlight w:val="none"/>
        </w:rPr>
        <w:t>月</w:t>
      </w:r>
      <w:r>
        <w:rPr>
          <w:color w:val="auto"/>
          <w:highlight w:val="none"/>
        </w:rPr>
        <w:t>31</w:t>
      </w:r>
      <w:r>
        <w:rPr>
          <w:rFonts w:hint="eastAsia"/>
          <w:color w:val="auto"/>
          <w:highlight w:val="none"/>
        </w:rPr>
        <w:t>日，该仲裁未结束，故无法申请解冻，冻结账户余额</w:t>
      </w:r>
      <w:r>
        <w:rPr>
          <w:color w:val="auto"/>
          <w:highlight w:val="none"/>
        </w:rPr>
        <w:t>20.99</w:t>
      </w:r>
      <w:r>
        <w:rPr>
          <w:rFonts w:hint="eastAsia"/>
          <w:color w:val="auto"/>
          <w:highlight w:val="none"/>
        </w:rPr>
        <w:t>万元。</w:t>
      </w:r>
    </w:p>
    <w:p>
      <w:pPr>
        <w:pStyle w:val="35"/>
        <w:rPr>
          <w:color w:val="auto"/>
          <w:highlight w:val="none"/>
        </w:rPr>
      </w:pPr>
      <w:r>
        <w:rPr>
          <w:rFonts w:hint="eastAsia"/>
          <w:color w:val="auto"/>
          <w:highlight w:val="none"/>
        </w:rPr>
        <w:t xml:space="preserve"> </w:t>
      </w:r>
    </w:p>
    <w:p>
      <w:pPr>
        <w:pStyle w:val="35"/>
        <w:rPr>
          <w:color w:val="auto"/>
          <w:highlight w:val="none"/>
        </w:rPr>
      </w:pPr>
      <w:r>
        <w:rPr>
          <w:rFonts w:hint="eastAsia"/>
          <w:color w:val="auto"/>
          <w:highlight w:val="none"/>
        </w:rPr>
        <w:t>（</w:t>
      </w:r>
      <w:r>
        <w:rPr>
          <w:color w:val="auto"/>
          <w:highlight w:val="none"/>
        </w:rPr>
        <w:t>4</w:t>
      </w:r>
      <w:r>
        <w:rPr>
          <w:rFonts w:hint="eastAsia"/>
          <w:color w:val="auto"/>
          <w:highlight w:val="none"/>
        </w:rPr>
        <w:t>）黔西南州义龙中弘绿色能源有限公司系威宁能源子公司。仲裁事由系申请人江苏中弘光伏工程技术有限公司与被申请人黔西南州义龙中弘绿色能源有限公司工程款纠纷案，仲裁标的金额</w:t>
      </w:r>
      <w:r>
        <w:rPr>
          <w:color w:val="auto"/>
          <w:highlight w:val="none"/>
        </w:rPr>
        <w:t>2,927.33</w:t>
      </w:r>
      <w:r>
        <w:rPr>
          <w:rFonts w:hint="eastAsia"/>
          <w:color w:val="auto"/>
          <w:highlight w:val="none"/>
        </w:rPr>
        <w:t>万元，其中应付工程款</w:t>
      </w:r>
      <w:r>
        <w:rPr>
          <w:color w:val="auto"/>
          <w:highlight w:val="none"/>
        </w:rPr>
        <w:t>2,281.39</w:t>
      </w:r>
      <w:r>
        <w:rPr>
          <w:rFonts w:hint="eastAsia"/>
          <w:color w:val="auto"/>
          <w:highlight w:val="none"/>
        </w:rPr>
        <w:t>万元（包含无合同约束金额</w:t>
      </w:r>
      <w:r>
        <w:rPr>
          <w:color w:val="auto"/>
          <w:highlight w:val="none"/>
        </w:rPr>
        <w:t>1,854.90</w:t>
      </w:r>
      <w:r>
        <w:rPr>
          <w:rFonts w:hint="eastAsia"/>
          <w:color w:val="auto"/>
          <w:highlight w:val="none"/>
        </w:rPr>
        <w:t>万元），应付利息</w:t>
      </w:r>
      <w:r>
        <w:rPr>
          <w:color w:val="auto"/>
          <w:highlight w:val="none"/>
        </w:rPr>
        <w:t>566.43</w:t>
      </w:r>
      <w:r>
        <w:rPr>
          <w:rFonts w:hint="eastAsia"/>
          <w:color w:val="auto"/>
          <w:highlight w:val="none"/>
        </w:rPr>
        <w:t>万元，应付律师费</w:t>
      </w:r>
      <w:r>
        <w:rPr>
          <w:color w:val="auto"/>
          <w:highlight w:val="none"/>
        </w:rPr>
        <w:t>79.50</w:t>
      </w:r>
      <w:r>
        <w:rPr>
          <w:rFonts w:hint="eastAsia"/>
          <w:color w:val="auto"/>
          <w:highlight w:val="none"/>
        </w:rPr>
        <w:t>万元。申请人于</w:t>
      </w:r>
      <w:r>
        <w:rPr>
          <w:color w:val="auto"/>
          <w:highlight w:val="none"/>
        </w:rPr>
        <w:t>2023</w:t>
      </w:r>
      <w:r>
        <w:rPr>
          <w:rFonts w:hint="eastAsia"/>
          <w:color w:val="auto"/>
          <w:highlight w:val="none"/>
        </w:rPr>
        <w:t>年</w:t>
      </w:r>
      <w:r>
        <w:rPr>
          <w:color w:val="auto"/>
          <w:highlight w:val="none"/>
        </w:rPr>
        <w:t>12</w:t>
      </w:r>
      <w:r>
        <w:rPr>
          <w:rFonts w:hint="eastAsia"/>
          <w:color w:val="auto"/>
          <w:highlight w:val="none"/>
        </w:rPr>
        <w:t>月</w:t>
      </w:r>
      <w:r>
        <w:rPr>
          <w:color w:val="auto"/>
          <w:highlight w:val="none"/>
        </w:rPr>
        <w:t>6</w:t>
      </w:r>
      <w:r>
        <w:rPr>
          <w:rFonts w:hint="eastAsia"/>
          <w:color w:val="auto"/>
          <w:highlight w:val="none"/>
        </w:rPr>
        <w:t>日向上海仲裁委提出财产保全申请。</w:t>
      </w:r>
      <w:r>
        <w:rPr>
          <w:color w:val="auto"/>
          <w:highlight w:val="none"/>
        </w:rPr>
        <w:t>2023</w:t>
      </w:r>
      <w:r>
        <w:rPr>
          <w:rFonts w:hint="eastAsia"/>
          <w:color w:val="auto"/>
          <w:highlight w:val="none"/>
        </w:rPr>
        <w:t>年</w:t>
      </w:r>
      <w:r>
        <w:rPr>
          <w:color w:val="auto"/>
          <w:highlight w:val="none"/>
        </w:rPr>
        <w:t>12</w:t>
      </w:r>
      <w:r>
        <w:rPr>
          <w:rFonts w:hint="eastAsia"/>
          <w:color w:val="auto"/>
          <w:highlight w:val="none"/>
        </w:rPr>
        <w:t>月</w:t>
      </w:r>
      <w:r>
        <w:rPr>
          <w:color w:val="auto"/>
          <w:highlight w:val="none"/>
        </w:rPr>
        <w:t>18</w:t>
      </w:r>
      <w:r>
        <w:rPr>
          <w:rFonts w:hint="eastAsia"/>
          <w:color w:val="auto"/>
          <w:highlight w:val="none"/>
        </w:rPr>
        <w:t>日安龙县人民法院冻结黔西南州义龙中弘绿色能源有限公司名下银行卡账户</w:t>
      </w:r>
      <w:r>
        <w:rPr>
          <w:color w:val="auto"/>
          <w:highlight w:val="none"/>
        </w:rPr>
        <w:t>2,996.58</w:t>
      </w:r>
      <w:r>
        <w:rPr>
          <w:rFonts w:hint="eastAsia"/>
          <w:color w:val="auto"/>
          <w:highlight w:val="none"/>
        </w:rPr>
        <w:t>万元，冻结期限自</w:t>
      </w:r>
      <w:r>
        <w:rPr>
          <w:color w:val="auto"/>
          <w:highlight w:val="none"/>
        </w:rPr>
        <w:t>2023</w:t>
      </w:r>
      <w:r>
        <w:rPr>
          <w:rFonts w:hint="eastAsia"/>
          <w:color w:val="auto"/>
          <w:highlight w:val="none"/>
        </w:rPr>
        <w:t>年</w:t>
      </w:r>
      <w:r>
        <w:rPr>
          <w:color w:val="auto"/>
          <w:highlight w:val="none"/>
        </w:rPr>
        <w:t>12</w:t>
      </w:r>
      <w:r>
        <w:rPr>
          <w:rFonts w:hint="eastAsia"/>
          <w:color w:val="auto"/>
          <w:highlight w:val="none"/>
        </w:rPr>
        <w:t>月</w:t>
      </w:r>
      <w:r>
        <w:rPr>
          <w:color w:val="auto"/>
          <w:highlight w:val="none"/>
        </w:rPr>
        <w:t>18</w:t>
      </w:r>
      <w:r>
        <w:rPr>
          <w:rFonts w:hint="eastAsia"/>
          <w:color w:val="auto"/>
          <w:highlight w:val="none"/>
        </w:rPr>
        <w:t>日起至</w:t>
      </w:r>
      <w:r>
        <w:rPr>
          <w:color w:val="auto"/>
          <w:highlight w:val="none"/>
        </w:rPr>
        <w:t>2024</w:t>
      </w:r>
      <w:r>
        <w:rPr>
          <w:rFonts w:hint="eastAsia"/>
          <w:color w:val="auto"/>
          <w:highlight w:val="none"/>
        </w:rPr>
        <w:t>年</w:t>
      </w:r>
      <w:r>
        <w:rPr>
          <w:color w:val="auto"/>
          <w:highlight w:val="none"/>
        </w:rPr>
        <w:t>12</w:t>
      </w:r>
      <w:r>
        <w:rPr>
          <w:rFonts w:hint="eastAsia"/>
          <w:color w:val="auto"/>
          <w:highlight w:val="none"/>
        </w:rPr>
        <w:t>月</w:t>
      </w:r>
      <w:r>
        <w:rPr>
          <w:color w:val="auto"/>
          <w:highlight w:val="none"/>
        </w:rPr>
        <w:t>17</w:t>
      </w:r>
      <w:r>
        <w:rPr>
          <w:rFonts w:hint="eastAsia"/>
          <w:color w:val="auto"/>
          <w:highlight w:val="none"/>
        </w:rPr>
        <w:t>日。</w:t>
      </w:r>
      <w:r>
        <w:rPr>
          <w:color w:val="auto"/>
          <w:highlight w:val="none"/>
        </w:rPr>
        <w:t>2024</w:t>
      </w:r>
      <w:r>
        <w:rPr>
          <w:rFonts w:hint="eastAsia"/>
          <w:color w:val="auto"/>
          <w:highlight w:val="none"/>
        </w:rPr>
        <w:t>年</w:t>
      </w:r>
      <w:r>
        <w:rPr>
          <w:color w:val="auto"/>
          <w:highlight w:val="none"/>
        </w:rPr>
        <w:t>1</w:t>
      </w:r>
      <w:r>
        <w:rPr>
          <w:rFonts w:hint="eastAsia"/>
          <w:color w:val="auto"/>
          <w:highlight w:val="none"/>
        </w:rPr>
        <w:t>月</w:t>
      </w:r>
      <w:r>
        <w:rPr>
          <w:color w:val="auto"/>
          <w:highlight w:val="none"/>
        </w:rPr>
        <w:t>8</w:t>
      </w:r>
      <w:r>
        <w:rPr>
          <w:rFonts w:hint="eastAsia"/>
          <w:color w:val="auto"/>
          <w:highlight w:val="none"/>
        </w:rPr>
        <w:t>日，江苏中弘公司到贵州金元公司协商案件处理情况，就工程款、股权款的支付及退股相关事项进行协商。</w:t>
      </w:r>
      <w:r>
        <w:rPr>
          <w:color w:val="auto"/>
          <w:highlight w:val="none"/>
        </w:rPr>
        <w:t>2024</w:t>
      </w:r>
      <w:r>
        <w:rPr>
          <w:rFonts w:hint="eastAsia"/>
          <w:color w:val="auto"/>
          <w:highlight w:val="none"/>
        </w:rPr>
        <w:t>年</w:t>
      </w:r>
      <w:r>
        <w:rPr>
          <w:color w:val="auto"/>
          <w:highlight w:val="none"/>
        </w:rPr>
        <w:t>4</w:t>
      </w:r>
      <w:r>
        <w:rPr>
          <w:rFonts w:hint="eastAsia"/>
          <w:color w:val="auto"/>
          <w:highlight w:val="none"/>
        </w:rPr>
        <w:t>月</w:t>
      </w:r>
      <w:r>
        <w:rPr>
          <w:color w:val="auto"/>
          <w:highlight w:val="none"/>
        </w:rPr>
        <w:t>2</w:t>
      </w:r>
      <w:r>
        <w:rPr>
          <w:rFonts w:hint="eastAsia"/>
          <w:color w:val="auto"/>
          <w:highlight w:val="none"/>
        </w:rPr>
        <w:t>日黔西南州义龙中弘绿色能源有限公司收到开庭通知书，于</w:t>
      </w:r>
      <w:r>
        <w:rPr>
          <w:color w:val="auto"/>
          <w:highlight w:val="none"/>
        </w:rPr>
        <w:t>2024</w:t>
      </w:r>
      <w:r>
        <w:rPr>
          <w:rFonts w:hint="eastAsia"/>
          <w:color w:val="auto"/>
          <w:highlight w:val="none"/>
        </w:rPr>
        <w:t>年</w:t>
      </w:r>
      <w:r>
        <w:rPr>
          <w:color w:val="auto"/>
          <w:highlight w:val="none"/>
        </w:rPr>
        <w:t>5</w:t>
      </w:r>
      <w:r>
        <w:rPr>
          <w:rFonts w:hint="eastAsia"/>
          <w:color w:val="auto"/>
          <w:highlight w:val="none"/>
        </w:rPr>
        <w:t>月</w:t>
      </w:r>
      <w:r>
        <w:rPr>
          <w:color w:val="auto"/>
          <w:highlight w:val="none"/>
        </w:rPr>
        <w:t>14</w:t>
      </w:r>
      <w:r>
        <w:rPr>
          <w:rFonts w:hint="eastAsia"/>
          <w:color w:val="auto"/>
          <w:highlight w:val="none"/>
        </w:rPr>
        <w:t>日进行开庭审理，目前该案件待仲裁作出裁决。</w:t>
      </w:r>
      <w:r>
        <w:rPr>
          <w:color w:val="auto"/>
          <w:highlight w:val="none"/>
        </w:rPr>
        <w:t>2024</w:t>
      </w:r>
      <w:r>
        <w:rPr>
          <w:rFonts w:hint="eastAsia"/>
          <w:color w:val="auto"/>
          <w:highlight w:val="none"/>
        </w:rPr>
        <w:t>年</w:t>
      </w:r>
      <w:r>
        <w:rPr>
          <w:color w:val="auto"/>
          <w:highlight w:val="none"/>
        </w:rPr>
        <w:t>12</w:t>
      </w:r>
      <w:r>
        <w:rPr>
          <w:rFonts w:hint="eastAsia"/>
          <w:color w:val="auto"/>
          <w:highlight w:val="none"/>
        </w:rPr>
        <w:t>月</w:t>
      </w:r>
      <w:r>
        <w:rPr>
          <w:color w:val="auto"/>
          <w:highlight w:val="none"/>
        </w:rPr>
        <w:t>25</w:t>
      </w:r>
      <w:r>
        <w:rPr>
          <w:rFonts w:hint="eastAsia"/>
          <w:color w:val="auto"/>
          <w:highlight w:val="none"/>
        </w:rPr>
        <w:t>日，黔西南州义龙中弘绿色能源有限公司名下银行卡账户已解冻。</w:t>
      </w:r>
      <w:r>
        <w:rPr>
          <w:color w:val="auto"/>
          <w:highlight w:val="none"/>
        </w:rPr>
        <w:t>2025</w:t>
      </w:r>
      <w:r>
        <w:rPr>
          <w:rFonts w:hint="eastAsia"/>
          <w:color w:val="auto"/>
          <w:highlight w:val="none"/>
        </w:rPr>
        <w:t>年</w:t>
      </w:r>
      <w:r>
        <w:rPr>
          <w:color w:val="auto"/>
          <w:highlight w:val="none"/>
        </w:rPr>
        <w:t>1</w:t>
      </w:r>
      <w:r>
        <w:rPr>
          <w:rFonts w:hint="eastAsia"/>
          <w:color w:val="auto"/>
          <w:highlight w:val="none"/>
        </w:rPr>
        <w:t>月</w:t>
      </w:r>
      <w:r>
        <w:rPr>
          <w:color w:val="auto"/>
          <w:highlight w:val="none"/>
        </w:rPr>
        <w:t>21</w:t>
      </w:r>
      <w:r>
        <w:rPr>
          <w:rFonts w:hint="eastAsia"/>
          <w:color w:val="auto"/>
          <w:highlight w:val="none"/>
        </w:rPr>
        <w:t>日，经江苏中弘公司申请，贵州省安龙县人民法院再次做出冻结黔西南州义龙中弘新能源公司名下银行基本账户加贷款账户共计</w:t>
      </w:r>
      <w:r>
        <w:rPr>
          <w:color w:val="auto"/>
          <w:highlight w:val="none"/>
        </w:rPr>
        <w:t>21.00</w:t>
      </w:r>
      <w:r>
        <w:rPr>
          <w:rFonts w:hint="eastAsia"/>
          <w:color w:val="auto"/>
          <w:highlight w:val="none"/>
        </w:rPr>
        <w:t>万元。截至</w:t>
      </w:r>
      <w:r>
        <w:rPr>
          <w:color w:val="auto"/>
          <w:highlight w:val="none"/>
        </w:rPr>
        <w:t>2024</w:t>
      </w:r>
      <w:r>
        <w:rPr>
          <w:rFonts w:hint="eastAsia"/>
          <w:color w:val="auto"/>
          <w:highlight w:val="none"/>
        </w:rPr>
        <w:t>年</w:t>
      </w:r>
      <w:r>
        <w:rPr>
          <w:color w:val="auto"/>
          <w:highlight w:val="none"/>
        </w:rPr>
        <w:t>12</w:t>
      </w:r>
      <w:r>
        <w:rPr>
          <w:rFonts w:hint="eastAsia"/>
          <w:color w:val="auto"/>
          <w:highlight w:val="none"/>
        </w:rPr>
        <w:t>月</w:t>
      </w:r>
      <w:r>
        <w:rPr>
          <w:color w:val="auto"/>
          <w:highlight w:val="none"/>
        </w:rPr>
        <w:t>31</w:t>
      </w:r>
      <w:r>
        <w:rPr>
          <w:rFonts w:hint="eastAsia"/>
          <w:color w:val="auto"/>
          <w:highlight w:val="none"/>
        </w:rPr>
        <w:t>日，该仲裁未结束，故无法申请解冻，冻结账户余额</w:t>
      </w:r>
      <w:r>
        <w:rPr>
          <w:color w:val="auto"/>
          <w:highlight w:val="none"/>
        </w:rPr>
        <w:t>21.00</w:t>
      </w:r>
      <w:r>
        <w:rPr>
          <w:rFonts w:hint="eastAsia"/>
          <w:color w:val="auto"/>
          <w:highlight w:val="none"/>
        </w:rPr>
        <w:t>万元。</w:t>
      </w:r>
    </w:p>
    <w:p>
      <w:pPr>
        <w:pStyle w:val="35"/>
        <w:rPr>
          <w:color w:val="auto"/>
          <w:highlight w:val="none"/>
        </w:rPr>
      </w:pPr>
      <w:r>
        <w:rPr>
          <w:rFonts w:hint="eastAsia"/>
          <w:color w:val="auto"/>
          <w:highlight w:val="none"/>
        </w:rPr>
        <w:t xml:space="preserve"> </w:t>
      </w:r>
    </w:p>
    <w:p>
      <w:pPr>
        <w:pStyle w:val="35"/>
        <w:rPr>
          <w:color w:val="auto"/>
          <w:highlight w:val="none"/>
        </w:rPr>
      </w:pPr>
      <w:r>
        <w:rPr>
          <w:rFonts w:hint="eastAsia"/>
          <w:color w:val="auto"/>
          <w:highlight w:val="none"/>
        </w:rPr>
        <w:t>（</w:t>
      </w:r>
      <w:r>
        <w:rPr>
          <w:color w:val="auto"/>
          <w:highlight w:val="none"/>
        </w:rPr>
        <w:t>5</w:t>
      </w:r>
      <w:r>
        <w:rPr>
          <w:rFonts w:hint="eastAsia"/>
          <w:color w:val="auto"/>
          <w:highlight w:val="none"/>
        </w:rPr>
        <w:t>）兴仁市亚玛顿新能源有限公司系威宁能源子公司。仲裁事由系申请人江苏中弘光伏工程技术有限公司与被申请人兴仁市亚玛顿新能源有限公司工程款纠纷案，仲裁标的金额</w:t>
      </w:r>
      <w:r>
        <w:rPr>
          <w:color w:val="auto"/>
          <w:highlight w:val="none"/>
        </w:rPr>
        <w:t>2,996.58</w:t>
      </w:r>
      <w:r>
        <w:rPr>
          <w:rFonts w:hint="eastAsia"/>
          <w:color w:val="auto"/>
          <w:highlight w:val="none"/>
        </w:rPr>
        <w:t>万元，其中应付工程款</w:t>
      </w:r>
      <w:r>
        <w:rPr>
          <w:color w:val="auto"/>
          <w:highlight w:val="none"/>
        </w:rPr>
        <w:t>1,244.19</w:t>
      </w:r>
      <w:r>
        <w:rPr>
          <w:rFonts w:hint="eastAsia"/>
          <w:color w:val="auto"/>
          <w:highlight w:val="none"/>
        </w:rPr>
        <w:t>万元（包含无合同约束金额</w:t>
      </w:r>
      <w:r>
        <w:rPr>
          <w:color w:val="auto"/>
          <w:highlight w:val="none"/>
        </w:rPr>
        <w:t>865.39</w:t>
      </w:r>
      <w:r>
        <w:rPr>
          <w:rFonts w:hint="eastAsia"/>
          <w:color w:val="auto"/>
          <w:highlight w:val="none"/>
        </w:rPr>
        <w:t>万元），应付利息</w:t>
      </w:r>
      <w:r>
        <w:rPr>
          <w:color w:val="auto"/>
          <w:highlight w:val="none"/>
        </w:rPr>
        <w:t>393.81</w:t>
      </w:r>
      <w:r>
        <w:rPr>
          <w:rFonts w:hint="eastAsia"/>
          <w:color w:val="auto"/>
          <w:highlight w:val="none"/>
        </w:rPr>
        <w:t>万元，应付律师费</w:t>
      </w:r>
      <w:r>
        <w:rPr>
          <w:color w:val="auto"/>
          <w:highlight w:val="none"/>
        </w:rPr>
        <w:t>55.00</w:t>
      </w:r>
      <w:r>
        <w:rPr>
          <w:rFonts w:hint="eastAsia"/>
          <w:color w:val="auto"/>
          <w:highlight w:val="none"/>
        </w:rPr>
        <w:t>万元。申请人于</w:t>
      </w:r>
      <w:r>
        <w:rPr>
          <w:color w:val="auto"/>
          <w:highlight w:val="none"/>
        </w:rPr>
        <w:t>2023</w:t>
      </w:r>
      <w:r>
        <w:rPr>
          <w:rFonts w:hint="eastAsia"/>
          <w:color w:val="auto"/>
          <w:highlight w:val="none"/>
        </w:rPr>
        <w:t>年</w:t>
      </w:r>
      <w:r>
        <w:rPr>
          <w:color w:val="auto"/>
          <w:highlight w:val="none"/>
        </w:rPr>
        <w:t>11</w:t>
      </w:r>
      <w:r>
        <w:rPr>
          <w:rFonts w:hint="eastAsia"/>
          <w:color w:val="auto"/>
          <w:highlight w:val="none"/>
        </w:rPr>
        <w:t>月</w:t>
      </w:r>
      <w:r>
        <w:rPr>
          <w:color w:val="auto"/>
          <w:highlight w:val="none"/>
        </w:rPr>
        <w:t>28</w:t>
      </w:r>
      <w:r>
        <w:rPr>
          <w:rFonts w:hint="eastAsia"/>
          <w:color w:val="auto"/>
          <w:highlight w:val="none"/>
        </w:rPr>
        <w:t>日向上海仲裁委提出财产保全申请。</w:t>
      </w:r>
      <w:r>
        <w:rPr>
          <w:color w:val="auto"/>
          <w:highlight w:val="none"/>
        </w:rPr>
        <w:t>2023</w:t>
      </w:r>
      <w:r>
        <w:rPr>
          <w:rFonts w:hint="eastAsia"/>
          <w:color w:val="auto"/>
          <w:highlight w:val="none"/>
        </w:rPr>
        <w:t>年</w:t>
      </w:r>
      <w:r>
        <w:rPr>
          <w:color w:val="auto"/>
          <w:highlight w:val="none"/>
        </w:rPr>
        <w:t>12</w:t>
      </w:r>
      <w:r>
        <w:rPr>
          <w:rFonts w:hint="eastAsia"/>
          <w:color w:val="auto"/>
          <w:highlight w:val="none"/>
        </w:rPr>
        <w:t>月</w:t>
      </w:r>
      <w:r>
        <w:rPr>
          <w:color w:val="auto"/>
          <w:highlight w:val="none"/>
        </w:rPr>
        <w:t>15</w:t>
      </w:r>
      <w:r>
        <w:rPr>
          <w:rFonts w:hint="eastAsia"/>
          <w:color w:val="auto"/>
          <w:highlight w:val="none"/>
        </w:rPr>
        <w:t>日贵州省兴仁市人民法院冻结兴仁市亚玛顿新能源有限公司银行存款账户</w:t>
      </w:r>
      <w:r>
        <w:rPr>
          <w:color w:val="auto"/>
          <w:highlight w:val="none"/>
        </w:rPr>
        <w:t>1,693.01</w:t>
      </w:r>
      <w:r>
        <w:rPr>
          <w:rFonts w:hint="eastAsia"/>
          <w:color w:val="auto"/>
          <w:highlight w:val="none"/>
        </w:rPr>
        <w:t>万元，冻结期限自</w:t>
      </w:r>
      <w:r>
        <w:rPr>
          <w:color w:val="auto"/>
          <w:highlight w:val="none"/>
        </w:rPr>
        <w:t>2023</w:t>
      </w:r>
      <w:r>
        <w:rPr>
          <w:rFonts w:hint="eastAsia"/>
          <w:color w:val="auto"/>
          <w:highlight w:val="none"/>
        </w:rPr>
        <w:t>年</w:t>
      </w:r>
      <w:r>
        <w:rPr>
          <w:color w:val="auto"/>
          <w:highlight w:val="none"/>
        </w:rPr>
        <w:t>12</w:t>
      </w:r>
      <w:r>
        <w:rPr>
          <w:rFonts w:hint="eastAsia"/>
          <w:color w:val="auto"/>
          <w:highlight w:val="none"/>
        </w:rPr>
        <w:t>月</w:t>
      </w:r>
      <w:r>
        <w:rPr>
          <w:color w:val="auto"/>
          <w:highlight w:val="none"/>
        </w:rPr>
        <w:t>15</w:t>
      </w:r>
      <w:r>
        <w:rPr>
          <w:rFonts w:hint="eastAsia"/>
          <w:color w:val="auto"/>
          <w:highlight w:val="none"/>
        </w:rPr>
        <w:t>日起至</w:t>
      </w:r>
      <w:r>
        <w:rPr>
          <w:color w:val="auto"/>
          <w:highlight w:val="none"/>
        </w:rPr>
        <w:t>2024</w:t>
      </w:r>
      <w:r>
        <w:rPr>
          <w:rFonts w:hint="eastAsia"/>
          <w:color w:val="auto"/>
          <w:highlight w:val="none"/>
        </w:rPr>
        <w:t>年</w:t>
      </w:r>
      <w:r>
        <w:rPr>
          <w:color w:val="auto"/>
          <w:highlight w:val="none"/>
        </w:rPr>
        <w:t>12</w:t>
      </w:r>
      <w:r>
        <w:rPr>
          <w:rFonts w:hint="eastAsia"/>
          <w:color w:val="auto"/>
          <w:highlight w:val="none"/>
        </w:rPr>
        <w:t>月</w:t>
      </w:r>
      <w:r>
        <w:rPr>
          <w:color w:val="auto"/>
          <w:highlight w:val="none"/>
        </w:rPr>
        <w:t>14</w:t>
      </w:r>
      <w:r>
        <w:rPr>
          <w:rFonts w:hint="eastAsia"/>
          <w:color w:val="auto"/>
          <w:highlight w:val="none"/>
        </w:rPr>
        <w:t>日。</w:t>
      </w:r>
      <w:r>
        <w:rPr>
          <w:color w:val="auto"/>
          <w:highlight w:val="none"/>
        </w:rPr>
        <w:t>2024</w:t>
      </w:r>
      <w:r>
        <w:rPr>
          <w:rFonts w:hint="eastAsia"/>
          <w:color w:val="auto"/>
          <w:highlight w:val="none"/>
        </w:rPr>
        <w:t>年</w:t>
      </w:r>
      <w:r>
        <w:rPr>
          <w:color w:val="auto"/>
          <w:highlight w:val="none"/>
        </w:rPr>
        <w:t>1</w:t>
      </w:r>
      <w:r>
        <w:rPr>
          <w:rFonts w:hint="eastAsia"/>
          <w:color w:val="auto"/>
          <w:highlight w:val="none"/>
        </w:rPr>
        <w:t>月</w:t>
      </w:r>
      <w:r>
        <w:rPr>
          <w:color w:val="auto"/>
          <w:highlight w:val="none"/>
        </w:rPr>
        <w:t>8</w:t>
      </w:r>
      <w:r>
        <w:rPr>
          <w:rFonts w:hint="eastAsia"/>
          <w:color w:val="auto"/>
          <w:highlight w:val="none"/>
        </w:rPr>
        <w:t>日，江苏中弘公司到贵州金元公司协商案件处理情况，就工程款、股权款的支付及退股相关事项进行协商。</w:t>
      </w:r>
      <w:r>
        <w:rPr>
          <w:color w:val="auto"/>
          <w:highlight w:val="none"/>
        </w:rPr>
        <w:t>2024</w:t>
      </w:r>
      <w:r>
        <w:rPr>
          <w:rFonts w:hint="eastAsia"/>
          <w:color w:val="auto"/>
          <w:highlight w:val="none"/>
        </w:rPr>
        <w:t>年</w:t>
      </w:r>
      <w:r>
        <w:rPr>
          <w:color w:val="auto"/>
          <w:highlight w:val="none"/>
        </w:rPr>
        <w:t>4</w:t>
      </w:r>
      <w:r>
        <w:rPr>
          <w:rFonts w:hint="eastAsia"/>
          <w:color w:val="auto"/>
          <w:highlight w:val="none"/>
        </w:rPr>
        <w:t>月</w:t>
      </w:r>
      <w:r>
        <w:rPr>
          <w:color w:val="auto"/>
          <w:highlight w:val="none"/>
        </w:rPr>
        <w:t>2</w:t>
      </w:r>
      <w:r>
        <w:rPr>
          <w:rFonts w:hint="eastAsia"/>
          <w:color w:val="auto"/>
          <w:highlight w:val="none"/>
        </w:rPr>
        <w:t>日兴仁市亚玛顿新能源有限公司收到开庭通知书，于</w:t>
      </w:r>
      <w:r>
        <w:rPr>
          <w:color w:val="auto"/>
          <w:highlight w:val="none"/>
        </w:rPr>
        <w:t>2024</w:t>
      </w:r>
      <w:r>
        <w:rPr>
          <w:rFonts w:hint="eastAsia"/>
          <w:color w:val="auto"/>
          <w:highlight w:val="none"/>
        </w:rPr>
        <w:t>年</w:t>
      </w:r>
      <w:r>
        <w:rPr>
          <w:color w:val="auto"/>
          <w:highlight w:val="none"/>
        </w:rPr>
        <w:t>5</w:t>
      </w:r>
      <w:r>
        <w:rPr>
          <w:rFonts w:hint="eastAsia"/>
          <w:color w:val="auto"/>
          <w:highlight w:val="none"/>
        </w:rPr>
        <w:t>月</w:t>
      </w:r>
      <w:r>
        <w:rPr>
          <w:color w:val="auto"/>
          <w:highlight w:val="none"/>
        </w:rPr>
        <w:t>14</w:t>
      </w:r>
      <w:r>
        <w:rPr>
          <w:rFonts w:hint="eastAsia"/>
          <w:color w:val="auto"/>
          <w:highlight w:val="none"/>
        </w:rPr>
        <w:t>日进行开庭审理，目前该案件待仲裁作出裁决。</w:t>
      </w:r>
      <w:r>
        <w:rPr>
          <w:color w:val="auto"/>
          <w:highlight w:val="none"/>
        </w:rPr>
        <w:t>2024</w:t>
      </w:r>
      <w:r>
        <w:rPr>
          <w:rFonts w:hint="eastAsia"/>
          <w:color w:val="auto"/>
          <w:highlight w:val="none"/>
        </w:rPr>
        <w:t>年</w:t>
      </w:r>
      <w:r>
        <w:rPr>
          <w:color w:val="auto"/>
          <w:highlight w:val="none"/>
        </w:rPr>
        <w:t>10</w:t>
      </w:r>
      <w:r>
        <w:rPr>
          <w:rFonts w:hint="eastAsia"/>
          <w:color w:val="auto"/>
          <w:highlight w:val="none"/>
        </w:rPr>
        <w:t>月</w:t>
      </w:r>
      <w:r>
        <w:rPr>
          <w:color w:val="auto"/>
          <w:highlight w:val="none"/>
        </w:rPr>
        <w:t>14</w:t>
      </w:r>
      <w:r>
        <w:rPr>
          <w:rFonts w:hint="eastAsia"/>
          <w:color w:val="auto"/>
          <w:highlight w:val="none"/>
        </w:rPr>
        <w:t>日，兴仁市亚玛顿新能源有限公司申请仲裁庭主持双方进行调解。</w:t>
      </w:r>
      <w:r>
        <w:rPr>
          <w:color w:val="auto"/>
          <w:highlight w:val="none"/>
        </w:rPr>
        <w:t>2024</w:t>
      </w:r>
      <w:r>
        <w:rPr>
          <w:rFonts w:hint="eastAsia"/>
          <w:color w:val="auto"/>
          <w:highlight w:val="none"/>
        </w:rPr>
        <w:t>年</w:t>
      </w:r>
      <w:r>
        <w:rPr>
          <w:color w:val="auto"/>
          <w:highlight w:val="none"/>
        </w:rPr>
        <w:t>12</w:t>
      </w:r>
      <w:r>
        <w:rPr>
          <w:rFonts w:hint="eastAsia"/>
          <w:color w:val="auto"/>
          <w:highlight w:val="none"/>
        </w:rPr>
        <w:t>月</w:t>
      </w:r>
      <w:r>
        <w:rPr>
          <w:color w:val="auto"/>
          <w:highlight w:val="none"/>
        </w:rPr>
        <w:t>24</w:t>
      </w:r>
      <w:r>
        <w:rPr>
          <w:rFonts w:hint="eastAsia"/>
          <w:color w:val="auto"/>
          <w:highlight w:val="none"/>
        </w:rPr>
        <w:t>日，兴仁亚玛顿新能源有限公司名下银行卡账户已解冻。</w:t>
      </w:r>
      <w:r>
        <w:rPr>
          <w:color w:val="auto"/>
          <w:highlight w:val="none"/>
        </w:rPr>
        <w:t>2025</w:t>
      </w:r>
      <w:r>
        <w:rPr>
          <w:rFonts w:hint="eastAsia"/>
          <w:color w:val="auto"/>
          <w:highlight w:val="none"/>
        </w:rPr>
        <w:t>年</w:t>
      </w:r>
      <w:r>
        <w:rPr>
          <w:color w:val="auto"/>
          <w:highlight w:val="none"/>
        </w:rPr>
        <w:t>1</w:t>
      </w:r>
      <w:r>
        <w:rPr>
          <w:rFonts w:hint="eastAsia"/>
          <w:color w:val="auto"/>
          <w:highlight w:val="none"/>
        </w:rPr>
        <w:t>月</w:t>
      </w:r>
      <w:r>
        <w:rPr>
          <w:color w:val="auto"/>
          <w:highlight w:val="none"/>
        </w:rPr>
        <w:t>21</w:t>
      </w:r>
      <w:r>
        <w:rPr>
          <w:rFonts w:hint="eastAsia"/>
          <w:color w:val="auto"/>
          <w:highlight w:val="none"/>
        </w:rPr>
        <w:t>日，经江苏中弘公司申请贵州省兴仁市人民法院做出冻结兴仁亚玛顿新能源有限公司名下银行基本账户加贷款账户共计</w:t>
      </w:r>
      <w:r>
        <w:rPr>
          <w:color w:val="auto"/>
          <w:highlight w:val="none"/>
        </w:rPr>
        <w:t>21.00</w:t>
      </w:r>
      <w:r>
        <w:rPr>
          <w:rFonts w:hint="eastAsia"/>
          <w:color w:val="auto"/>
          <w:highlight w:val="none"/>
        </w:rPr>
        <w:t>万元。截至</w:t>
      </w:r>
      <w:r>
        <w:rPr>
          <w:color w:val="auto"/>
          <w:highlight w:val="none"/>
        </w:rPr>
        <w:t>2024</w:t>
      </w:r>
      <w:r>
        <w:rPr>
          <w:rFonts w:hint="eastAsia"/>
          <w:color w:val="auto"/>
          <w:highlight w:val="none"/>
        </w:rPr>
        <w:t>年</w:t>
      </w:r>
      <w:r>
        <w:rPr>
          <w:color w:val="auto"/>
          <w:highlight w:val="none"/>
        </w:rPr>
        <w:t>12</w:t>
      </w:r>
      <w:r>
        <w:rPr>
          <w:rFonts w:hint="eastAsia"/>
          <w:color w:val="auto"/>
          <w:highlight w:val="none"/>
        </w:rPr>
        <w:t>月</w:t>
      </w:r>
      <w:r>
        <w:rPr>
          <w:color w:val="auto"/>
          <w:highlight w:val="none"/>
        </w:rPr>
        <w:t>31</w:t>
      </w:r>
      <w:r>
        <w:rPr>
          <w:rFonts w:hint="eastAsia"/>
          <w:color w:val="auto"/>
          <w:highlight w:val="none"/>
        </w:rPr>
        <w:t>日，该仲裁未结束，故无法申请解冻，冻结账户余额</w:t>
      </w:r>
      <w:r>
        <w:rPr>
          <w:color w:val="auto"/>
          <w:highlight w:val="none"/>
        </w:rPr>
        <w:t>21.00</w:t>
      </w:r>
      <w:r>
        <w:rPr>
          <w:rFonts w:hint="eastAsia"/>
          <w:color w:val="auto"/>
          <w:highlight w:val="none"/>
        </w:rPr>
        <w:t>万元。</w:t>
      </w:r>
    </w:p>
    <w:p>
      <w:pPr>
        <w:pStyle w:val="35"/>
        <w:rPr>
          <w:color w:val="auto"/>
          <w:highlight w:val="none"/>
        </w:rPr>
      </w:pPr>
      <w:r>
        <w:rPr>
          <w:rFonts w:hint="eastAsia"/>
          <w:color w:val="auto"/>
          <w:highlight w:val="none"/>
        </w:rPr>
        <w:t>（</w:t>
      </w:r>
      <w:r>
        <w:rPr>
          <w:color w:val="auto"/>
          <w:highlight w:val="none"/>
        </w:rPr>
        <w:t>6</w:t>
      </w:r>
      <w:r>
        <w:rPr>
          <w:rFonts w:hint="eastAsia"/>
          <w:color w:val="auto"/>
          <w:highlight w:val="none"/>
        </w:rPr>
        <w:t>）威宁新叶新能源科技有限公司系威宁能源孙公司。</w:t>
      </w:r>
      <w:r>
        <w:rPr>
          <w:color w:val="auto"/>
          <w:highlight w:val="none"/>
        </w:rPr>
        <w:t>2019</w:t>
      </w:r>
      <w:r>
        <w:rPr>
          <w:rFonts w:hint="eastAsia"/>
          <w:color w:val="auto"/>
          <w:highlight w:val="none"/>
        </w:rPr>
        <w:t>年</w:t>
      </w:r>
      <w:r>
        <w:rPr>
          <w:color w:val="auto"/>
          <w:highlight w:val="none"/>
        </w:rPr>
        <w:t>9</w:t>
      </w:r>
      <w:r>
        <w:rPr>
          <w:rFonts w:hint="eastAsia"/>
          <w:color w:val="auto"/>
          <w:highlight w:val="none"/>
        </w:rPr>
        <w:t>月，威宁新叶新能源科技有限公司向威宁彝族回族苗族自治县人民法院提起诉讼，诉讼事由系水发兴业能源（珠海）有限公司与威宁新叶新能源科技有限公司建设工程施工合同纠纷，要求水发兴业能源（珠海）有限公司支付因工期延误导致的电费损失</w:t>
      </w:r>
      <w:r>
        <w:rPr>
          <w:color w:val="auto"/>
          <w:highlight w:val="none"/>
        </w:rPr>
        <w:t>2,547.29</w:t>
      </w:r>
      <w:r>
        <w:rPr>
          <w:rFonts w:hint="eastAsia"/>
          <w:color w:val="auto"/>
          <w:highlight w:val="none"/>
        </w:rPr>
        <w:t>万元，并承担本案诉讼费、保全费。本案已于</w:t>
      </w:r>
      <w:r>
        <w:rPr>
          <w:color w:val="auto"/>
          <w:highlight w:val="none"/>
        </w:rPr>
        <w:t>2024</w:t>
      </w:r>
      <w:r>
        <w:rPr>
          <w:rFonts w:hint="eastAsia"/>
          <w:color w:val="auto"/>
          <w:highlight w:val="none"/>
        </w:rPr>
        <w:t>年</w:t>
      </w:r>
      <w:r>
        <w:rPr>
          <w:color w:val="auto"/>
          <w:highlight w:val="none"/>
        </w:rPr>
        <w:t>3</w:t>
      </w:r>
      <w:r>
        <w:rPr>
          <w:rFonts w:hint="eastAsia"/>
          <w:color w:val="auto"/>
          <w:highlight w:val="none"/>
        </w:rPr>
        <w:t>月</w:t>
      </w:r>
      <w:r>
        <w:rPr>
          <w:color w:val="auto"/>
          <w:highlight w:val="none"/>
        </w:rPr>
        <w:t>14</w:t>
      </w:r>
      <w:r>
        <w:rPr>
          <w:rFonts w:hint="eastAsia"/>
          <w:color w:val="auto"/>
          <w:highlight w:val="none"/>
        </w:rPr>
        <w:t>日正式立案，于</w:t>
      </w:r>
      <w:r>
        <w:rPr>
          <w:color w:val="auto"/>
          <w:highlight w:val="none"/>
        </w:rPr>
        <w:t>2024</w:t>
      </w:r>
      <w:r>
        <w:rPr>
          <w:rFonts w:hint="eastAsia"/>
          <w:color w:val="auto"/>
          <w:highlight w:val="none"/>
        </w:rPr>
        <w:t>年</w:t>
      </w:r>
      <w:r>
        <w:rPr>
          <w:color w:val="auto"/>
          <w:highlight w:val="none"/>
        </w:rPr>
        <w:t>6</w:t>
      </w:r>
      <w:r>
        <w:rPr>
          <w:rFonts w:hint="eastAsia"/>
          <w:color w:val="auto"/>
          <w:highlight w:val="none"/>
        </w:rPr>
        <w:t>月</w:t>
      </w:r>
      <w:r>
        <w:rPr>
          <w:color w:val="auto"/>
          <w:highlight w:val="none"/>
        </w:rPr>
        <w:t>17</w:t>
      </w:r>
      <w:r>
        <w:rPr>
          <w:rFonts w:hint="eastAsia"/>
          <w:color w:val="auto"/>
          <w:highlight w:val="none"/>
        </w:rPr>
        <w:t>日开庭。一审威宁法院驳回我方的诉讼请求。我方上诉，二审裁定发回重审，现已立案。截至</w:t>
      </w:r>
      <w:r>
        <w:rPr>
          <w:color w:val="auto"/>
          <w:highlight w:val="none"/>
        </w:rPr>
        <w:t>2024</w:t>
      </w:r>
      <w:r>
        <w:rPr>
          <w:rFonts w:hint="eastAsia"/>
          <w:color w:val="auto"/>
          <w:highlight w:val="none"/>
        </w:rPr>
        <w:t>年</w:t>
      </w:r>
      <w:r>
        <w:rPr>
          <w:color w:val="auto"/>
          <w:highlight w:val="none"/>
        </w:rPr>
        <w:t>12</w:t>
      </w:r>
      <w:r>
        <w:rPr>
          <w:rFonts w:hint="eastAsia"/>
          <w:color w:val="auto"/>
          <w:highlight w:val="none"/>
        </w:rPr>
        <w:t>月</w:t>
      </w:r>
      <w:r>
        <w:rPr>
          <w:color w:val="auto"/>
          <w:highlight w:val="none"/>
        </w:rPr>
        <w:t>31</w:t>
      </w:r>
      <w:r>
        <w:rPr>
          <w:rFonts w:hint="eastAsia"/>
          <w:color w:val="auto"/>
          <w:highlight w:val="none"/>
        </w:rPr>
        <w:t>日，该诉讼未结束。</w:t>
      </w:r>
    </w:p>
    <w:p>
      <w:pPr>
        <w:pStyle w:val="35"/>
        <w:rPr>
          <w:color w:val="auto"/>
          <w:highlight w:val="none"/>
        </w:rPr>
      </w:pPr>
    </w:p>
    <w:p>
      <w:pPr>
        <w:pStyle w:val="35"/>
        <w:rPr>
          <w:color w:val="auto"/>
          <w:highlight w:val="none"/>
        </w:rPr>
      </w:pPr>
      <w:r>
        <w:rPr>
          <w:rFonts w:hint="eastAsia"/>
          <w:color w:val="auto"/>
          <w:highlight w:val="none"/>
        </w:rPr>
        <w:t>（7）大姚瑞宏新能源开发有限公司系威宁能源子公司。2022年1月26日，原告张家港保税区美成晟新能源科技有限公司与被告1大姚瑞宏新能源开发有限公司代表（被告2耿直、被告3魏道万)在贵阳召开沟通会议，就土地租金以及项目公司分红形成会议纪要并签订《会议纪要》，纪要约定“被告1大姚瑞宏需要最迟于2022年3月前支付原告土地租金以及项目公司分红240万元。”但截止2024年12月,三个被告一直未支付上述款项。现原告张家港保税区美成晟新能源科技有限公司以三个被告违反双方签订的《会议纪要》向云南省大姚县人民法院提起诉讼。2024年12月31日云南省大姚县人民法院做出冻结大姚瑞宏新能源开发有限公司、耿直、魏道万的银行存款采取冻结的保全措施，冻结限额为人民币240万元。2025年1月2日，大姚瑞宏新能源开发有限公司会同顾问律师提交了《复议申请书》，申请对耿直、魏道万账户解封。2025年1月13日，大姚瑞宏新能源开发有限公司及耿直、魏道万到贵州金元协商案件处理情况。2025年1月10日收到开庭通知书，于2025年2月14日进行开庭审理。截至2024年12月31日，该诉讼未结束。</w:t>
      </w:r>
    </w:p>
    <w:p>
      <w:pPr>
        <w:pStyle w:val="35"/>
        <w:rPr>
          <w:color w:val="auto"/>
          <w:highlight w:val="none"/>
        </w:rPr>
      </w:pPr>
    </w:p>
    <w:p>
      <w:pPr>
        <w:pStyle w:val="35"/>
        <w:rPr>
          <w:color w:val="auto"/>
          <w:highlight w:val="none"/>
        </w:rPr>
      </w:pPr>
      <w:r>
        <w:rPr>
          <w:rFonts w:hint="eastAsia"/>
          <w:color w:val="auto"/>
          <w:highlight w:val="none"/>
        </w:rPr>
        <w:t>（8）洛南水发能源科技有限公司系威宁能源孙公司。仲裁事由系申请人水发兴业能源（珠海）有限公司与被申请人洛南水发能源科技有限公司工程款纠纷案，仲裁标的金额1,396.09万元，其中应付工程款1,120.61万元，应付利息252.82万元，应付案件受理费及保全费22.66万元。2024年11月14日前往洛南县人民法院取得执行通知书，2024年11月26日向洛南县人民法院提交申请异议及证据资料。2024年12月6日洛南县人民法院要求对此执行提起诉讼。2024年12月27日陕西至正律师事务所向洛南县人民法院提交《执行异议申请书》，截至2024年12月31日，该诉讼未结束。</w:t>
      </w:r>
    </w:p>
    <w:p>
      <w:pPr>
        <w:pStyle w:val="44"/>
        <w:rPr>
          <w:color w:val="auto"/>
          <w:highlight w:val="none"/>
        </w:rPr>
        <w:sectPr>
          <w:pgSz w:w="11907" w:h="16839"/>
          <w:pgMar w:top="1440" w:right="1797" w:bottom="1440" w:left="1797" w:header="680" w:footer="992" w:gutter="0"/>
          <w:cols w:space="425" w:num="1"/>
          <w:docGrid w:linePitch="312" w:charSpace="0"/>
        </w:sectPr>
      </w:pPr>
    </w:p>
    <w:p>
      <w:pPr>
        <w:pStyle w:val="44"/>
        <w:rPr>
          <w:color w:val="auto"/>
          <w:highlight w:val="none"/>
        </w:rPr>
      </w:pPr>
      <w:r>
        <w:rPr>
          <w:rFonts w:hint="eastAsia"/>
          <w:color w:val="auto"/>
          <w:highlight w:val="none"/>
        </w:rPr>
        <w:t>对集团内、集团外单位提供担保情况（金额单位：人民币万元）</w:t>
      </w:r>
    </w:p>
    <w:p>
      <w:pPr>
        <w:pStyle w:val="35"/>
        <w:rPr>
          <w:color w:val="auto"/>
          <w:highlight w:val="none"/>
        </w:rPr>
      </w:pPr>
      <w:r>
        <w:rPr>
          <w:rFonts w:hint="eastAsia"/>
          <w:color w:val="auto"/>
          <w:highlight w:val="none"/>
        </w:rPr>
        <w:t>（1）融资担保情况表</w:t>
      </w:r>
    </w:p>
    <w:p>
      <w:pPr>
        <w:pStyle w:val="35"/>
        <w:rPr>
          <w:rFonts w:asciiTheme="minorHAnsi" w:hAnsiTheme="minorHAnsi" w:eastAsiaTheme="minorEastAsia" w:cstheme="minorBidi"/>
          <w:color w:val="auto"/>
          <w:highlight w:val="none"/>
        </w:rPr>
      </w:pPr>
      <w:r>
        <w:rPr>
          <w:rFonts w:eastAsiaTheme="minorEastAsia"/>
          <w:color w:val="auto"/>
          <w:highlight w:val="none"/>
        </w:rPr>
        <w:fldChar w:fldCharType="begin"/>
      </w:r>
      <w:r>
        <w:rPr>
          <w:rFonts w:eastAsiaTheme="minorEastAsia"/>
          <w:color w:val="auto"/>
          <w:highlight w:val="none"/>
        </w:rPr>
        <w:instrText xml:space="preserve"> LINK Excel.Sheet.12 "D:\\work\\20190430V3\\StandardTemplateTool\\template\\SASAC\\Frame\\202112\\SASACFinancialReports.xlsx" "或有事项!或有事项1" \f 4 \h \* MERGEFORMAT </w:instrText>
      </w:r>
      <w:r>
        <w:rPr>
          <w:rFonts w:eastAsiaTheme="minorEastAsia"/>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2294"/>
        <w:gridCol w:w="1378"/>
        <w:gridCol w:w="1516"/>
        <w:gridCol w:w="1148"/>
        <w:gridCol w:w="1146"/>
        <w:gridCol w:w="1378"/>
        <w:gridCol w:w="1148"/>
        <w:gridCol w:w="1146"/>
        <w:gridCol w:w="1285"/>
        <w:gridCol w:w="1169"/>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2294"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2894"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实际担保金额</w:t>
            </w:r>
          </w:p>
        </w:tc>
        <w:tc>
          <w:tcPr>
            <w:tcW w:w="1148"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反担保金额</w:t>
            </w:r>
          </w:p>
        </w:tc>
        <w:tc>
          <w:tcPr>
            <w:tcW w:w="1146"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收取担保费</w:t>
            </w:r>
          </w:p>
        </w:tc>
        <w:tc>
          <w:tcPr>
            <w:tcW w:w="1378"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逾期金额</w:t>
            </w:r>
          </w:p>
        </w:tc>
        <w:tc>
          <w:tcPr>
            <w:tcW w:w="1148"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被诉金额</w:t>
            </w:r>
          </w:p>
        </w:tc>
        <w:tc>
          <w:tcPr>
            <w:tcW w:w="1146"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代偿损失金额</w:t>
            </w:r>
          </w:p>
        </w:tc>
        <w:tc>
          <w:tcPr>
            <w:tcW w:w="1285"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已计入预计负债金额</w:t>
            </w:r>
          </w:p>
        </w:tc>
        <w:tc>
          <w:tcPr>
            <w:tcW w:w="1169"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其中：本期计入预计负债金额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2294"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37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本年年末数</w:t>
            </w:r>
          </w:p>
        </w:tc>
        <w:tc>
          <w:tcPr>
            <w:tcW w:w="1516"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上年年末数</w:t>
            </w:r>
          </w:p>
        </w:tc>
        <w:tc>
          <w:tcPr>
            <w:tcW w:w="1148"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146"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378"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148"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146"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285"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169"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294" w:type="dxa"/>
            <w:shd w:val="clear" w:color="auto" w:fill="auto"/>
            <w:vAlign w:val="center"/>
          </w:tcPr>
          <w:p>
            <w:pPr>
              <w:snapToGrid w:val="0"/>
              <w:spacing w:line="200" w:lineRule="atLeast"/>
              <w:jc w:val="left"/>
              <w:rPr>
                <w:rFonts w:ascii="Times New Roman" w:hAnsi="Times New Roman" w:eastAsia="宋体" w:cs="Times New Roman"/>
                <w:b/>
                <w:color w:val="auto"/>
                <w:sz w:val="16"/>
                <w:szCs w:val="18"/>
                <w:highlight w:val="none"/>
              </w:rPr>
            </w:pPr>
            <w:r>
              <w:rPr>
                <w:rFonts w:ascii="Times New Roman" w:hAnsi="Times New Roman" w:eastAsia="宋体" w:cs="Times New Roman"/>
                <w:b/>
                <w:color w:val="auto"/>
                <w:sz w:val="16"/>
                <w:szCs w:val="18"/>
                <w:highlight w:val="none"/>
              </w:rPr>
              <w:t>一、融资担保合计</w:t>
            </w: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624,950,557.01</w:t>
            </w: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1,066,796,787.84</w:t>
            </w: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289,914,187.84</w:t>
            </w: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28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59,159,000.00</w:t>
            </w:r>
          </w:p>
        </w:tc>
        <w:tc>
          <w:tcPr>
            <w:tcW w:w="116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294" w:type="dxa"/>
            <w:shd w:val="clear" w:color="auto" w:fill="auto"/>
            <w:vAlign w:val="center"/>
          </w:tcPr>
          <w:p>
            <w:pPr>
              <w:snapToGrid w:val="0"/>
              <w:spacing w:line="200" w:lineRule="atLeast"/>
              <w:jc w:val="left"/>
              <w:rPr>
                <w:rFonts w:ascii="Times New Roman" w:hAnsi="Times New Roman" w:eastAsia="宋体" w:cs="Times New Roman"/>
                <w:b/>
                <w:color w:val="auto"/>
                <w:sz w:val="16"/>
                <w:szCs w:val="18"/>
                <w:highlight w:val="none"/>
              </w:rPr>
            </w:pPr>
            <w:r>
              <w:rPr>
                <w:rFonts w:ascii="Times New Roman" w:hAnsi="Times New Roman" w:eastAsia="宋体" w:cs="Times New Roman"/>
                <w:b/>
                <w:color w:val="auto"/>
                <w:sz w:val="16"/>
                <w:szCs w:val="18"/>
                <w:highlight w:val="none"/>
              </w:rPr>
              <w:t>（一）对子企业融资担保</w:t>
            </w: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310,586,169.17</w:t>
            </w: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400,600,300.00</w:t>
            </w: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83,708,800.00</w:t>
            </w: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28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6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2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1.按股比担保</w:t>
            </w: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226,877,369.17</w:t>
            </w: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316,891,500.00</w:t>
            </w: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28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6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2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2.超股比担保</w:t>
            </w: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83,708,800.00</w:t>
            </w: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83,708,800.00</w:t>
            </w: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83,708,800.00</w:t>
            </w: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28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6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2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其中：对所控股上市公司担保</w:t>
            </w: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28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6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2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对少数股东含员工持股计划的子企业担保</w:t>
            </w: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28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6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2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对少数股东含股权基金的子企业担保</w:t>
            </w: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28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6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294" w:type="dxa"/>
            <w:shd w:val="clear" w:color="auto" w:fill="auto"/>
            <w:vAlign w:val="center"/>
          </w:tcPr>
          <w:p>
            <w:pPr>
              <w:snapToGrid w:val="0"/>
              <w:spacing w:line="200" w:lineRule="atLeast"/>
              <w:jc w:val="left"/>
              <w:rPr>
                <w:rFonts w:ascii="Times New Roman" w:hAnsi="Times New Roman" w:eastAsia="宋体" w:cs="Times New Roman"/>
                <w:b/>
                <w:color w:val="auto"/>
                <w:sz w:val="16"/>
                <w:szCs w:val="18"/>
                <w:highlight w:val="none"/>
              </w:rPr>
            </w:pPr>
            <w:r>
              <w:rPr>
                <w:rFonts w:ascii="Times New Roman" w:hAnsi="Times New Roman" w:eastAsia="宋体" w:cs="Times New Roman"/>
                <w:b/>
                <w:color w:val="auto"/>
                <w:sz w:val="16"/>
                <w:szCs w:val="18"/>
                <w:highlight w:val="none"/>
              </w:rPr>
              <w:t>（二）对参股企业融资担保</w:t>
            </w: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108,159,000.00</w:t>
            </w: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459,991,100.00</w:t>
            </w: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28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59,159,000.00</w:t>
            </w:r>
          </w:p>
        </w:tc>
        <w:tc>
          <w:tcPr>
            <w:tcW w:w="116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2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1.按股比担保</w:t>
            </w: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49,000,000.00</w:t>
            </w: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49,000,000.00</w:t>
            </w: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28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6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2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其中：对不具备持续经营能力的参股企业担保</w:t>
            </w: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28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6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2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2.超股比担保</w:t>
            </w: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59,159,000.00</w:t>
            </w: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410,991,100.00</w:t>
            </w: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28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59,159,000.00</w:t>
            </w:r>
          </w:p>
        </w:tc>
        <w:tc>
          <w:tcPr>
            <w:tcW w:w="116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2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其中：因划出集团或股权处置形成</w:t>
            </w: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351,610,100.00</w:t>
            </w: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28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6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294" w:type="dxa"/>
            <w:shd w:val="clear" w:color="auto" w:fill="auto"/>
            <w:vAlign w:val="center"/>
          </w:tcPr>
          <w:p>
            <w:pPr>
              <w:snapToGrid w:val="0"/>
              <w:spacing w:line="200" w:lineRule="atLeast"/>
              <w:jc w:val="left"/>
              <w:rPr>
                <w:rFonts w:ascii="Times New Roman" w:hAnsi="Times New Roman" w:eastAsia="宋体" w:cs="Times New Roman"/>
                <w:b/>
                <w:color w:val="auto"/>
                <w:sz w:val="16"/>
                <w:szCs w:val="18"/>
                <w:highlight w:val="none"/>
              </w:rPr>
            </w:pPr>
            <w:r>
              <w:rPr>
                <w:rFonts w:ascii="Times New Roman" w:hAnsi="Times New Roman" w:eastAsia="宋体" w:cs="Times New Roman"/>
                <w:b/>
                <w:color w:val="auto"/>
                <w:sz w:val="16"/>
                <w:szCs w:val="18"/>
                <w:highlight w:val="none"/>
              </w:rPr>
              <w:t>（三）对集团外无股权关系企业融资担保</w:t>
            </w: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206,205,387.84</w:t>
            </w: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206,205,387.84</w:t>
            </w: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206,205,387.84</w:t>
            </w: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28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6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2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其中：因划出集团或股权处置形成</w:t>
            </w: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28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6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294" w:type="dxa"/>
            <w:shd w:val="clear" w:color="auto" w:fill="auto"/>
            <w:vAlign w:val="center"/>
          </w:tcPr>
          <w:p>
            <w:pPr>
              <w:snapToGrid w:val="0"/>
              <w:spacing w:line="200" w:lineRule="atLeast"/>
              <w:jc w:val="left"/>
              <w:rPr>
                <w:rFonts w:ascii="Times New Roman" w:hAnsi="Times New Roman" w:eastAsia="宋体" w:cs="Times New Roman"/>
                <w:b/>
                <w:color w:val="auto"/>
                <w:sz w:val="16"/>
                <w:szCs w:val="18"/>
                <w:highlight w:val="none"/>
              </w:rPr>
            </w:pPr>
            <w:r>
              <w:rPr>
                <w:rFonts w:ascii="Times New Roman" w:hAnsi="Times New Roman" w:eastAsia="宋体" w:cs="Times New Roman"/>
                <w:b/>
                <w:color w:val="auto"/>
                <w:sz w:val="16"/>
                <w:szCs w:val="18"/>
                <w:highlight w:val="none"/>
              </w:rPr>
              <w:t>二、对特殊子企业融资担保</w:t>
            </w: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28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6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2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（一）对金融子企业担保</w:t>
            </w: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28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6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2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（二）集团内无股权关系子企业互保</w:t>
            </w: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28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6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2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（三）对不具备持续经营能力的子企业担保</w:t>
            </w: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28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6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294" w:type="dxa"/>
            <w:shd w:val="clear" w:color="auto" w:fill="auto"/>
            <w:vAlign w:val="center"/>
          </w:tcPr>
          <w:p>
            <w:pPr>
              <w:snapToGrid w:val="0"/>
              <w:spacing w:line="200" w:lineRule="atLeast"/>
              <w:jc w:val="left"/>
              <w:rPr>
                <w:rFonts w:ascii="Times New Roman" w:hAnsi="Times New Roman" w:eastAsia="宋体" w:cs="Times New Roman"/>
                <w:b/>
                <w:color w:val="auto"/>
                <w:sz w:val="16"/>
                <w:szCs w:val="18"/>
                <w:highlight w:val="none"/>
              </w:rPr>
            </w:pPr>
            <w:r>
              <w:rPr>
                <w:rFonts w:ascii="Times New Roman" w:hAnsi="Times New Roman" w:eastAsia="宋体" w:cs="Times New Roman"/>
                <w:b/>
                <w:color w:val="auto"/>
                <w:sz w:val="16"/>
                <w:szCs w:val="18"/>
                <w:highlight w:val="none"/>
              </w:rPr>
              <w:t>三、隐性融资担保</w:t>
            </w: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289,914,187.84</w:t>
            </w: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289,914,187.84</w:t>
            </w: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289,914,187.84</w:t>
            </w: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28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6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2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（一）共同借款合同</w:t>
            </w: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28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6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2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（二）差额补足承诺</w:t>
            </w: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28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6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2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（三）支持性函件</w:t>
            </w: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289,914,187.84</w:t>
            </w: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289,914,187.84</w:t>
            </w: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289,914,187.84</w:t>
            </w: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28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6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2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1.安慰函</w:t>
            </w: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28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6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2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2.承诺函</w:t>
            </w: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289,914,187.84</w:t>
            </w: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289,914,187.84</w:t>
            </w: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289,914,187.84</w:t>
            </w: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28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6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2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3.流动性支持函</w:t>
            </w: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28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6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2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4.维好协议</w:t>
            </w: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28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6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2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5.其他</w:t>
            </w: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28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6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bl>
    <w:p>
      <w:pPr>
        <w:pStyle w:val="35"/>
        <w:rPr>
          <w:rFonts w:eastAsiaTheme="minorEastAsia"/>
          <w:color w:val="auto"/>
          <w:highlight w:val="none"/>
        </w:rPr>
      </w:pPr>
      <w:r>
        <w:rPr>
          <w:rFonts w:eastAsiaTheme="minorEastAsia"/>
          <w:color w:val="auto"/>
          <w:highlight w:val="none"/>
        </w:rPr>
        <w:fldChar w:fldCharType="end"/>
      </w:r>
    </w:p>
    <w:p>
      <w:pPr>
        <w:pStyle w:val="44"/>
        <w:rPr>
          <w:color w:val="auto"/>
          <w:highlight w:val="none"/>
        </w:rPr>
        <w:sectPr>
          <w:pgSz w:w="16839" w:h="11907" w:orient="landscape"/>
          <w:pgMar w:top="1797" w:right="1440" w:bottom="1797" w:left="1440" w:header="794" w:footer="992" w:gutter="0"/>
          <w:cols w:space="425" w:num="1"/>
          <w:docGrid w:linePitch="312" w:charSpace="0"/>
        </w:sectPr>
      </w:pPr>
    </w:p>
    <w:p>
      <w:pPr>
        <w:pStyle w:val="35"/>
        <w:rPr>
          <w:color w:val="auto"/>
          <w:highlight w:val="none"/>
        </w:rPr>
      </w:pPr>
      <w:r>
        <w:rPr>
          <w:rFonts w:hint="eastAsia"/>
          <w:color w:val="auto"/>
          <w:highlight w:val="none"/>
        </w:rPr>
        <w:t>（2）存量违规融资担保整改情况</w:t>
      </w:r>
    </w:p>
    <w:p>
      <w:pPr>
        <w:pStyle w:val="38"/>
        <w:rPr>
          <w:rFonts w:asciiTheme="minorHAnsi" w:hAnsiTheme="minorHAnsi" w:eastAsiaTheme="minorEastAsia" w:cstheme="minorBidi"/>
          <w:color w:val="auto"/>
          <w:highlight w:val="none"/>
        </w:rPr>
      </w:pPr>
      <w:r>
        <w:rPr>
          <w:color w:val="auto"/>
          <w:highlight w:val="none"/>
        </w:rPr>
        <w:fldChar w:fldCharType="begin"/>
      </w:r>
      <w:r>
        <w:rPr>
          <w:color w:val="auto"/>
          <w:highlight w:val="none"/>
        </w:rPr>
        <w:instrText xml:space="preserve"> LINK Excel.Sheet.12 "D:\\work\\20190430V3\\StandardTemplateTool\\template\\SASAC\\Frame\\202112\\SASACFinancialReports.xlsx" "或有事项!或有事项2" \f 4 \h \* MERGEFORMAT </w:instrText>
      </w:r>
      <w:r>
        <w:rPr>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5990"/>
        <w:gridCol w:w="2198"/>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3658" w:type="pc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1342" w:type="pc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金额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58" w:type="pct"/>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（一）2021年末存量违规融资担保余额</w:t>
            </w:r>
          </w:p>
        </w:tc>
        <w:tc>
          <w:tcPr>
            <w:tcW w:w="1342" w:type="pct"/>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6,018.10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58" w:type="pct"/>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1、对参股企业超股比融资担保余额</w:t>
            </w:r>
          </w:p>
        </w:tc>
        <w:tc>
          <w:tcPr>
            <w:tcW w:w="1342" w:type="pct"/>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6,018.10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58" w:type="pct"/>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2、对集团外无股权关系企业融资担保余额</w:t>
            </w:r>
          </w:p>
        </w:tc>
        <w:tc>
          <w:tcPr>
            <w:tcW w:w="1342" w:type="pct"/>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58" w:type="pct"/>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（二）违规融资担保累计清理金额</w:t>
            </w:r>
          </w:p>
        </w:tc>
        <w:tc>
          <w:tcPr>
            <w:tcW w:w="1342" w:type="pct"/>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hint="eastAsia" w:ascii="Times New Roman" w:hAnsi="Times New Roman" w:eastAsia="宋体" w:cs="Times New Roman"/>
                <w:color w:val="auto"/>
                <w:sz w:val="16"/>
                <w:szCs w:val="18"/>
                <w:highlight w:val="none"/>
              </w:rPr>
              <w:t>102</w:t>
            </w:r>
            <w:r>
              <w:rPr>
                <w:rFonts w:ascii="Times New Roman" w:hAnsi="Times New Roman" w:eastAsia="宋体" w:cs="Times New Roman"/>
                <w:color w:val="auto"/>
                <w:sz w:val="16"/>
                <w:szCs w:val="18"/>
                <w:highlight w:val="none"/>
              </w:rPr>
              <w:t>.</w:t>
            </w:r>
            <w:r>
              <w:rPr>
                <w:rFonts w:hint="eastAsia" w:ascii="Times New Roman" w:hAnsi="Times New Roman" w:eastAsia="宋体" w:cs="Times New Roman"/>
                <w:color w:val="auto"/>
                <w:sz w:val="16"/>
                <w:szCs w:val="18"/>
                <w:highlight w:val="none"/>
              </w:rPr>
              <w:t>2</w:t>
            </w:r>
            <w:r>
              <w:rPr>
                <w:rFonts w:ascii="Times New Roman" w:hAnsi="Times New Roman" w:eastAsia="宋体" w:cs="Times New Roman"/>
                <w:color w:val="auto"/>
                <w:sz w:val="16"/>
                <w:szCs w:val="18"/>
                <w:highlight w:val="none"/>
              </w:rPr>
              <w:t>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58" w:type="pct"/>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1、对参股企业超股比融资担保累计清理金额</w:t>
            </w:r>
          </w:p>
        </w:tc>
        <w:tc>
          <w:tcPr>
            <w:tcW w:w="1342" w:type="pct"/>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hint="eastAsia" w:ascii="Times New Roman" w:hAnsi="Times New Roman" w:eastAsia="宋体" w:cs="Times New Roman"/>
                <w:color w:val="auto"/>
                <w:sz w:val="16"/>
                <w:szCs w:val="18"/>
                <w:highlight w:val="none"/>
              </w:rPr>
              <w:t>102</w:t>
            </w:r>
            <w:r>
              <w:rPr>
                <w:rFonts w:ascii="Times New Roman" w:hAnsi="Times New Roman" w:eastAsia="宋体" w:cs="Times New Roman"/>
                <w:color w:val="auto"/>
                <w:sz w:val="16"/>
                <w:szCs w:val="18"/>
                <w:highlight w:val="none"/>
              </w:rPr>
              <w:t>.</w:t>
            </w:r>
            <w:r>
              <w:rPr>
                <w:rFonts w:hint="eastAsia" w:ascii="Times New Roman" w:hAnsi="Times New Roman" w:eastAsia="宋体" w:cs="Times New Roman"/>
                <w:color w:val="auto"/>
                <w:sz w:val="16"/>
                <w:szCs w:val="18"/>
                <w:highlight w:val="none"/>
              </w:rPr>
              <w:t>2</w:t>
            </w:r>
            <w:r>
              <w:rPr>
                <w:rFonts w:ascii="Times New Roman" w:hAnsi="Times New Roman" w:eastAsia="宋体" w:cs="Times New Roman"/>
                <w:color w:val="auto"/>
                <w:sz w:val="16"/>
                <w:szCs w:val="18"/>
                <w:highlight w:val="none"/>
              </w:rPr>
              <w:t>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58" w:type="pct"/>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2、对集团外无股权关系企业融资担保累计清理金额</w:t>
            </w:r>
          </w:p>
        </w:tc>
        <w:tc>
          <w:tcPr>
            <w:tcW w:w="1342" w:type="pct"/>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58" w:type="pct"/>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（三）本年末存量违规融资担保余额</w:t>
            </w:r>
          </w:p>
        </w:tc>
        <w:tc>
          <w:tcPr>
            <w:tcW w:w="1342" w:type="pct"/>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5,970.41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58" w:type="pct"/>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1、对参股企业超股比融资担保余额</w:t>
            </w:r>
          </w:p>
        </w:tc>
        <w:tc>
          <w:tcPr>
            <w:tcW w:w="1342" w:type="pct"/>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5,970.41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58" w:type="pct"/>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2、对集团外无股权关系企业融资担保余额</w:t>
            </w:r>
          </w:p>
        </w:tc>
        <w:tc>
          <w:tcPr>
            <w:tcW w:w="1342" w:type="pct"/>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bl>
    <w:p>
      <w:pPr>
        <w:pStyle w:val="38"/>
        <w:rPr>
          <w:color w:val="auto"/>
          <w:highlight w:val="none"/>
        </w:rPr>
      </w:pPr>
      <w:r>
        <w:rPr>
          <w:color w:val="auto"/>
          <w:highlight w:val="none"/>
        </w:rPr>
        <w:fldChar w:fldCharType="end"/>
      </w:r>
      <w:r>
        <w:rPr>
          <w:rFonts w:hint="eastAsia"/>
          <w:color w:val="auto"/>
          <w:highlight w:val="none"/>
        </w:rPr>
        <w:t>注：</w:t>
      </w:r>
      <w:bookmarkStart w:id="63" w:name="OLE_LINK6"/>
      <w:r>
        <w:rPr>
          <w:rFonts w:hint="eastAsia"/>
          <w:color w:val="auto"/>
          <w:highlight w:val="none"/>
        </w:rPr>
        <w:t>黄织铁路有限责任公司为贵州金元的参股企业(持股比例 1.39%)，2018年8 月，贵州金元与建行河滨支行签订了担保合同，担保起始日期2018年8月 19 日，截止日期2027年12月 20日，为黄织铁路有限责任公司 60,581,000.00元借款提供连带责任保证，2021 年公司为该担保计提了预计损失60,581,000.00元。2023年</w:t>
      </w:r>
      <w:bookmarkStart w:id="64" w:name="OLE_LINK5"/>
      <w:r>
        <w:rPr>
          <w:rFonts w:hint="eastAsia"/>
          <w:color w:val="auto"/>
          <w:highlight w:val="none"/>
        </w:rPr>
        <w:t>黄织铁路有限责任公司归还了</w:t>
      </w:r>
      <w:r>
        <w:rPr>
          <w:color w:val="auto"/>
          <w:highlight w:val="none"/>
        </w:rPr>
        <w:t>800,000.00</w:t>
      </w:r>
      <w:r>
        <w:rPr>
          <w:rFonts w:hint="eastAsia"/>
          <w:color w:val="auto"/>
          <w:highlight w:val="none"/>
        </w:rPr>
        <w:t>元贷款，贵州金元对应的担保余额减少</w:t>
      </w:r>
      <w:r>
        <w:rPr>
          <w:color w:val="auto"/>
          <w:highlight w:val="none"/>
        </w:rPr>
        <w:t>800,000.00</w:t>
      </w:r>
      <w:r>
        <w:rPr>
          <w:rFonts w:hint="eastAsia"/>
          <w:color w:val="auto"/>
          <w:highlight w:val="none"/>
        </w:rPr>
        <w:t>元。</w:t>
      </w:r>
      <w:bookmarkEnd w:id="64"/>
      <w:r>
        <w:rPr>
          <w:rFonts w:hint="eastAsia"/>
          <w:color w:val="auto"/>
          <w:highlight w:val="none"/>
        </w:rPr>
        <w:t>2024年黄织铁路有限责任公司归还了222</w:t>
      </w:r>
      <w:r>
        <w:rPr>
          <w:color w:val="auto"/>
          <w:highlight w:val="none"/>
        </w:rPr>
        <w:t>,000.00</w:t>
      </w:r>
      <w:r>
        <w:rPr>
          <w:rFonts w:hint="eastAsia"/>
          <w:color w:val="auto"/>
          <w:highlight w:val="none"/>
        </w:rPr>
        <w:t>元贷款，贵州金元对应的担保余额减少222</w:t>
      </w:r>
      <w:r>
        <w:rPr>
          <w:color w:val="auto"/>
          <w:highlight w:val="none"/>
        </w:rPr>
        <w:t>,000.00</w:t>
      </w:r>
      <w:r>
        <w:rPr>
          <w:rFonts w:hint="eastAsia"/>
          <w:color w:val="auto"/>
          <w:highlight w:val="none"/>
        </w:rPr>
        <w:t>元。</w:t>
      </w:r>
    </w:p>
    <w:bookmarkEnd w:id="63"/>
    <w:p>
      <w:pPr>
        <w:pStyle w:val="38"/>
        <w:rPr>
          <w:color w:val="auto"/>
          <w:highlight w:val="none"/>
        </w:rPr>
      </w:pPr>
    </w:p>
    <w:p>
      <w:pPr>
        <w:pStyle w:val="43"/>
        <w:rPr>
          <w:rFonts w:eastAsiaTheme="minorEastAsia"/>
          <w:color w:val="auto"/>
          <w:highlight w:val="none"/>
        </w:rPr>
      </w:pPr>
      <w:r>
        <w:rPr>
          <w:rFonts w:eastAsiaTheme="minorEastAsia"/>
          <w:color w:val="auto"/>
          <w:highlight w:val="none"/>
        </w:rPr>
        <w:t>资产负债表日后事项</w:t>
      </w:r>
    </w:p>
    <w:p>
      <w:pPr>
        <w:pStyle w:val="37"/>
        <w:rPr>
          <w:color w:val="auto"/>
          <w:highlight w:val="none"/>
        </w:rPr>
      </w:pPr>
      <w:r>
        <w:rPr>
          <w:rFonts w:hint="eastAsia"/>
          <w:color w:val="auto"/>
          <w:highlight w:val="none"/>
        </w:rPr>
        <w:t>资产负债表日后非调整事项</w:t>
      </w:r>
    </w:p>
    <w:p>
      <w:pPr>
        <w:pStyle w:val="38"/>
        <w:rPr>
          <w:rFonts w:eastAsiaTheme="minorEastAsia"/>
          <w:color w:val="auto"/>
          <w:highlight w:val="none"/>
        </w:rPr>
      </w:pPr>
      <w:r>
        <w:rPr>
          <w:rFonts w:hint="eastAsia" w:eastAsiaTheme="minorEastAsia"/>
          <w:color w:val="auto"/>
          <w:highlight w:val="none"/>
        </w:rPr>
        <w:t>贵州省绥阳县人民法院于2024年12月31日作出（2024）黔0323破申18号《决定书》，决定受理申请人贵州金元智慧能源有限公司（以下简称“贵州金元智慧能源 ”）对被申请人国家电投集团贵州金元绥阳产业有限公司（以下简称“绥阳公司”）的预重整申请，并于同日指定贵州恒易律师事务所担任绥阳公司预重整阶段的临时管理人（以下简称“临时管理人”），向临时管理人送达了上述文书。绥阳公司进入预重整程序。贵州金元智慧能源与绥阳公司均为国家电投集团贵州金元股份有限公司（以下简称“贵州金元”）全资子公司。</w:t>
      </w:r>
    </w:p>
    <w:p>
      <w:pPr>
        <w:pStyle w:val="38"/>
        <w:rPr>
          <w:color w:val="auto"/>
          <w:highlight w:val="none"/>
        </w:rPr>
      </w:pPr>
      <w:r>
        <w:rPr>
          <w:rFonts w:hint="eastAsia"/>
          <w:color w:val="auto"/>
          <w:highlight w:val="none"/>
        </w:rPr>
        <w:t>2025年1月2日，由临时管理人组建的绥阳公司预重整项目组正式进场；</w:t>
      </w:r>
    </w:p>
    <w:p>
      <w:pPr>
        <w:pStyle w:val="38"/>
        <w:rPr>
          <w:color w:val="auto"/>
          <w:highlight w:val="none"/>
        </w:rPr>
      </w:pPr>
      <w:r>
        <w:rPr>
          <w:rFonts w:hint="eastAsia"/>
          <w:color w:val="auto"/>
          <w:highlight w:val="none"/>
        </w:rPr>
        <w:t>2025年2月19日，</w:t>
      </w:r>
      <w:bookmarkStart w:id="65" w:name="OLE_LINK10"/>
      <w:r>
        <w:rPr>
          <w:rFonts w:hint="eastAsia"/>
          <w:color w:val="auto"/>
          <w:highlight w:val="none"/>
        </w:rPr>
        <w:t>临时管理人</w:t>
      </w:r>
      <w:bookmarkEnd w:id="65"/>
      <w:r>
        <w:rPr>
          <w:rFonts w:hint="eastAsia"/>
          <w:color w:val="auto"/>
          <w:highlight w:val="none"/>
        </w:rPr>
        <w:t>发布公告称，重庆市博赛矿业（集团）有限公司（以下简称“博赛集团”）确定成为绥阳公司重整中选投资人；</w:t>
      </w:r>
    </w:p>
    <w:p>
      <w:pPr>
        <w:pStyle w:val="38"/>
        <w:rPr>
          <w:color w:val="auto"/>
          <w:highlight w:val="none"/>
        </w:rPr>
      </w:pPr>
      <w:r>
        <w:rPr>
          <w:rFonts w:hint="eastAsia"/>
          <w:color w:val="auto"/>
          <w:highlight w:val="none"/>
        </w:rPr>
        <w:t>2025年3月21日，绥阳公司召开第一次临时债权人大会；</w:t>
      </w:r>
    </w:p>
    <w:p>
      <w:pPr>
        <w:pStyle w:val="38"/>
        <w:rPr>
          <w:color w:val="auto"/>
          <w:highlight w:val="none"/>
        </w:rPr>
      </w:pPr>
      <w:r>
        <w:rPr>
          <w:rFonts w:hint="eastAsia"/>
          <w:color w:val="auto"/>
          <w:highlight w:val="none"/>
        </w:rPr>
        <w:t>2025年3月26日，绥阳公司铁合金厂在博赛集团提前接管的经营模式下已恢复1台炉生产；</w:t>
      </w:r>
    </w:p>
    <w:p>
      <w:pPr>
        <w:pStyle w:val="38"/>
        <w:rPr>
          <w:color w:val="auto"/>
          <w:highlight w:val="none"/>
        </w:rPr>
      </w:pPr>
      <w:r>
        <w:rPr>
          <w:rFonts w:hint="eastAsia"/>
          <w:color w:val="auto"/>
          <w:highlight w:val="none"/>
        </w:rPr>
        <w:t>2025年3月31日，绥阳公司第一次临时债权人会议表决期限截止，各债权组和职工组均已表决通过《预重整方案（表决版）》；</w:t>
      </w:r>
    </w:p>
    <w:p>
      <w:pPr>
        <w:pStyle w:val="38"/>
        <w:rPr>
          <w:color w:val="auto"/>
          <w:highlight w:val="none"/>
        </w:rPr>
      </w:pPr>
      <w:r>
        <w:rPr>
          <w:rFonts w:hint="eastAsia"/>
          <w:color w:val="auto"/>
          <w:highlight w:val="none"/>
        </w:rPr>
        <w:t>2025年4月2日，绥阳公司增加3台炉生产，同时发电厂启动1台机组带动共计4台炉进行铁合金生产；</w:t>
      </w:r>
    </w:p>
    <w:p>
      <w:pPr>
        <w:pStyle w:val="38"/>
        <w:rPr>
          <w:color w:val="auto"/>
          <w:highlight w:val="none"/>
        </w:rPr>
      </w:pPr>
      <w:r>
        <w:rPr>
          <w:rFonts w:hint="eastAsia"/>
          <w:color w:val="auto"/>
          <w:highlight w:val="none"/>
        </w:rPr>
        <w:t>截至财务报告批准报出日，临时管理人已向法院提交破产重整申请预重整方案和其他相关材料，法院针对该事项仍处于审理进程中，尚未作出最终裁决。</w:t>
      </w:r>
    </w:p>
    <w:p>
      <w:pPr>
        <w:pStyle w:val="38"/>
        <w:rPr>
          <w:color w:val="auto"/>
          <w:highlight w:val="none"/>
        </w:rPr>
      </w:pPr>
    </w:p>
    <w:p>
      <w:pPr>
        <w:pStyle w:val="43"/>
        <w:rPr>
          <w:rFonts w:eastAsiaTheme="minorEastAsia"/>
          <w:color w:val="auto"/>
          <w:highlight w:val="none"/>
        </w:rPr>
      </w:pPr>
      <w:r>
        <w:rPr>
          <w:rFonts w:eastAsiaTheme="minorEastAsia"/>
          <w:color w:val="auto"/>
          <w:highlight w:val="none"/>
        </w:rPr>
        <w:t>关联方</w:t>
      </w:r>
      <w:r>
        <w:rPr>
          <w:rFonts w:hint="eastAsia" w:eastAsiaTheme="minorEastAsia"/>
          <w:color w:val="auto"/>
          <w:highlight w:val="none"/>
        </w:rPr>
        <w:t>关系</w:t>
      </w:r>
      <w:r>
        <w:rPr>
          <w:rFonts w:eastAsiaTheme="minorEastAsia"/>
          <w:color w:val="auto"/>
          <w:highlight w:val="none"/>
        </w:rPr>
        <w:t>及</w:t>
      </w:r>
      <w:r>
        <w:rPr>
          <w:rFonts w:hint="eastAsia" w:eastAsiaTheme="minorEastAsia"/>
          <w:color w:val="auto"/>
          <w:highlight w:val="none"/>
        </w:rPr>
        <w:t>其</w:t>
      </w:r>
      <w:r>
        <w:rPr>
          <w:rFonts w:eastAsiaTheme="minorEastAsia"/>
          <w:color w:val="auto"/>
          <w:highlight w:val="none"/>
        </w:rPr>
        <w:t>交易</w:t>
      </w:r>
    </w:p>
    <w:p>
      <w:pPr>
        <w:pStyle w:val="37"/>
        <w:rPr>
          <w:rFonts w:eastAsiaTheme="minorEastAsia"/>
          <w:color w:val="auto"/>
          <w:highlight w:val="none"/>
        </w:rPr>
      </w:pPr>
      <w:r>
        <w:rPr>
          <w:rFonts w:eastAsiaTheme="minorEastAsia"/>
          <w:color w:val="auto"/>
          <w:highlight w:val="none"/>
        </w:rPr>
        <w:t>本公司的母公司情况</w:t>
      </w:r>
    </w:p>
    <w:p>
      <w:pPr>
        <w:pStyle w:val="38"/>
        <w:jc w:val="right"/>
        <w:rPr>
          <w:rFonts w:eastAsiaTheme="minorEastAsia"/>
          <w:color w:val="auto"/>
          <w:highlight w:val="none"/>
        </w:rPr>
      </w:pPr>
      <w:r>
        <w:rPr>
          <w:rFonts w:hint="eastAsia" w:eastAsiaTheme="minorEastAsia"/>
          <w:color w:val="auto"/>
          <w:highlight w:val="none"/>
        </w:rPr>
        <w:t>金额单位：人民币万元</w:t>
      </w:r>
      <w:r>
        <w:rPr>
          <w:rFonts w:eastAsiaTheme="minorEastAsia"/>
          <w:color w:val="auto"/>
          <w:highlight w:val="none"/>
        </w:rPr>
        <w:fldChar w:fldCharType="begin"/>
      </w:r>
      <w:r>
        <w:rPr>
          <w:rFonts w:eastAsiaTheme="minorEastAsia"/>
          <w:color w:val="auto"/>
          <w:highlight w:val="none"/>
        </w:rPr>
        <w:instrText xml:space="preserve"> LINK Excel.Sheet.12 E:\\雍\\附注排版\\2014年年报格式\\附注过渡表20150130V0910.xlsx </w:instrText>
      </w:r>
      <w:r>
        <w:rPr>
          <w:rFonts w:hint="eastAsia" w:eastAsiaTheme="minorEastAsia"/>
          <w:color w:val="auto"/>
          <w:highlight w:val="none"/>
        </w:rPr>
        <w:instrText xml:space="preserve">关联方关系及其交易</w:instrText>
      </w:r>
      <w:r>
        <w:rPr>
          <w:rFonts w:eastAsiaTheme="minorEastAsia"/>
          <w:color w:val="auto"/>
          <w:highlight w:val="none"/>
        </w:rPr>
        <w:instrText xml:space="preserve">!关联方情况 \f 4 \h \* MERGEFORMAT </w:instrText>
      </w:r>
      <w:r>
        <w:rPr>
          <w:rFonts w:eastAsiaTheme="minorEastAsia"/>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1519"/>
        <w:gridCol w:w="914"/>
        <w:gridCol w:w="2061"/>
        <w:gridCol w:w="1248"/>
        <w:gridCol w:w="1195"/>
        <w:gridCol w:w="1251"/>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519"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母公司名称</w:t>
            </w:r>
          </w:p>
        </w:tc>
        <w:tc>
          <w:tcPr>
            <w:tcW w:w="914"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注册地</w:t>
            </w:r>
          </w:p>
        </w:tc>
        <w:tc>
          <w:tcPr>
            <w:tcW w:w="2061"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业务性质</w:t>
            </w:r>
          </w:p>
        </w:tc>
        <w:tc>
          <w:tcPr>
            <w:tcW w:w="1248"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注册资本</w:t>
            </w:r>
          </w:p>
        </w:tc>
        <w:tc>
          <w:tcPr>
            <w:tcW w:w="119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母公司对本企业的持股比例（%）</w:t>
            </w:r>
          </w:p>
        </w:tc>
        <w:tc>
          <w:tcPr>
            <w:tcW w:w="1251"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母公司对本企业的表决权比例（%）</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519"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国家电力投资集团有限公司</w:t>
            </w:r>
          </w:p>
        </w:tc>
        <w:tc>
          <w:tcPr>
            <w:tcW w:w="91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北京</w:t>
            </w:r>
          </w:p>
        </w:tc>
        <w:tc>
          <w:tcPr>
            <w:tcW w:w="206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实业投资管理、电能开发、投资、建设经营</w:t>
            </w:r>
          </w:p>
        </w:tc>
        <w:tc>
          <w:tcPr>
            <w:tcW w:w="124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3,500,000.00</w:t>
            </w:r>
          </w:p>
        </w:tc>
        <w:tc>
          <w:tcPr>
            <w:tcW w:w="119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68.05</w:t>
            </w:r>
          </w:p>
        </w:tc>
        <w:tc>
          <w:tcPr>
            <w:tcW w:w="125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68.05</w:t>
            </w:r>
          </w:p>
        </w:tc>
      </w:tr>
    </w:tbl>
    <w:p>
      <w:pPr>
        <w:pStyle w:val="38"/>
        <w:rPr>
          <w:rFonts w:eastAsiaTheme="minorEastAsia"/>
          <w:color w:val="auto"/>
          <w:highlight w:val="none"/>
        </w:rPr>
      </w:pPr>
      <w:r>
        <w:rPr>
          <w:rFonts w:eastAsiaTheme="minorEastAsia"/>
          <w:color w:val="auto"/>
          <w:highlight w:val="none"/>
        </w:rPr>
        <w:fldChar w:fldCharType="end"/>
      </w:r>
    </w:p>
    <w:p>
      <w:pPr>
        <w:pStyle w:val="37"/>
        <w:rPr>
          <w:rFonts w:eastAsiaTheme="minorEastAsia"/>
          <w:color w:val="auto"/>
          <w:highlight w:val="none"/>
        </w:rPr>
      </w:pPr>
      <w:r>
        <w:rPr>
          <w:rFonts w:eastAsiaTheme="minorEastAsia"/>
          <w:color w:val="auto"/>
          <w:highlight w:val="none"/>
        </w:rPr>
        <w:t>本公司的子</w:t>
      </w:r>
      <w:r>
        <w:rPr>
          <w:rFonts w:hint="eastAsia" w:eastAsiaTheme="minorEastAsia"/>
          <w:color w:val="auto"/>
          <w:highlight w:val="none"/>
        </w:rPr>
        <w:t>企业</w:t>
      </w:r>
      <w:r>
        <w:rPr>
          <w:rFonts w:eastAsiaTheme="minorEastAsia"/>
          <w:color w:val="auto"/>
          <w:highlight w:val="none"/>
        </w:rPr>
        <w:t>情况</w:t>
      </w:r>
    </w:p>
    <w:p>
      <w:pPr>
        <w:pStyle w:val="38"/>
        <w:rPr>
          <w:color w:val="auto"/>
          <w:highlight w:val="none"/>
        </w:rPr>
      </w:pPr>
      <w:r>
        <w:rPr>
          <w:rFonts w:hint="eastAsia"/>
          <w:color w:val="auto"/>
          <w:highlight w:val="none"/>
        </w:rPr>
        <w:t>详见附注“七、（一）子企业情况”。</w:t>
      </w:r>
    </w:p>
    <w:p>
      <w:pPr>
        <w:pStyle w:val="38"/>
        <w:rPr>
          <w:rFonts w:eastAsiaTheme="minorEastAsia"/>
          <w:color w:val="auto"/>
          <w:highlight w:val="none"/>
        </w:rPr>
      </w:pPr>
    </w:p>
    <w:p>
      <w:pPr>
        <w:pStyle w:val="37"/>
        <w:rPr>
          <w:rFonts w:eastAsiaTheme="minorEastAsia"/>
          <w:color w:val="auto"/>
          <w:highlight w:val="none"/>
        </w:rPr>
      </w:pPr>
      <w:r>
        <w:rPr>
          <w:rFonts w:eastAsiaTheme="minorEastAsia"/>
          <w:color w:val="auto"/>
          <w:highlight w:val="none"/>
        </w:rPr>
        <w:t>本公司的合营</w:t>
      </w:r>
      <w:r>
        <w:rPr>
          <w:rFonts w:hint="eastAsia" w:eastAsiaTheme="minorEastAsia"/>
          <w:color w:val="auto"/>
          <w:highlight w:val="none"/>
        </w:rPr>
        <w:t>企业、</w:t>
      </w:r>
      <w:r>
        <w:rPr>
          <w:rFonts w:eastAsiaTheme="minorEastAsia"/>
          <w:color w:val="auto"/>
          <w:highlight w:val="none"/>
        </w:rPr>
        <w:t>联营企业情况</w:t>
      </w:r>
    </w:p>
    <w:p>
      <w:pPr>
        <w:pStyle w:val="38"/>
        <w:rPr>
          <w:color w:val="auto"/>
          <w:highlight w:val="none"/>
        </w:rPr>
      </w:pPr>
      <w:r>
        <w:rPr>
          <w:rFonts w:hint="eastAsia"/>
          <w:color w:val="auto"/>
          <w:highlight w:val="none"/>
        </w:rPr>
        <w:t>详见附注“八、（十二）长期股权投资”。</w:t>
      </w:r>
      <w:r>
        <w:rPr>
          <w:color w:val="auto"/>
          <w:highlight w:val="none"/>
        </w:rPr>
        <w:fldChar w:fldCharType="begin"/>
      </w:r>
      <w:r>
        <w:rPr>
          <w:color w:val="auto"/>
          <w:highlight w:val="none"/>
        </w:rPr>
        <w:instrText xml:space="preserve"> LINK Excel.Sheet.12 E:\\雍\\附注排版\\2014年年报格式\\附注过渡表20150130V0910.xlsx</w:instrText>
      </w:r>
      <w:r>
        <w:rPr>
          <w:rFonts w:hint="eastAsia"/>
          <w:color w:val="auto"/>
          <w:highlight w:val="none"/>
        </w:rPr>
        <w:instrText xml:space="preserve"> 关联方关系及其交易</w:instrText>
      </w:r>
      <w:r>
        <w:rPr>
          <w:color w:val="auto"/>
          <w:highlight w:val="none"/>
        </w:rPr>
        <w:instrText xml:space="preserve">!关联方情况1</w:instrText>
      </w:r>
      <w:r>
        <w:rPr>
          <w:rFonts w:hint="eastAsia"/>
          <w:color w:val="auto"/>
          <w:highlight w:val="none"/>
        </w:rPr>
        <w:instrText xml:space="preserve">b</w:instrText>
      </w:r>
      <w:r>
        <w:rPr>
          <w:color w:val="auto"/>
          <w:highlight w:val="none"/>
        </w:rPr>
        <w:instrText xml:space="preserve"> \f 4 \h \* MERGEFORMAT </w:instrText>
      </w:r>
      <w:r>
        <w:rPr>
          <w:color w:val="auto"/>
          <w:highlight w:val="none"/>
        </w:rPr>
        <w:fldChar w:fldCharType="separate"/>
      </w:r>
    </w:p>
    <w:p>
      <w:pPr>
        <w:pStyle w:val="38"/>
        <w:rPr>
          <w:rFonts w:eastAsiaTheme="minorEastAsia"/>
          <w:color w:val="auto"/>
          <w:highlight w:val="none"/>
        </w:rPr>
      </w:pPr>
      <w:r>
        <w:rPr>
          <w:rFonts w:eastAsiaTheme="minorEastAsia"/>
          <w:color w:val="auto"/>
          <w:highlight w:val="none"/>
        </w:rPr>
        <w:fldChar w:fldCharType="end"/>
      </w:r>
    </w:p>
    <w:p>
      <w:pPr>
        <w:pStyle w:val="37"/>
        <w:rPr>
          <w:rFonts w:eastAsiaTheme="minorEastAsia"/>
          <w:color w:val="auto"/>
          <w:highlight w:val="none"/>
        </w:rPr>
      </w:pPr>
      <w:r>
        <w:rPr>
          <w:rFonts w:hint="eastAsia" w:eastAsiaTheme="minorEastAsia"/>
          <w:color w:val="auto"/>
          <w:highlight w:val="none"/>
        </w:rPr>
        <w:t>本公司的</w:t>
      </w:r>
      <w:r>
        <w:rPr>
          <w:rFonts w:eastAsiaTheme="minorEastAsia"/>
          <w:color w:val="auto"/>
          <w:highlight w:val="none"/>
        </w:rPr>
        <w:t>其他关联方情况</w:t>
      </w:r>
    </w:p>
    <w:p>
      <w:pPr>
        <w:pStyle w:val="38"/>
        <w:rPr>
          <w:rFonts w:eastAsiaTheme="minorEastAsia"/>
          <w:color w:val="auto"/>
          <w:highlight w:val="none"/>
        </w:rPr>
      </w:pPr>
      <w:r>
        <w:rPr>
          <w:rFonts w:eastAsiaTheme="minorEastAsia"/>
          <w:b/>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关联方关系及其交易</w:instrText>
      </w:r>
      <w:r>
        <w:rPr>
          <w:rFonts w:eastAsiaTheme="minorEastAsia"/>
          <w:color w:val="auto"/>
          <w:highlight w:val="none"/>
        </w:rPr>
        <w:instrText xml:space="preserve">!关联方情况2 \f 4 \h \* MERGEFORMAT </w:instrText>
      </w:r>
      <w:r>
        <w:rPr>
          <w:rFonts w:eastAsiaTheme="minorEastAsia"/>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5482"/>
        <w:gridCol w:w="2706"/>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PrEx>
        <w:trPr>
          <w:trHeight w:val="283" w:hRule="atLeast"/>
          <w:tblHeader/>
        </w:trPr>
        <w:tc>
          <w:tcPr>
            <w:tcW w:w="548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其他关联方名称</w:t>
            </w:r>
          </w:p>
        </w:tc>
        <w:tc>
          <w:tcPr>
            <w:tcW w:w="2706"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与本公司的关系</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新源智储能源发展（北京）有限公司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贵州远达金元环保有限公司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国家电投集团远达环保工程有限公司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国核电力规划设计研究院重庆有限公司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上海发电设备成套设计研究院有限责任公司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华泽（天津）商业保理有限公司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国家电投集团远达环保催化剂有限公司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国家电投集团碳资产管理有限公司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北京融和云链科技有限公司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国核电力规划设计研究院有限公司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山东电力工程咨询院有限公司发电设计研究院</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国核自仪系统工程有限公司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国电投河南工程运维有限公司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山东泛能能源发展研究院有限公司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云南翠源物资商贸发展有限公司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广西国电投博能售电有限公司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山东电力工程咨询院有限公司规划咨询部</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电能（北京）工程监理有限公司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国家电投集团广东电力有限公司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国家电投集团云南国际电力投资有限公司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国电投重庆能源研究院有限公司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国家电投集团保险经纪有限公司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大庆黄和光储实证研究有限公司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国家电力投资集团有限公司物资装备分公司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国家电投集团东北电力有限公司本溪热电分公司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山东中电新能源工程有限公司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青海黄河中型水电开发有限责任公司乌兰新能源分公司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国家电投集团科学技术研究院有限公司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内蒙古电投霍白配售电有限公司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中电华创电力技术研究有限公司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国电投（天津）投资管理有限公司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国家电投集团江苏电力有限公司生产监控调度培训中心</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上海电力股份有限公司技能培训中心</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贵州黔东电力有限公司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山东电力工程咨询院有限公司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上海启源芯动力科技有限公司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国家电投集团电站运营技术（北京）有限公司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上海上电售电有限公司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山东核电设备制造有限公司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国家电投集团内蒙古白音华煤电有限公司赤峰新城热电分公司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国家电投集团内蒙古能源有限公司赤峰热电厂</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内蒙古电投能源机关</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内蒙古霍煤鸿骏铝电有限责任公司总公司铝厂侧</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赤峰白音华物流有限公司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国家电投集团财务有限公司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中国电能成套设备有限公司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国家电力投资集团公司物资装备分公司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中氢金元（北京）新能源有限公司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国核电站运行服务技术有限公司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国家电投集团北京电能碳资产管理有限公司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国家电投集团远达水务有限公司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青海黄河上游水电开发有限责任公司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上海和运工程咨询有限公司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国家电投集团西藏能源有限公司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贵州省习水鼎泰能源开发有限责任公司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同一最终控制方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贵州鸭溪发电有限公司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联营企业子公司</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5482"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贵州泰元能源有限责任公司</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联营企业</w:t>
            </w:r>
          </w:p>
        </w:tc>
      </w:tr>
    </w:tbl>
    <w:p>
      <w:pPr>
        <w:pStyle w:val="38"/>
        <w:rPr>
          <w:rFonts w:eastAsiaTheme="minorEastAsia"/>
          <w:color w:val="auto"/>
          <w:highlight w:val="none"/>
        </w:rPr>
      </w:pPr>
      <w:r>
        <w:rPr>
          <w:rFonts w:eastAsiaTheme="minorEastAsia"/>
          <w:color w:val="auto"/>
          <w:highlight w:val="none"/>
        </w:rPr>
        <w:fldChar w:fldCharType="end"/>
      </w:r>
    </w:p>
    <w:p>
      <w:pPr>
        <w:pStyle w:val="35"/>
        <w:rPr>
          <w:color w:val="auto"/>
          <w:highlight w:val="none"/>
        </w:rPr>
      </w:pPr>
    </w:p>
    <w:p>
      <w:pPr>
        <w:pStyle w:val="35"/>
        <w:rPr>
          <w:color w:val="auto"/>
          <w:highlight w:val="none"/>
        </w:rPr>
        <w:sectPr>
          <w:pgSz w:w="11907" w:h="16839"/>
          <w:pgMar w:top="1440" w:right="1797" w:bottom="1440" w:left="1797" w:header="680" w:footer="992" w:gutter="0"/>
          <w:cols w:space="425" w:num="1"/>
          <w:docGrid w:linePitch="312" w:charSpace="0"/>
        </w:sectPr>
      </w:pPr>
    </w:p>
    <w:p>
      <w:pPr>
        <w:pStyle w:val="37"/>
        <w:rPr>
          <w:rFonts w:eastAsiaTheme="minorEastAsia"/>
          <w:color w:val="auto"/>
          <w:highlight w:val="none"/>
        </w:rPr>
      </w:pPr>
      <w:r>
        <w:rPr>
          <w:rFonts w:eastAsiaTheme="minorEastAsia"/>
          <w:color w:val="auto"/>
          <w:highlight w:val="none"/>
        </w:rPr>
        <w:t>关联</w:t>
      </w:r>
      <w:r>
        <w:rPr>
          <w:rFonts w:hint="eastAsia" w:eastAsiaTheme="minorEastAsia"/>
          <w:color w:val="auto"/>
          <w:highlight w:val="none"/>
        </w:rPr>
        <w:t>方</w:t>
      </w:r>
      <w:r>
        <w:rPr>
          <w:rFonts w:eastAsiaTheme="minorEastAsia"/>
          <w:color w:val="auto"/>
          <w:highlight w:val="none"/>
        </w:rPr>
        <w:t>交易</w:t>
      </w:r>
    </w:p>
    <w:p>
      <w:pPr>
        <w:pStyle w:val="44"/>
        <w:rPr>
          <w:color w:val="auto"/>
          <w:highlight w:val="none"/>
        </w:rPr>
      </w:pPr>
      <w:r>
        <w:rPr>
          <w:color w:val="auto"/>
          <w:highlight w:val="none"/>
        </w:rPr>
        <w:t>存在控制关系且已纳入本公司合并报表范围的子公司，其相互间交易及母子公司交易已作抵销。</w:t>
      </w:r>
    </w:p>
    <w:p>
      <w:pPr>
        <w:pStyle w:val="35"/>
        <w:rPr>
          <w:color w:val="auto"/>
          <w:highlight w:val="none"/>
        </w:rPr>
      </w:pPr>
    </w:p>
    <w:p>
      <w:pPr>
        <w:pStyle w:val="44"/>
        <w:rPr>
          <w:color w:val="auto"/>
          <w:highlight w:val="none"/>
        </w:rPr>
      </w:pPr>
      <w:r>
        <w:rPr>
          <w:color w:val="auto"/>
          <w:highlight w:val="none"/>
        </w:rPr>
        <w:t>采购商品/接受劳务情况</w:t>
      </w:r>
    </w:p>
    <w:p>
      <w:pPr>
        <w:pStyle w:val="35"/>
        <w:rPr>
          <w:rFonts w:eastAsiaTheme="minorEastAsia"/>
          <w:color w:val="auto"/>
          <w:highlight w:val="none"/>
        </w:rPr>
      </w:pPr>
      <w:r>
        <w:rPr>
          <w:rFonts w:eastAsiaTheme="minorEastAsia"/>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关联方关系及其交易</w:instrText>
      </w:r>
      <w:r>
        <w:rPr>
          <w:rFonts w:eastAsiaTheme="minorEastAsia"/>
          <w:color w:val="auto"/>
          <w:highlight w:val="none"/>
        </w:rPr>
        <w:instrText xml:space="preserve">!关联方情况3 \f 4 \h \* MERGEFORMAT </w:instrText>
      </w:r>
      <w:r>
        <w:rPr>
          <w:rFonts w:eastAsiaTheme="minorEastAsia"/>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4601"/>
        <w:gridCol w:w="1787"/>
        <w:gridCol w:w="1450"/>
        <w:gridCol w:w="1228"/>
        <w:gridCol w:w="1640"/>
        <w:gridCol w:w="1509"/>
        <w:gridCol w:w="1393"/>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PrEx>
        <w:trPr>
          <w:trHeight w:val="283" w:hRule="atLeast"/>
          <w:tblHeader/>
        </w:trPr>
        <w:tc>
          <w:tcPr>
            <w:tcW w:w="4601"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关联方</w:t>
            </w:r>
          </w:p>
        </w:tc>
        <w:tc>
          <w:tcPr>
            <w:tcW w:w="1787"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关联交易内容</w:t>
            </w:r>
          </w:p>
        </w:tc>
        <w:tc>
          <w:tcPr>
            <w:tcW w:w="1450"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关联交易定价方式及决策程序</w:t>
            </w:r>
          </w:p>
        </w:tc>
        <w:tc>
          <w:tcPr>
            <w:tcW w:w="2868"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本期金额</w:t>
            </w:r>
          </w:p>
        </w:tc>
        <w:tc>
          <w:tcPr>
            <w:tcW w:w="2902"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上期金额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4601"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787"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450"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228"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金额</w:t>
            </w:r>
          </w:p>
        </w:tc>
        <w:tc>
          <w:tcPr>
            <w:tcW w:w="1640"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占同类交易比例（%）</w:t>
            </w:r>
          </w:p>
        </w:tc>
        <w:tc>
          <w:tcPr>
            <w:tcW w:w="1509"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金额</w:t>
            </w:r>
          </w:p>
        </w:tc>
        <w:tc>
          <w:tcPr>
            <w:tcW w:w="1393"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占同类交易比例（%）</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0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贵州远达金元环保有限公司</w:t>
            </w:r>
          </w:p>
        </w:tc>
        <w:tc>
          <w:tcPr>
            <w:tcW w:w="1787"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接受环保劳务</w:t>
            </w:r>
          </w:p>
        </w:tc>
        <w:tc>
          <w:tcPr>
            <w:tcW w:w="145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206,676,841.81</w:t>
            </w: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100.00</w:t>
            </w:r>
          </w:p>
        </w:tc>
        <w:tc>
          <w:tcPr>
            <w:tcW w:w="150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315,892,400.68</w:t>
            </w: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100.00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0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国核电力规划设计研究院重庆有限公司</w:t>
            </w:r>
          </w:p>
        </w:tc>
        <w:tc>
          <w:tcPr>
            <w:tcW w:w="1787"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工程服务</w:t>
            </w:r>
          </w:p>
        </w:tc>
        <w:tc>
          <w:tcPr>
            <w:tcW w:w="145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113,772,791.77</w:t>
            </w: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95.41</w:t>
            </w:r>
          </w:p>
        </w:tc>
        <w:tc>
          <w:tcPr>
            <w:tcW w:w="150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17,185,201.33</w:t>
            </w: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1.40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0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国家电投集团东北电力有限公司本溪热电分公司</w:t>
            </w:r>
          </w:p>
        </w:tc>
        <w:tc>
          <w:tcPr>
            <w:tcW w:w="1787"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其他收入</w:t>
            </w:r>
          </w:p>
        </w:tc>
        <w:tc>
          <w:tcPr>
            <w:tcW w:w="145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34,938,490.57</w:t>
            </w: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93.28</w:t>
            </w:r>
          </w:p>
        </w:tc>
        <w:tc>
          <w:tcPr>
            <w:tcW w:w="150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0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电能（北京）工程监理有限公司</w:t>
            </w:r>
          </w:p>
        </w:tc>
        <w:tc>
          <w:tcPr>
            <w:tcW w:w="1787"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工程服务</w:t>
            </w:r>
          </w:p>
        </w:tc>
        <w:tc>
          <w:tcPr>
            <w:tcW w:w="145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2,857,391.53</w:t>
            </w: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2.51</w:t>
            </w:r>
          </w:p>
        </w:tc>
        <w:tc>
          <w:tcPr>
            <w:tcW w:w="150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203,773.58</w:t>
            </w: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0.02</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0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国核电站运行服务技术有限公司</w:t>
            </w:r>
          </w:p>
        </w:tc>
        <w:tc>
          <w:tcPr>
            <w:tcW w:w="1787"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技术服务</w:t>
            </w:r>
          </w:p>
        </w:tc>
        <w:tc>
          <w:tcPr>
            <w:tcW w:w="145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2,822,405.66</w:t>
            </w: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58.73</w:t>
            </w:r>
          </w:p>
        </w:tc>
        <w:tc>
          <w:tcPr>
            <w:tcW w:w="150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0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山东中电新能源工程有限公司</w:t>
            </w:r>
          </w:p>
        </w:tc>
        <w:tc>
          <w:tcPr>
            <w:tcW w:w="1787"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工程服务</w:t>
            </w:r>
          </w:p>
        </w:tc>
        <w:tc>
          <w:tcPr>
            <w:tcW w:w="145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2,489,632.89</w:t>
            </w: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2.08</w:t>
            </w:r>
          </w:p>
        </w:tc>
        <w:tc>
          <w:tcPr>
            <w:tcW w:w="150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0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国家电投集团科学技术研究院有限公司</w:t>
            </w:r>
          </w:p>
        </w:tc>
        <w:tc>
          <w:tcPr>
            <w:tcW w:w="1787"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其他收入</w:t>
            </w:r>
          </w:p>
        </w:tc>
        <w:tc>
          <w:tcPr>
            <w:tcW w:w="145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2,212,264.14</w:t>
            </w: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5.91</w:t>
            </w:r>
          </w:p>
        </w:tc>
        <w:tc>
          <w:tcPr>
            <w:tcW w:w="150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0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国核电力规划设计研究院有限公司</w:t>
            </w:r>
          </w:p>
        </w:tc>
        <w:tc>
          <w:tcPr>
            <w:tcW w:w="1787"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项目建设费</w:t>
            </w:r>
          </w:p>
        </w:tc>
        <w:tc>
          <w:tcPr>
            <w:tcW w:w="145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1,463,207.55</w:t>
            </w: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100.00</w:t>
            </w:r>
          </w:p>
        </w:tc>
        <w:tc>
          <w:tcPr>
            <w:tcW w:w="150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1,874,528.30</w:t>
            </w: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89.43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0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国家电投集团碳资产管理有限公司</w:t>
            </w:r>
          </w:p>
        </w:tc>
        <w:tc>
          <w:tcPr>
            <w:tcW w:w="1787"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技术服务费</w:t>
            </w:r>
          </w:p>
        </w:tc>
        <w:tc>
          <w:tcPr>
            <w:tcW w:w="145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1,061,320.77</w:t>
            </w: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22.08</w:t>
            </w:r>
          </w:p>
        </w:tc>
        <w:tc>
          <w:tcPr>
            <w:tcW w:w="150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2,311,320.72</w:t>
            </w: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60.34</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0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国家电投集团远达环保工程有限公司</w:t>
            </w:r>
          </w:p>
        </w:tc>
        <w:tc>
          <w:tcPr>
            <w:tcW w:w="1787"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工程承包</w:t>
            </w:r>
          </w:p>
        </w:tc>
        <w:tc>
          <w:tcPr>
            <w:tcW w:w="145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863,217.30</w:t>
            </w: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53.98</w:t>
            </w:r>
          </w:p>
        </w:tc>
        <w:tc>
          <w:tcPr>
            <w:tcW w:w="150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66,347,537.80</w:t>
            </w: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100.00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0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青海黄河中型水电开发有限责任公司乌兰新能源分公司</w:t>
            </w:r>
          </w:p>
        </w:tc>
        <w:tc>
          <w:tcPr>
            <w:tcW w:w="1787"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固定资产出租</w:t>
            </w:r>
          </w:p>
        </w:tc>
        <w:tc>
          <w:tcPr>
            <w:tcW w:w="145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840,707.96</w:t>
            </w: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100.00</w:t>
            </w:r>
          </w:p>
        </w:tc>
        <w:tc>
          <w:tcPr>
            <w:tcW w:w="150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0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国电投河南工程运维有限公司</w:t>
            </w:r>
          </w:p>
        </w:tc>
        <w:tc>
          <w:tcPr>
            <w:tcW w:w="1787"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监理费</w:t>
            </w:r>
          </w:p>
        </w:tc>
        <w:tc>
          <w:tcPr>
            <w:tcW w:w="145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832,075.47</w:t>
            </w: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100.00</w:t>
            </w:r>
          </w:p>
        </w:tc>
        <w:tc>
          <w:tcPr>
            <w:tcW w:w="150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754,716.98</w:t>
            </w: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100.00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0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北京鲁电国际电力工程有限公司</w:t>
            </w:r>
          </w:p>
        </w:tc>
        <w:tc>
          <w:tcPr>
            <w:tcW w:w="1787"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工程承包</w:t>
            </w:r>
          </w:p>
        </w:tc>
        <w:tc>
          <w:tcPr>
            <w:tcW w:w="145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735,849.06</w:t>
            </w: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46.02</w:t>
            </w:r>
          </w:p>
        </w:tc>
        <w:tc>
          <w:tcPr>
            <w:tcW w:w="150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0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国核自仪系统工程有限公司</w:t>
            </w:r>
          </w:p>
        </w:tc>
        <w:tc>
          <w:tcPr>
            <w:tcW w:w="1787"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工程合同结算款</w:t>
            </w:r>
          </w:p>
        </w:tc>
        <w:tc>
          <w:tcPr>
            <w:tcW w:w="145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532,075.48</w:t>
            </w: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100.00</w:t>
            </w:r>
          </w:p>
        </w:tc>
        <w:tc>
          <w:tcPr>
            <w:tcW w:w="150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1,197,216.61</w:t>
            </w: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100.00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0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技术开发分公司</w:t>
            </w:r>
          </w:p>
        </w:tc>
        <w:tc>
          <w:tcPr>
            <w:tcW w:w="1787"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技术服务</w:t>
            </w:r>
          </w:p>
        </w:tc>
        <w:tc>
          <w:tcPr>
            <w:tcW w:w="145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360,943.39</w:t>
            </w: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7.51</w:t>
            </w:r>
          </w:p>
        </w:tc>
        <w:tc>
          <w:tcPr>
            <w:tcW w:w="150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0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内蒙古电投霍白配售电有限公司</w:t>
            </w:r>
          </w:p>
        </w:tc>
        <w:tc>
          <w:tcPr>
            <w:tcW w:w="1787"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其他收入</w:t>
            </w:r>
          </w:p>
        </w:tc>
        <w:tc>
          <w:tcPr>
            <w:tcW w:w="145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306,603.77</w:t>
            </w: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0.81</w:t>
            </w:r>
          </w:p>
        </w:tc>
        <w:tc>
          <w:tcPr>
            <w:tcW w:w="150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0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青海黄河上游水电开发有限责任公司</w:t>
            </w:r>
          </w:p>
        </w:tc>
        <w:tc>
          <w:tcPr>
            <w:tcW w:w="1787"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委托运营收入</w:t>
            </w:r>
          </w:p>
        </w:tc>
        <w:tc>
          <w:tcPr>
            <w:tcW w:w="145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282,547.16</w:t>
            </w: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100.00</w:t>
            </w:r>
          </w:p>
        </w:tc>
        <w:tc>
          <w:tcPr>
            <w:tcW w:w="150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0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国家电投集团广东电力有限公司</w:t>
            </w:r>
          </w:p>
        </w:tc>
        <w:tc>
          <w:tcPr>
            <w:tcW w:w="1787"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技术服务费</w:t>
            </w:r>
          </w:p>
        </w:tc>
        <w:tc>
          <w:tcPr>
            <w:tcW w:w="145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215,189.28</w:t>
            </w: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4.48</w:t>
            </w:r>
          </w:p>
        </w:tc>
        <w:tc>
          <w:tcPr>
            <w:tcW w:w="150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71,377.54</w:t>
            </w: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1.86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0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中电华创电力技术研究有限公司</w:t>
            </w:r>
          </w:p>
        </w:tc>
        <w:tc>
          <w:tcPr>
            <w:tcW w:w="1787"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技术服务</w:t>
            </w:r>
          </w:p>
        </w:tc>
        <w:tc>
          <w:tcPr>
            <w:tcW w:w="145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113,509.43</w:t>
            </w: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2.36</w:t>
            </w:r>
          </w:p>
        </w:tc>
        <w:tc>
          <w:tcPr>
            <w:tcW w:w="150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0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山东电力工程咨询院有限公司发电设计研究院</w:t>
            </w:r>
          </w:p>
        </w:tc>
        <w:tc>
          <w:tcPr>
            <w:tcW w:w="1787"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技术服务费</w:t>
            </w:r>
          </w:p>
        </w:tc>
        <w:tc>
          <w:tcPr>
            <w:tcW w:w="145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101,886.79</w:t>
            </w: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2.12</w:t>
            </w:r>
          </w:p>
        </w:tc>
        <w:tc>
          <w:tcPr>
            <w:tcW w:w="150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1,448,113.21</w:t>
            </w: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37.80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0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设计咨询分公司</w:t>
            </w:r>
          </w:p>
        </w:tc>
        <w:tc>
          <w:tcPr>
            <w:tcW w:w="1787"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技术服务</w:t>
            </w:r>
          </w:p>
        </w:tc>
        <w:tc>
          <w:tcPr>
            <w:tcW w:w="145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95,094.34</w:t>
            </w: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1.98</w:t>
            </w:r>
          </w:p>
        </w:tc>
        <w:tc>
          <w:tcPr>
            <w:tcW w:w="150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0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云南翠源物资商贸发展有限公司</w:t>
            </w:r>
          </w:p>
        </w:tc>
        <w:tc>
          <w:tcPr>
            <w:tcW w:w="1787"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培训费</w:t>
            </w:r>
          </w:p>
        </w:tc>
        <w:tc>
          <w:tcPr>
            <w:tcW w:w="145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93,999.98</w:t>
            </w: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91.38</w:t>
            </w:r>
          </w:p>
        </w:tc>
        <w:tc>
          <w:tcPr>
            <w:tcW w:w="150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244,928.25</w:t>
            </w: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100.00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0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国家电投集团电站运营技术（北京）有限公司</w:t>
            </w:r>
          </w:p>
        </w:tc>
        <w:tc>
          <w:tcPr>
            <w:tcW w:w="1787"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技术服务</w:t>
            </w:r>
          </w:p>
        </w:tc>
        <w:tc>
          <w:tcPr>
            <w:tcW w:w="145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35,579.23</w:t>
            </w: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0.74</w:t>
            </w:r>
          </w:p>
        </w:tc>
        <w:tc>
          <w:tcPr>
            <w:tcW w:w="150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0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国家电投集团云南国际电力投资有限公司</w:t>
            </w:r>
          </w:p>
        </w:tc>
        <w:tc>
          <w:tcPr>
            <w:tcW w:w="1787"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售电服务费</w:t>
            </w:r>
          </w:p>
        </w:tc>
        <w:tc>
          <w:tcPr>
            <w:tcW w:w="145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28,301.89</w:t>
            </w: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100.00</w:t>
            </w:r>
          </w:p>
        </w:tc>
        <w:tc>
          <w:tcPr>
            <w:tcW w:w="150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66,037.74</w:t>
            </w: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100.00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0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国电投（天津）投资管理有限公司（母公司）</w:t>
            </w:r>
          </w:p>
        </w:tc>
        <w:tc>
          <w:tcPr>
            <w:tcW w:w="1787"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咨询费</w:t>
            </w:r>
          </w:p>
        </w:tc>
        <w:tc>
          <w:tcPr>
            <w:tcW w:w="145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18,867.92</w:t>
            </w: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100.00</w:t>
            </w:r>
          </w:p>
        </w:tc>
        <w:tc>
          <w:tcPr>
            <w:tcW w:w="150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0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国家电投集团江苏电力有限公司生产监控调度培训中心</w:t>
            </w:r>
          </w:p>
        </w:tc>
        <w:tc>
          <w:tcPr>
            <w:tcW w:w="1787"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培训费</w:t>
            </w:r>
          </w:p>
        </w:tc>
        <w:tc>
          <w:tcPr>
            <w:tcW w:w="145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6,603.78</w:t>
            </w: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6.42</w:t>
            </w:r>
          </w:p>
        </w:tc>
        <w:tc>
          <w:tcPr>
            <w:tcW w:w="150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0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上海电力股份有限公司技能培训中心</w:t>
            </w:r>
          </w:p>
        </w:tc>
        <w:tc>
          <w:tcPr>
            <w:tcW w:w="1787"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培训费</w:t>
            </w:r>
          </w:p>
        </w:tc>
        <w:tc>
          <w:tcPr>
            <w:tcW w:w="145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2,264.15</w:t>
            </w: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2.20</w:t>
            </w:r>
          </w:p>
        </w:tc>
        <w:tc>
          <w:tcPr>
            <w:tcW w:w="150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0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新源智储能源发展（北京）有限公司</w:t>
            </w:r>
          </w:p>
        </w:tc>
        <w:tc>
          <w:tcPr>
            <w:tcW w:w="1787"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工程服务</w:t>
            </w:r>
          </w:p>
        </w:tc>
        <w:tc>
          <w:tcPr>
            <w:tcW w:w="145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50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1,207,619,999.99</w:t>
            </w: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98.58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0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上海发电设备成套设计研究院有限责任公司</w:t>
            </w:r>
          </w:p>
        </w:tc>
        <w:tc>
          <w:tcPr>
            <w:tcW w:w="1787"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咨询费</w:t>
            </w:r>
          </w:p>
        </w:tc>
        <w:tc>
          <w:tcPr>
            <w:tcW w:w="145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50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8,573,773.58</w:t>
            </w: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93.52</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0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华泽（天津）商业保理有限公司</w:t>
            </w:r>
          </w:p>
        </w:tc>
        <w:tc>
          <w:tcPr>
            <w:tcW w:w="1787"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手续费</w:t>
            </w:r>
          </w:p>
        </w:tc>
        <w:tc>
          <w:tcPr>
            <w:tcW w:w="145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50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3,343,729.65</w:t>
            </w: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60.69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0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国家电投集团远达环保催化剂有限公司</w:t>
            </w:r>
          </w:p>
        </w:tc>
        <w:tc>
          <w:tcPr>
            <w:tcW w:w="1787"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采购物资</w:t>
            </w:r>
          </w:p>
        </w:tc>
        <w:tc>
          <w:tcPr>
            <w:tcW w:w="145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50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3,185,908.41</w:t>
            </w: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100.00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0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北京融和云链科技有限公司</w:t>
            </w:r>
          </w:p>
        </w:tc>
        <w:tc>
          <w:tcPr>
            <w:tcW w:w="1787"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手续费</w:t>
            </w:r>
          </w:p>
        </w:tc>
        <w:tc>
          <w:tcPr>
            <w:tcW w:w="145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50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2,165,555.66</w:t>
            </w: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39.31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0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山东泛能能源发展研究院有限公司</w:t>
            </w:r>
          </w:p>
        </w:tc>
        <w:tc>
          <w:tcPr>
            <w:tcW w:w="1787"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咨询费</w:t>
            </w:r>
          </w:p>
        </w:tc>
        <w:tc>
          <w:tcPr>
            <w:tcW w:w="145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50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377,358.49</w:t>
            </w: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4.12</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0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广西国电投博能售电有限公司</w:t>
            </w:r>
          </w:p>
        </w:tc>
        <w:tc>
          <w:tcPr>
            <w:tcW w:w="1787"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项目建设费</w:t>
            </w:r>
          </w:p>
        </w:tc>
        <w:tc>
          <w:tcPr>
            <w:tcW w:w="145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50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221,477.99</w:t>
            </w: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10.57</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0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山东电力工程咨询院有限公司规划咨询部</w:t>
            </w:r>
          </w:p>
        </w:tc>
        <w:tc>
          <w:tcPr>
            <w:tcW w:w="1787"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咨询费</w:t>
            </w:r>
          </w:p>
        </w:tc>
        <w:tc>
          <w:tcPr>
            <w:tcW w:w="145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50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216,981.13</w:t>
            </w: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2.36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0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国电投重庆能源研究院有限公司</w:t>
            </w:r>
          </w:p>
        </w:tc>
        <w:tc>
          <w:tcPr>
            <w:tcW w:w="1787"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服务费</w:t>
            </w:r>
          </w:p>
        </w:tc>
        <w:tc>
          <w:tcPr>
            <w:tcW w:w="145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50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49,504.95</w:t>
            </w: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100.00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0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国家电投集团保险经纪有限公司</w:t>
            </w:r>
          </w:p>
        </w:tc>
        <w:tc>
          <w:tcPr>
            <w:tcW w:w="1787"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保险费</w:t>
            </w:r>
          </w:p>
        </w:tc>
        <w:tc>
          <w:tcPr>
            <w:tcW w:w="145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50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28,301.89</w:t>
            </w: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100.00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601"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大庆黄和光储实证研究有限公司</w:t>
            </w:r>
          </w:p>
        </w:tc>
        <w:tc>
          <w:tcPr>
            <w:tcW w:w="1787"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会议费</w:t>
            </w:r>
          </w:p>
        </w:tc>
        <w:tc>
          <w:tcPr>
            <w:tcW w:w="1450"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228"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509"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2,830.19</w:t>
            </w:r>
          </w:p>
        </w:tc>
        <w:tc>
          <w:tcPr>
            <w:tcW w:w="1393"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100.00</w:t>
            </w:r>
          </w:p>
        </w:tc>
      </w:tr>
    </w:tbl>
    <w:p>
      <w:pPr>
        <w:pStyle w:val="35"/>
        <w:rPr>
          <w:rFonts w:eastAsiaTheme="minorEastAsia"/>
          <w:color w:val="auto"/>
          <w:highlight w:val="none"/>
        </w:rPr>
      </w:pPr>
      <w:r>
        <w:rPr>
          <w:rFonts w:eastAsiaTheme="minorEastAsia"/>
          <w:color w:val="auto"/>
          <w:highlight w:val="none"/>
        </w:rPr>
        <w:fldChar w:fldCharType="end"/>
      </w:r>
    </w:p>
    <w:p>
      <w:pPr>
        <w:pStyle w:val="44"/>
        <w:rPr>
          <w:color w:val="auto"/>
          <w:highlight w:val="none"/>
        </w:rPr>
      </w:pPr>
      <w:r>
        <w:rPr>
          <w:color w:val="auto"/>
          <w:highlight w:val="none"/>
        </w:rPr>
        <w:t>出售商品/提供劳务情况</w:t>
      </w:r>
    </w:p>
    <w:p>
      <w:pPr>
        <w:pStyle w:val="35"/>
        <w:rPr>
          <w:rFonts w:eastAsiaTheme="minorEastAsia"/>
          <w:color w:val="auto"/>
          <w:highlight w:val="none"/>
        </w:rPr>
      </w:pPr>
      <w:r>
        <w:rPr>
          <w:rFonts w:eastAsiaTheme="minorEastAsia"/>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关联方关系及其交易</w:instrText>
      </w:r>
      <w:r>
        <w:rPr>
          <w:rFonts w:eastAsiaTheme="minorEastAsia"/>
          <w:color w:val="auto"/>
          <w:highlight w:val="none"/>
        </w:rPr>
        <w:instrText xml:space="preserve">!关联方情况4 \f 4 \h \* MERGEFORMAT </w:instrText>
      </w:r>
      <w:r>
        <w:rPr>
          <w:rFonts w:eastAsiaTheme="minorEastAsia"/>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5125"/>
        <w:gridCol w:w="1659"/>
        <w:gridCol w:w="1358"/>
        <w:gridCol w:w="1357"/>
        <w:gridCol w:w="1207"/>
        <w:gridCol w:w="1660"/>
        <w:gridCol w:w="1242"/>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27" w:hRule="atLeast"/>
          <w:tblHeader/>
        </w:trPr>
        <w:tc>
          <w:tcPr>
            <w:tcW w:w="5125"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关联方</w:t>
            </w:r>
          </w:p>
        </w:tc>
        <w:tc>
          <w:tcPr>
            <w:tcW w:w="1659"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关联交易内容</w:t>
            </w:r>
          </w:p>
        </w:tc>
        <w:tc>
          <w:tcPr>
            <w:tcW w:w="1358"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关联交易定价方式及决策程序</w:t>
            </w:r>
          </w:p>
        </w:tc>
        <w:tc>
          <w:tcPr>
            <w:tcW w:w="2564"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本期金额</w:t>
            </w:r>
          </w:p>
        </w:tc>
        <w:tc>
          <w:tcPr>
            <w:tcW w:w="2902"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上期金额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27" w:hRule="atLeast"/>
          <w:tblHeader/>
        </w:trPr>
        <w:tc>
          <w:tcPr>
            <w:tcW w:w="5125"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659"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358"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357"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金额</w:t>
            </w:r>
          </w:p>
        </w:tc>
        <w:tc>
          <w:tcPr>
            <w:tcW w:w="1207"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占同类交易比例（%）</w:t>
            </w:r>
          </w:p>
        </w:tc>
        <w:tc>
          <w:tcPr>
            <w:tcW w:w="1660"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金额</w:t>
            </w:r>
          </w:p>
        </w:tc>
        <w:tc>
          <w:tcPr>
            <w:tcW w:w="1242" w:type="dxa"/>
            <w:shd w:val="clear" w:color="auto" w:fill="auto"/>
            <w:vAlign w:val="center"/>
          </w:tcPr>
          <w:p>
            <w:pPr>
              <w:snapToGrid w:val="0"/>
              <w:spacing w:line="200" w:lineRule="atLeast"/>
              <w:jc w:val="center"/>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占同类交易比例（%）</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27" w:hRule="atLeast"/>
        </w:trPr>
        <w:tc>
          <w:tcPr>
            <w:tcW w:w="5125"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贵州远达金元环保有限公司</w:t>
            </w:r>
          </w:p>
        </w:tc>
        <w:tc>
          <w:tcPr>
            <w:tcW w:w="1659"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委托运营收入</w:t>
            </w:r>
          </w:p>
        </w:tc>
        <w:tc>
          <w:tcPr>
            <w:tcW w:w="1358"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35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143,226,227.24</w:t>
            </w:r>
          </w:p>
        </w:tc>
        <w:tc>
          <w:tcPr>
            <w:tcW w:w="12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100.00</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4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27" w:hRule="atLeast"/>
        </w:trPr>
        <w:tc>
          <w:tcPr>
            <w:tcW w:w="5125"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山东电力工程咨询院有限公司（本部）</w:t>
            </w:r>
          </w:p>
        </w:tc>
        <w:tc>
          <w:tcPr>
            <w:tcW w:w="1659"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监造服务</w:t>
            </w:r>
          </w:p>
        </w:tc>
        <w:tc>
          <w:tcPr>
            <w:tcW w:w="1358"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35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2,359,455.00</w:t>
            </w:r>
          </w:p>
        </w:tc>
        <w:tc>
          <w:tcPr>
            <w:tcW w:w="12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75.23</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4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27" w:hRule="atLeast"/>
        </w:trPr>
        <w:tc>
          <w:tcPr>
            <w:tcW w:w="5125"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贵州黔东电力有限公司</w:t>
            </w:r>
          </w:p>
        </w:tc>
        <w:tc>
          <w:tcPr>
            <w:tcW w:w="1659"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煤炭销售</w:t>
            </w:r>
          </w:p>
        </w:tc>
        <w:tc>
          <w:tcPr>
            <w:tcW w:w="1358"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35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17,962,580.84</w:t>
            </w:r>
          </w:p>
        </w:tc>
        <w:tc>
          <w:tcPr>
            <w:tcW w:w="12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100.00</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4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27" w:hRule="atLeast"/>
        </w:trPr>
        <w:tc>
          <w:tcPr>
            <w:tcW w:w="5125"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贵州黔东电力有限公司</w:t>
            </w:r>
          </w:p>
        </w:tc>
        <w:tc>
          <w:tcPr>
            <w:tcW w:w="1659"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售电业务</w:t>
            </w:r>
          </w:p>
        </w:tc>
        <w:tc>
          <w:tcPr>
            <w:tcW w:w="1358"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35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27,700,993.24</w:t>
            </w:r>
          </w:p>
        </w:tc>
        <w:tc>
          <w:tcPr>
            <w:tcW w:w="12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24.77</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4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27" w:hRule="atLeast"/>
        </w:trPr>
        <w:tc>
          <w:tcPr>
            <w:tcW w:w="5125"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上海上电售电有限公司</w:t>
            </w:r>
          </w:p>
        </w:tc>
        <w:tc>
          <w:tcPr>
            <w:tcW w:w="1659"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其他收入</w:t>
            </w:r>
          </w:p>
        </w:tc>
        <w:tc>
          <w:tcPr>
            <w:tcW w:w="1358"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35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345,826.90</w:t>
            </w:r>
          </w:p>
        </w:tc>
        <w:tc>
          <w:tcPr>
            <w:tcW w:w="12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100.00</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4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27" w:hRule="atLeast"/>
        </w:trPr>
        <w:tc>
          <w:tcPr>
            <w:tcW w:w="5125"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大庆黄和光储实证研究有限公司</w:t>
            </w:r>
          </w:p>
        </w:tc>
        <w:tc>
          <w:tcPr>
            <w:tcW w:w="1659"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培训费</w:t>
            </w:r>
          </w:p>
        </w:tc>
        <w:tc>
          <w:tcPr>
            <w:tcW w:w="1358"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35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75.47</w:t>
            </w:r>
          </w:p>
        </w:tc>
        <w:tc>
          <w:tcPr>
            <w:tcW w:w="12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100.00</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4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27" w:hRule="atLeast"/>
        </w:trPr>
        <w:tc>
          <w:tcPr>
            <w:tcW w:w="5125"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赤峰白音华物流有限公司</w:t>
            </w:r>
          </w:p>
        </w:tc>
        <w:tc>
          <w:tcPr>
            <w:tcW w:w="1659"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培训费</w:t>
            </w:r>
          </w:p>
        </w:tc>
        <w:tc>
          <w:tcPr>
            <w:tcW w:w="1358"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35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31,792.45</w:t>
            </w:r>
          </w:p>
        </w:tc>
        <w:tc>
          <w:tcPr>
            <w:tcW w:w="12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100.00</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4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27" w:hRule="atLeast"/>
        </w:trPr>
        <w:tc>
          <w:tcPr>
            <w:tcW w:w="5125"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国家电投集团内蒙古白音华煤电有限公司赤峰新城热电分公司</w:t>
            </w:r>
          </w:p>
        </w:tc>
        <w:tc>
          <w:tcPr>
            <w:tcW w:w="1659"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培训费</w:t>
            </w:r>
          </w:p>
        </w:tc>
        <w:tc>
          <w:tcPr>
            <w:tcW w:w="1358"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35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114,452.83</w:t>
            </w:r>
          </w:p>
        </w:tc>
        <w:tc>
          <w:tcPr>
            <w:tcW w:w="12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28.20</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4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27" w:hRule="atLeast"/>
        </w:trPr>
        <w:tc>
          <w:tcPr>
            <w:tcW w:w="5125"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国家电投集团内蒙古能源有限公司赤峰热电厂</w:t>
            </w:r>
          </w:p>
        </w:tc>
        <w:tc>
          <w:tcPr>
            <w:tcW w:w="1659"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培训费</w:t>
            </w:r>
          </w:p>
        </w:tc>
        <w:tc>
          <w:tcPr>
            <w:tcW w:w="1358"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35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66,353.92</w:t>
            </w:r>
          </w:p>
        </w:tc>
        <w:tc>
          <w:tcPr>
            <w:tcW w:w="12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25.40</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4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27" w:hRule="atLeast"/>
        </w:trPr>
        <w:tc>
          <w:tcPr>
            <w:tcW w:w="5125"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中国电能成套设备有限公司本部</w:t>
            </w:r>
          </w:p>
        </w:tc>
        <w:tc>
          <w:tcPr>
            <w:tcW w:w="1659"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咨询服务</w:t>
            </w:r>
          </w:p>
        </w:tc>
        <w:tc>
          <w:tcPr>
            <w:tcW w:w="1358"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35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2,188,113.21</w:t>
            </w:r>
          </w:p>
        </w:tc>
        <w:tc>
          <w:tcPr>
            <w:tcW w:w="12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14.72</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4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27" w:hRule="atLeast"/>
        </w:trPr>
        <w:tc>
          <w:tcPr>
            <w:tcW w:w="5125"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贵州黔东电力有限公司</w:t>
            </w:r>
          </w:p>
        </w:tc>
        <w:tc>
          <w:tcPr>
            <w:tcW w:w="1659"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煤炭销售</w:t>
            </w:r>
          </w:p>
        </w:tc>
        <w:tc>
          <w:tcPr>
            <w:tcW w:w="1358"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35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54,557,441.32</w:t>
            </w:r>
          </w:p>
        </w:tc>
        <w:tc>
          <w:tcPr>
            <w:tcW w:w="12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14.10</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4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27" w:hRule="atLeast"/>
        </w:trPr>
        <w:tc>
          <w:tcPr>
            <w:tcW w:w="5125"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山东核电设备制造有限公司（母公司）</w:t>
            </w:r>
          </w:p>
        </w:tc>
        <w:tc>
          <w:tcPr>
            <w:tcW w:w="1659"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培训会议服务</w:t>
            </w:r>
          </w:p>
        </w:tc>
        <w:tc>
          <w:tcPr>
            <w:tcW w:w="1358"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35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127,075.50</w:t>
            </w:r>
          </w:p>
        </w:tc>
        <w:tc>
          <w:tcPr>
            <w:tcW w:w="12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10.51</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4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27" w:hRule="atLeast"/>
        </w:trPr>
        <w:tc>
          <w:tcPr>
            <w:tcW w:w="5125"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内蒙古电投能源机关</w:t>
            </w:r>
          </w:p>
        </w:tc>
        <w:tc>
          <w:tcPr>
            <w:tcW w:w="1659"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培训会议服务</w:t>
            </w:r>
          </w:p>
        </w:tc>
        <w:tc>
          <w:tcPr>
            <w:tcW w:w="1358"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35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63,537.75</w:t>
            </w:r>
          </w:p>
        </w:tc>
        <w:tc>
          <w:tcPr>
            <w:tcW w:w="12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7.05</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4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27" w:hRule="atLeast"/>
        </w:trPr>
        <w:tc>
          <w:tcPr>
            <w:tcW w:w="5125"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内蒙古霍煤鸿骏铝电有限责任公司总公司铝厂侧</w:t>
            </w:r>
          </w:p>
        </w:tc>
        <w:tc>
          <w:tcPr>
            <w:tcW w:w="1659"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培训会议服务</w:t>
            </w:r>
          </w:p>
        </w:tc>
        <w:tc>
          <w:tcPr>
            <w:tcW w:w="1358" w:type="dxa"/>
            <w:shd w:val="clear" w:color="auto" w:fill="auto"/>
            <w:vAlign w:val="center"/>
          </w:tcPr>
          <w:p>
            <w:pPr>
              <w:snapToGrid w:val="0"/>
              <w:spacing w:line="200" w:lineRule="atLeast"/>
              <w:jc w:val="lef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市场价</w:t>
            </w:r>
          </w:p>
        </w:tc>
        <w:tc>
          <w:tcPr>
            <w:tcW w:w="135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47,358.50</w:t>
            </w:r>
          </w:p>
        </w:tc>
        <w:tc>
          <w:tcPr>
            <w:tcW w:w="1207"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r>
              <w:rPr>
                <w:rFonts w:ascii="Times New Roman" w:hAnsi="Times New Roman" w:eastAsia="宋体" w:cs="Times New Roman"/>
                <w:color w:val="auto"/>
                <w:sz w:val="16"/>
                <w:szCs w:val="15"/>
                <w:highlight w:val="none"/>
              </w:rPr>
              <w:t>0.02</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c>
          <w:tcPr>
            <w:tcW w:w="1242" w:type="dxa"/>
            <w:shd w:val="clear" w:color="auto" w:fill="auto"/>
            <w:vAlign w:val="center"/>
          </w:tcPr>
          <w:p>
            <w:pPr>
              <w:snapToGrid w:val="0"/>
              <w:spacing w:line="200" w:lineRule="atLeast"/>
              <w:jc w:val="right"/>
              <w:rPr>
                <w:rFonts w:ascii="Times New Roman" w:hAnsi="Times New Roman" w:eastAsia="宋体" w:cs="Times New Roman"/>
                <w:color w:val="auto"/>
                <w:sz w:val="16"/>
                <w:szCs w:val="15"/>
                <w:highlight w:val="none"/>
              </w:rPr>
            </w:pPr>
          </w:p>
        </w:tc>
      </w:tr>
    </w:tbl>
    <w:p>
      <w:pPr>
        <w:pStyle w:val="35"/>
        <w:rPr>
          <w:rFonts w:eastAsiaTheme="minorEastAsia"/>
          <w:color w:val="auto"/>
          <w:highlight w:val="none"/>
        </w:rPr>
        <w:sectPr>
          <w:pgSz w:w="16839" w:h="11907" w:orient="landscape"/>
          <w:pgMar w:top="1797" w:right="1440" w:bottom="1797" w:left="1440" w:header="680" w:footer="992" w:gutter="0"/>
          <w:cols w:space="425" w:num="1"/>
          <w:docGrid w:linePitch="312" w:charSpace="0"/>
        </w:sectPr>
      </w:pPr>
      <w:r>
        <w:rPr>
          <w:rFonts w:eastAsiaTheme="minorEastAsia"/>
          <w:color w:val="auto"/>
          <w:highlight w:val="none"/>
        </w:rPr>
        <w:fldChar w:fldCharType="end"/>
      </w:r>
    </w:p>
    <w:p>
      <w:pPr>
        <w:pStyle w:val="44"/>
        <w:rPr>
          <w:rFonts w:eastAsiaTheme="minorEastAsia"/>
          <w:color w:val="auto"/>
          <w:highlight w:val="none"/>
        </w:rPr>
      </w:pPr>
      <w:r>
        <w:rPr>
          <w:rFonts w:eastAsiaTheme="minorEastAsia"/>
          <w:color w:val="auto"/>
          <w:highlight w:val="none"/>
        </w:rPr>
        <w:t>关联方资金拆借</w:t>
      </w:r>
    </w:p>
    <w:p>
      <w:pPr>
        <w:pStyle w:val="35"/>
        <w:rPr>
          <w:rFonts w:eastAsiaTheme="minorEastAsia"/>
          <w:b/>
          <w:bCs/>
          <w:color w:val="auto"/>
          <w:highlight w:val="none"/>
        </w:rPr>
      </w:pPr>
      <w:r>
        <w:rPr>
          <w:color w:val="auto"/>
          <w:highlight w:val="none"/>
        </w:rPr>
        <w:t>向关联方拆入资金</w:t>
      </w:r>
    </w:p>
    <w:p>
      <w:pPr>
        <w:pStyle w:val="35"/>
        <w:rPr>
          <w:rFonts w:eastAsiaTheme="minorEastAsia"/>
          <w:color w:val="auto"/>
          <w:highlight w:val="none"/>
        </w:rPr>
      </w:pPr>
      <w:r>
        <w:rPr>
          <w:rFonts w:eastAsiaTheme="minorEastAsia"/>
          <w:b/>
          <w:bCs/>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关联方关系及其交易</w:instrText>
      </w:r>
      <w:r>
        <w:rPr>
          <w:rFonts w:eastAsiaTheme="minorEastAsia"/>
          <w:color w:val="auto"/>
          <w:highlight w:val="none"/>
        </w:rPr>
        <w:instrText xml:space="preserve">!关联方情况1</w:instrText>
      </w:r>
      <w:r>
        <w:rPr>
          <w:rFonts w:hint="eastAsia" w:eastAsiaTheme="minorEastAsia"/>
          <w:color w:val="auto"/>
          <w:highlight w:val="none"/>
        </w:rPr>
        <w:instrText xml:space="preserve">0</w:instrText>
      </w:r>
      <w:r>
        <w:rPr>
          <w:rFonts w:eastAsiaTheme="minorEastAsia"/>
          <w:color w:val="auto"/>
          <w:highlight w:val="none"/>
        </w:rPr>
        <w:instrText xml:space="preserve"> \f 4 \h \* MERGEFORMAT </w:instrText>
      </w:r>
      <w:r>
        <w:rPr>
          <w:rFonts w:eastAsiaTheme="minorEastAsia"/>
          <w:b/>
          <w:bCs/>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1520"/>
        <w:gridCol w:w="1371"/>
        <w:gridCol w:w="1219"/>
        <w:gridCol w:w="1372"/>
        <w:gridCol w:w="2706"/>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52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关联方</w:t>
            </w:r>
          </w:p>
        </w:tc>
        <w:tc>
          <w:tcPr>
            <w:tcW w:w="1371"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拆入金额</w:t>
            </w:r>
          </w:p>
        </w:tc>
        <w:tc>
          <w:tcPr>
            <w:tcW w:w="1219"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起始日</w:t>
            </w:r>
          </w:p>
        </w:tc>
        <w:tc>
          <w:tcPr>
            <w:tcW w:w="137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到期日</w:t>
            </w:r>
          </w:p>
        </w:tc>
        <w:tc>
          <w:tcPr>
            <w:tcW w:w="2706"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说明</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52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国家电投集团财务有限公司</w:t>
            </w:r>
          </w:p>
        </w:tc>
        <w:tc>
          <w:tcPr>
            <w:tcW w:w="137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970,000,000.00</w:t>
            </w:r>
          </w:p>
        </w:tc>
        <w:tc>
          <w:tcPr>
            <w:tcW w:w="1219"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2024/6/14</w:t>
            </w:r>
          </w:p>
        </w:tc>
        <w:tc>
          <w:tcPr>
            <w:tcW w:w="137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2025/6/13</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短期借款，利率2.90%，2024年利息支出15,490,767.12元。</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52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国家电投集团财务有限公司</w:t>
            </w:r>
          </w:p>
        </w:tc>
        <w:tc>
          <w:tcPr>
            <w:tcW w:w="137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900,000,000.00</w:t>
            </w:r>
          </w:p>
        </w:tc>
        <w:tc>
          <w:tcPr>
            <w:tcW w:w="1219"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2024/2/7</w:t>
            </w:r>
          </w:p>
        </w:tc>
        <w:tc>
          <w:tcPr>
            <w:tcW w:w="137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2026/2/6</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长期借款，利率3.00%，2024年利息支出24,336,986.30元。</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52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国家电投集团财务有限公司</w:t>
            </w:r>
          </w:p>
        </w:tc>
        <w:tc>
          <w:tcPr>
            <w:tcW w:w="137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400,000,000.00</w:t>
            </w:r>
          </w:p>
        </w:tc>
        <w:tc>
          <w:tcPr>
            <w:tcW w:w="1219"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2024/12/10</w:t>
            </w:r>
          </w:p>
        </w:tc>
        <w:tc>
          <w:tcPr>
            <w:tcW w:w="137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2025/12/9</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短期借款，利率2.50%，2024年利息支出602,739.73元。</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52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国家电投集团财务有限公司</w:t>
            </w:r>
          </w:p>
        </w:tc>
        <w:tc>
          <w:tcPr>
            <w:tcW w:w="137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360,000,000.00</w:t>
            </w:r>
          </w:p>
        </w:tc>
        <w:tc>
          <w:tcPr>
            <w:tcW w:w="1219"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2024/12/26</w:t>
            </w:r>
          </w:p>
        </w:tc>
        <w:tc>
          <w:tcPr>
            <w:tcW w:w="137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2025/1/25</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短期借款，利率2.90%，2024年利息支出171,616.44元。</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52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国家电投集团财务有限公司</w:t>
            </w:r>
          </w:p>
        </w:tc>
        <w:tc>
          <w:tcPr>
            <w:tcW w:w="137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310,000,000.00</w:t>
            </w:r>
          </w:p>
        </w:tc>
        <w:tc>
          <w:tcPr>
            <w:tcW w:w="1219"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2024/8/20</w:t>
            </w:r>
          </w:p>
        </w:tc>
        <w:tc>
          <w:tcPr>
            <w:tcW w:w="137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2026/8/19</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长期借款，利率2.00%，2024年利息支出2,276,164.38元。</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52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国家电投集团财务有限公司</w:t>
            </w:r>
          </w:p>
        </w:tc>
        <w:tc>
          <w:tcPr>
            <w:tcW w:w="137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300,000,000.00</w:t>
            </w:r>
          </w:p>
        </w:tc>
        <w:tc>
          <w:tcPr>
            <w:tcW w:w="1219"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2024/8/16</w:t>
            </w:r>
          </w:p>
        </w:tc>
        <w:tc>
          <w:tcPr>
            <w:tcW w:w="137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2026/8/15</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长期借款，利率2.00%，2024年利息支出2,268,493.15元。</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52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国家电投集团财务有限公司</w:t>
            </w:r>
          </w:p>
        </w:tc>
        <w:tc>
          <w:tcPr>
            <w:tcW w:w="137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300,000,000.00</w:t>
            </w:r>
          </w:p>
        </w:tc>
        <w:tc>
          <w:tcPr>
            <w:tcW w:w="1219"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2024/6/14</w:t>
            </w:r>
          </w:p>
        </w:tc>
        <w:tc>
          <w:tcPr>
            <w:tcW w:w="137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2025/6/13</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短期借款，利率2.65%，2024年利息支出4,377,945.21元。</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52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国家电投集团财务有限公司</w:t>
            </w:r>
          </w:p>
        </w:tc>
        <w:tc>
          <w:tcPr>
            <w:tcW w:w="137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200,000,000.00</w:t>
            </w:r>
          </w:p>
        </w:tc>
        <w:tc>
          <w:tcPr>
            <w:tcW w:w="1219"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2024/12/25</w:t>
            </w:r>
          </w:p>
        </w:tc>
        <w:tc>
          <w:tcPr>
            <w:tcW w:w="137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2025/12/24</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短期借款，利率2.50%，2024年利息支出95,890.41元。</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52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国家电投集团财务有限公司</w:t>
            </w:r>
          </w:p>
        </w:tc>
        <w:tc>
          <w:tcPr>
            <w:tcW w:w="137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200,000,000.00</w:t>
            </w:r>
          </w:p>
        </w:tc>
        <w:tc>
          <w:tcPr>
            <w:tcW w:w="1219"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2024/7/5</w:t>
            </w:r>
          </w:p>
        </w:tc>
        <w:tc>
          <w:tcPr>
            <w:tcW w:w="137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2025/7/4</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短期借款，利率2.65%，2024年利息支出2,613,698.63元。</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52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国家电投集团财务有限公司</w:t>
            </w:r>
          </w:p>
        </w:tc>
        <w:tc>
          <w:tcPr>
            <w:tcW w:w="137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40,000,000.00</w:t>
            </w:r>
          </w:p>
        </w:tc>
        <w:tc>
          <w:tcPr>
            <w:tcW w:w="1219"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2024/9/29</w:t>
            </w:r>
          </w:p>
        </w:tc>
        <w:tc>
          <w:tcPr>
            <w:tcW w:w="137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2025/3/28</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短期借款，利率2.90%，2024年利息支出298,739.73元。</w:t>
            </w:r>
          </w:p>
        </w:tc>
      </w:tr>
    </w:tbl>
    <w:p>
      <w:pPr>
        <w:pStyle w:val="35"/>
        <w:rPr>
          <w:rFonts w:eastAsiaTheme="minorEastAsia"/>
          <w:color w:val="auto"/>
          <w:highlight w:val="none"/>
        </w:rPr>
      </w:pPr>
      <w:r>
        <w:rPr>
          <w:rFonts w:eastAsiaTheme="minorEastAsia"/>
          <w:color w:val="auto"/>
          <w:highlight w:val="none"/>
        </w:rPr>
        <w:fldChar w:fldCharType="end"/>
      </w:r>
    </w:p>
    <w:p>
      <w:pPr>
        <w:pStyle w:val="35"/>
        <w:rPr>
          <w:rFonts w:eastAsiaTheme="minorEastAsia"/>
          <w:color w:val="auto"/>
          <w:highlight w:val="none"/>
        </w:rPr>
      </w:pPr>
      <w:r>
        <w:rPr>
          <w:color w:val="auto"/>
          <w:highlight w:val="none"/>
        </w:rPr>
        <w:t>向关联方拆出资金</w:t>
      </w:r>
    </w:p>
    <w:p>
      <w:pPr>
        <w:pStyle w:val="35"/>
        <w:rPr>
          <w:rFonts w:asciiTheme="minorHAnsi" w:hAnsiTheme="minorHAnsi" w:eastAsiaTheme="minorEastAsia" w:cstheme="minorBidi"/>
          <w:color w:val="auto"/>
          <w:highlight w:val="none"/>
        </w:rPr>
      </w:pPr>
      <w:r>
        <w:rPr>
          <w:rFonts w:eastAsiaTheme="minorEastAsia"/>
          <w:color w:val="auto"/>
          <w:highlight w:val="none"/>
        </w:rPr>
        <w:fldChar w:fldCharType="begin"/>
      </w:r>
      <w:r>
        <w:rPr>
          <w:rFonts w:eastAsiaTheme="minorEastAsia"/>
          <w:color w:val="auto"/>
          <w:highlight w:val="none"/>
        </w:rPr>
        <w:instrText xml:space="preserve"> LINK Excel.SheetMacroEnabled.12 "D:\\tonylee\\立信\\新附注排版工具\\2015央企年报格式\\中央企业财务报表和报表附注20160818V2.xlsm" "关联方关系及其交易!关联方情况11" \f 4 \h \* MERGEFORMAT </w:instrText>
      </w:r>
      <w:r>
        <w:rPr>
          <w:rFonts w:eastAsiaTheme="minorEastAsia"/>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1520"/>
        <w:gridCol w:w="1371"/>
        <w:gridCol w:w="1219"/>
        <w:gridCol w:w="1372"/>
        <w:gridCol w:w="2706"/>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52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关联方</w:t>
            </w:r>
          </w:p>
        </w:tc>
        <w:tc>
          <w:tcPr>
            <w:tcW w:w="1371"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拆出金额</w:t>
            </w:r>
          </w:p>
        </w:tc>
        <w:tc>
          <w:tcPr>
            <w:tcW w:w="1219"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起始日</w:t>
            </w:r>
          </w:p>
        </w:tc>
        <w:tc>
          <w:tcPr>
            <w:tcW w:w="137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到期日</w:t>
            </w:r>
          </w:p>
        </w:tc>
        <w:tc>
          <w:tcPr>
            <w:tcW w:w="2706"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说明</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52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贵州金益煤炭开发有限公司</w:t>
            </w:r>
          </w:p>
        </w:tc>
        <w:tc>
          <w:tcPr>
            <w:tcW w:w="137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230,000,000.00</w:t>
            </w:r>
          </w:p>
        </w:tc>
        <w:tc>
          <w:tcPr>
            <w:tcW w:w="1219"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2024/3/5</w:t>
            </w:r>
          </w:p>
        </w:tc>
        <w:tc>
          <w:tcPr>
            <w:tcW w:w="137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2025/3/4</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债权投资，利率 3.50%，2024 年利息收入6,660,547.95元。</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52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贵州金益煤炭开发有限公司</w:t>
            </w:r>
          </w:p>
        </w:tc>
        <w:tc>
          <w:tcPr>
            <w:tcW w:w="137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90,000,000.00</w:t>
            </w:r>
          </w:p>
        </w:tc>
        <w:tc>
          <w:tcPr>
            <w:tcW w:w="1219"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2024/12/13</w:t>
            </w:r>
          </w:p>
        </w:tc>
        <w:tc>
          <w:tcPr>
            <w:tcW w:w="137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2025/1/12</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债权投资，利率 3.20%，2024 年利息收入149,917.81元。</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52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贵州林华矿业有限公司</w:t>
            </w:r>
          </w:p>
        </w:tc>
        <w:tc>
          <w:tcPr>
            <w:tcW w:w="137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460,000,000.00</w:t>
            </w:r>
          </w:p>
        </w:tc>
        <w:tc>
          <w:tcPr>
            <w:tcW w:w="1219"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2024/3/1</w:t>
            </w:r>
          </w:p>
        </w:tc>
        <w:tc>
          <w:tcPr>
            <w:tcW w:w="137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2025/3/1</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债权投资，利率 3.50%，2024 年利息收入13,497,534.25元。</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52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贵州林华矿业有限公司</w:t>
            </w:r>
          </w:p>
        </w:tc>
        <w:tc>
          <w:tcPr>
            <w:tcW w:w="1371"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204,000,000.00</w:t>
            </w:r>
          </w:p>
        </w:tc>
        <w:tc>
          <w:tcPr>
            <w:tcW w:w="1219"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2024/12/27</w:t>
            </w:r>
          </w:p>
        </w:tc>
        <w:tc>
          <w:tcPr>
            <w:tcW w:w="137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2025/3/26</w:t>
            </w:r>
          </w:p>
        </w:tc>
        <w:tc>
          <w:tcPr>
            <w:tcW w:w="2706"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债权投资，利率 3.20%，2024 年利息收入89,424.66元。</w:t>
            </w:r>
          </w:p>
        </w:tc>
      </w:tr>
    </w:tbl>
    <w:p>
      <w:pPr>
        <w:pStyle w:val="35"/>
        <w:rPr>
          <w:rFonts w:eastAsiaTheme="minorEastAsia"/>
          <w:color w:val="auto"/>
          <w:highlight w:val="none"/>
        </w:rPr>
      </w:pPr>
      <w:r>
        <w:rPr>
          <w:rFonts w:eastAsiaTheme="minorEastAsia"/>
          <w:color w:val="auto"/>
          <w:highlight w:val="none"/>
        </w:rPr>
        <w:fldChar w:fldCharType="end"/>
      </w:r>
    </w:p>
    <w:p>
      <w:pPr>
        <w:pStyle w:val="35"/>
        <w:rPr>
          <w:rFonts w:eastAsiaTheme="minorEastAsia"/>
          <w:color w:val="auto"/>
          <w:highlight w:val="none"/>
        </w:rPr>
      </w:pPr>
    </w:p>
    <w:p>
      <w:pPr>
        <w:pStyle w:val="35"/>
        <w:rPr>
          <w:color w:val="auto"/>
          <w:highlight w:val="none"/>
        </w:rPr>
        <w:sectPr>
          <w:pgSz w:w="11907" w:h="16839"/>
          <w:pgMar w:top="1440" w:right="1797" w:bottom="1440" w:left="1797" w:header="680" w:footer="992" w:gutter="0"/>
          <w:cols w:space="425" w:num="1"/>
          <w:docGrid w:linePitch="312" w:charSpace="0"/>
        </w:sectPr>
      </w:pPr>
    </w:p>
    <w:p>
      <w:pPr>
        <w:pStyle w:val="37"/>
        <w:rPr>
          <w:rFonts w:eastAsiaTheme="minorEastAsia"/>
          <w:color w:val="auto"/>
          <w:highlight w:val="none"/>
        </w:rPr>
      </w:pPr>
      <w:r>
        <w:rPr>
          <w:rFonts w:eastAsiaTheme="minorEastAsia"/>
          <w:color w:val="auto"/>
          <w:highlight w:val="none"/>
        </w:rPr>
        <w:t>关联方应收应付款项</w:t>
      </w:r>
    </w:p>
    <w:p>
      <w:pPr>
        <w:pStyle w:val="44"/>
        <w:rPr>
          <w:rFonts w:eastAsiaTheme="minorEastAsia"/>
          <w:color w:val="auto"/>
          <w:highlight w:val="none"/>
        </w:rPr>
      </w:pPr>
      <w:r>
        <w:rPr>
          <w:color w:val="auto"/>
          <w:highlight w:val="none"/>
        </w:rPr>
        <w:t>本公司应收关联方款项</w:t>
      </w:r>
    </w:p>
    <w:p>
      <w:pPr>
        <w:pStyle w:val="35"/>
        <w:rPr>
          <w:rFonts w:eastAsiaTheme="minorEastAsia"/>
          <w:color w:val="auto"/>
          <w:highlight w:val="none"/>
        </w:rPr>
      </w:pPr>
      <w:r>
        <w:rPr>
          <w:rFonts w:eastAsiaTheme="minorEastAsia"/>
          <w:b/>
          <w:bCs/>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关联方关系及其交易</w:instrText>
      </w:r>
      <w:r>
        <w:rPr>
          <w:rFonts w:eastAsiaTheme="minorEastAsia"/>
          <w:color w:val="auto"/>
          <w:highlight w:val="none"/>
        </w:rPr>
        <w:instrText xml:space="preserve">!关联方情况14 \f 4 \h \* MERGEFORMAT </w:instrText>
      </w:r>
      <w:r>
        <w:rPr>
          <w:rFonts w:eastAsiaTheme="minorEastAsia"/>
          <w:b/>
          <w:bCs/>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1573"/>
        <w:gridCol w:w="4800"/>
        <w:gridCol w:w="1422"/>
        <w:gridCol w:w="1357"/>
        <w:gridCol w:w="1422"/>
        <w:gridCol w:w="1504"/>
        <w:gridCol w:w="748"/>
        <w:gridCol w:w="782"/>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573"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项目名称</w:t>
            </w:r>
          </w:p>
        </w:tc>
        <w:tc>
          <w:tcPr>
            <w:tcW w:w="4800"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关联方</w:t>
            </w:r>
          </w:p>
        </w:tc>
        <w:tc>
          <w:tcPr>
            <w:tcW w:w="2779"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期末余额</w:t>
            </w:r>
          </w:p>
        </w:tc>
        <w:tc>
          <w:tcPr>
            <w:tcW w:w="2926"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期初余额</w:t>
            </w:r>
          </w:p>
        </w:tc>
        <w:tc>
          <w:tcPr>
            <w:tcW w:w="748"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条款和条件</w:t>
            </w:r>
          </w:p>
        </w:tc>
        <w:tc>
          <w:tcPr>
            <w:tcW w:w="782"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是否取得担保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573"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4800"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42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账面余额</w:t>
            </w:r>
          </w:p>
        </w:tc>
        <w:tc>
          <w:tcPr>
            <w:tcW w:w="1357"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坏账准备</w:t>
            </w:r>
          </w:p>
        </w:tc>
        <w:tc>
          <w:tcPr>
            <w:tcW w:w="142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账面余额</w:t>
            </w:r>
          </w:p>
        </w:tc>
        <w:tc>
          <w:tcPr>
            <w:tcW w:w="1504"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坏账准备</w:t>
            </w:r>
          </w:p>
        </w:tc>
        <w:tc>
          <w:tcPr>
            <w:tcW w:w="748"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782"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57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货币资金</w:t>
            </w:r>
          </w:p>
        </w:tc>
        <w:tc>
          <w:tcPr>
            <w:tcW w:w="480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142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35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42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0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74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78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57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480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国家电投集团财务有限公司</w:t>
            </w:r>
          </w:p>
        </w:tc>
        <w:tc>
          <w:tcPr>
            <w:tcW w:w="142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1,374,221,779.51</w:t>
            </w:r>
          </w:p>
        </w:tc>
        <w:tc>
          <w:tcPr>
            <w:tcW w:w="135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42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688,243,104.95</w:t>
            </w:r>
          </w:p>
        </w:tc>
        <w:tc>
          <w:tcPr>
            <w:tcW w:w="150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74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无</w:t>
            </w:r>
          </w:p>
        </w:tc>
        <w:tc>
          <w:tcPr>
            <w:tcW w:w="78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57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预付款项</w:t>
            </w:r>
          </w:p>
        </w:tc>
        <w:tc>
          <w:tcPr>
            <w:tcW w:w="480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142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35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42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0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74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78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57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480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国家电力投资集团有限公司物资装备分公司</w:t>
            </w:r>
          </w:p>
        </w:tc>
        <w:tc>
          <w:tcPr>
            <w:tcW w:w="142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91,370,936.16</w:t>
            </w:r>
          </w:p>
        </w:tc>
        <w:tc>
          <w:tcPr>
            <w:tcW w:w="135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42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139,252,634.12</w:t>
            </w:r>
          </w:p>
        </w:tc>
        <w:tc>
          <w:tcPr>
            <w:tcW w:w="150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74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无</w:t>
            </w:r>
          </w:p>
        </w:tc>
        <w:tc>
          <w:tcPr>
            <w:tcW w:w="78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57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其他应收款</w:t>
            </w:r>
          </w:p>
        </w:tc>
        <w:tc>
          <w:tcPr>
            <w:tcW w:w="480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142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35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42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0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74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78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57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480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贵州泰元能源有限责任公司</w:t>
            </w:r>
          </w:p>
        </w:tc>
        <w:tc>
          <w:tcPr>
            <w:tcW w:w="142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984,552,540.17</w:t>
            </w:r>
          </w:p>
        </w:tc>
        <w:tc>
          <w:tcPr>
            <w:tcW w:w="135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983,125,484.48</w:t>
            </w:r>
          </w:p>
        </w:tc>
        <w:tc>
          <w:tcPr>
            <w:tcW w:w="142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990,555,354.52</w:t>
            </w:r>
          </w:p>
        </w:tc>
        <w:tc>
          <w:tcPr>
            <w:tcW w:w="150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983,125,484.48</w:t>
            </w:r>
          </w:p>
        </w:tc>
        <w:tc>
          <w:tcPr>
            <w:tcW w:w="74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无</w:t>
            </w:r>
          </w:p>
        </w:tc>
        <w:tc>
          <w:tcPr>
            <w:tcW w:w="78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57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债权投资</w:t>
            </w:r>
          </w:p>
        </w:tc>
        <w:tc>
          <w:tcPr>
            <w:tcW w:w="480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142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35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42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0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74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78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57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480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贵州鸭溪发电有限公司</w:t>
            </w:r>
          </w:p>
        </w:tc>
        <w:tc>
          <w:tcPr>
            <w:tcW w:w="142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2,240,481,000.00</w:t>
            </w:r>
          </w:p>
        </w:tc>
        <w:tc>
          <w:tcPr>
            <w:tcW w:w="135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42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2,335,481,000.00</w:t>
            </w:r>
          </w:p>
        </w:tc>
        <w:tc>
          <w:tcPr>
            <w:tcW w:w="150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74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无</w:t>
            </w:r>
          </w:p>
        </w:tc>
        <w:tc>
          <w:tcPr>
            <w:tcW w:w="78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57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长期应收款</w:t>
            </w:r>
          </w:p>
        </w:tc>
        <w:tc>
          <w:tcPr>
            <w:tcW w:w="480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142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35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42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0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74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78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57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4800"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贵州泰元能源有限责任公司</w:t>
            </w:r>
          </w:p>
        </w:tc>
        <w:tc>
          <w:tcPr>
            <w:tcW w:w="142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666,811,100.00</w:t>
            </w:r>
          </w:p>
        </w:tc>
        <w:tc>
          <w:tcPr>
            <w:tcW w:w="1357"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666,811,100.00</w:t>
            </w:r>
          </w:p>
        </w:tc>
        <w:tc>
          <w:tcPr>
            <w:tcW w:w="1422"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666,811,100.00</w:t>
            </w:r>
          </w:p>
        </w:tc>
        <w:tc>
          <w:tcPr>
            <w:tcW w:w="1504"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666,811,100.00</w:t>
            </w:r>
          </w:p>
        </w:tc>
        <w:tc>
          <w:tcPr>
            <w:tcW w:w="748"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无</w:t>
            </w:r>
          </w:p>
        </w:tc>
        <w:tc>
          <w:tcPr>
            <w:tcW w:w="782"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否</w:t>
            </w:r>
          </w:p>
        </w:tc>
      </w:tr>
    </w:tbl>
    <w:p>
      <w:pPr>
        <w:pStyle w:val="35"/>
        <w:rPr>
          <w:rFonts w:asciiTheme="minorEastAsia" w:hAnsiTheme="minorEastAsia" w:eastAsiaTheme="minorEastAsia"/>
          <w:color w:val="auto"/>
          <w:highlight w:val="none"/>
        </w:rPr>
      </w:pPr>
      <w:r>
        <w:rPr>
          <w:rFonts w:eastAsiaTheme="minorEastAsia"/>
          <w:color w:val="auto"/>
          <w:highlight w:val="none"/>
        </w:rPr>
        <w:fldChar w:fldCharType="end"/>
      </w:r>
    </w:p>
    <w:p>
      <w:pPr>
        <w:pStyle w:val="35"/>
        <w:rPr>
          <w:rFonts w:eastAsiaTheme="minorEastAsia"/>
          <w:color w:val="auto"/>
          <w:highlight w:val="none"/>
        </w:rPr>
      </w:pPr>
      <w:r>
        <w:rPr>
          <w:rFonts w:eastAsiaTheme="minorEastAsia"/>
          <w:color w:val="auto"/>
          <w:highlight w:val="none"/>
        </w:rPr>
        <w:br w:type="page"/>
      </w:r>
    </w:p>
    <w:p>
      <w:pPr>
        <w:pStyle w:val="44"/>
        <w:rPr>
          <w:rFonts w:eastAsiaTheme="minorEastAsia"/>
          <w:color w:val="auto"/>
          <w:highlight w:val="none"/>
        </w:rPr>
      </w:pPr>
      <w:r>
        <w:rPr>
          <w:color w:val="auto"/>
          <w:highlight w:val="none"/>
        </w:rPr>
        <w:t>本公司应付关联方款项</w:t>
      </w:r>
    </w:p>
    <w:p>
      <w:pPr>
        <w:pStyle w:val="35"/>
        <w:rPr>
          <w:rFonts w:eastAsiaTheme="minorEastAsia"/>
          <w:color w:val="auto"/>
          <w:highlight w:val="none"/>
        </w:rPr>
      </w:pPr>
      <w:r>
        <w:rPr>
          <w:rFonts w:eastAsiaTheme="minorEastAsia"/>
          <w:b/>
          <w:bCs/>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关联方关系及其交易</w:instrText>
      </w:r>
      <w:r>
        <w:rPr>
          <w:rFonts w:eastAsiaTheme="minorEastAsia"/>
          <w:color w:val="auto"/>
          <w:highlight w:val="none"/>
        </w:rPr>
        <w:instrText xml:space="preserve">!关联方情况15 \f 4 \h \* MERGEFORMAT </w:instrText>
      </w:r>
      <w:r>
        <w:rPr>
          <w:rFonts w:eastAsiaTheme="minorEastAsia"/>
          <w:b/>
          <w:bCs/>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2401"/>
        <w:gridCol w:w="6494"/>
        <w:gridCol w:w="1660"/>
        <w:gridCol w:w="1508"/>
        <w:gridCol w:w="755"/>
        <w:gridCol w:w="790"/>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2401"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项目名称</w:t>
            </w:r>
          </w:p>
        </w:tc>
        <w:tc>
          <w:tcPr>
            <w:tcW w:w="6494"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关联方</w:t>
            </w:r>
          </w:p>
        </w:tc>
        <w:tc>
          <w:tcPr>
            <w:tcW w:w="166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期末余额</w:t>
            </w:r>
          </w:p>
        </w:tc>
        <w:tc>
          <w:tcPr>
            <w:tcW w:w="1508"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期初余额</w:t>
            </w:r>
          </w:p>
        </w:tc>
        <w:tc>
          <w:tcPr>
            <w:tcW w:w="75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条款和条件</w:t>
            </w:r>
          </w:p>
        </w:tc>
        <w:tc>
          <w:tcPr>
            <w:tcW w:w="79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是否提供担保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0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应付账款</w:t>
            </w:r>
          </w:p>
        </w:tc>
        <w:tc>
          <w:tcPr>
            <w:tcW w:w="649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755"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79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0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649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国家电力投资集团公司物资装备分公司</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114,991,754.18</w:t>
            </w:r>
          </w:p>
        </w:tc>
        <w:tc>
          <w:tcPr>
            <w:tcW w:w="15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26,602,611.18</w:t>
            </w:r>
          </w:p>
        </w:tc>
        <w:tc>
          <w:tcPr>
            <w:tcW w:w="75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无</w:t>
            </w:r>
          </w:p>
        </w:tc>
        <w:tc>
          <w:tcPr>
            <w:tcW w:w="79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0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649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国家电投集团远达环保工程有限公司</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46,440,108.45</w:t>
            </w:r>
          </w:p>
        </w:tc>
        <w:tc>
          <w:tcPr>
            <w:tcW w:w="15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50,618,380.00</w:t>
            </w:r>
          </w:p>
        </w:tc>
        <w:tc>
          <w:tcPr>
            <w:tcW w:w="75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无</w:t>
            </w:r>
          </w:p>
        </w:tc>
        <w:tc>
          <w:tcPr>
            <w:tcW w:w="79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0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649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山东中电新能源工程有限公司</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30,804,519.20</w:t>
            </w:r>
          </w:p>
        </w:tc>
        <w:tc>
          <w:tcPr>
            <w:tcW w:w="15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75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无</w:t>
            </w:r>
          </w:p>
        </w:tc>
        <w:tc>
          <w:tcPr>
            <w:tcW w:w="79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0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649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新源智储能源发展（北京）有限公司</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29,727,188.60</w:t>
            </w:r>
          </w:p>
        </w:tc>
        <w:tc>
          <w:tcPr>
            <w:tcW w:w="15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442,983,385.00</w:t>
            </w:r>
          </w:p>
        </w:tc>
        <w:tc>
          <w:tcPr>
            <w:tcW w:w="75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无</w:t>
            </w:r>
          </w:p>
        </w:tc>
        <w:tc>
          <w:tcPr>
            <w:tcW w:w="79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0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649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上海发电设备成套设计研究院有限责任公司</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9,888,008.60</w:t>
            </w:r>
          </w:p>
        </w:tc>
        <w:tc>
          <w:tcPr>
            <w:tcW w:w="15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7,392,000.00</w:t>
            </w:r>
          </w:p>
        </w:tc>
        <w:tc>
          <w:tcPr>
            <w:tcW w:w="75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无</w:t>
            </w:r>
          </w:p>
        </w:tc>
        <w:tc>
          <w:tcPr>
            <w:tcW w:w="79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0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649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上海启源芯动力科技有限公司</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4,304,293.33</w:t>
            </w:r>
          </w:p>
        </w:tc>
        <w:tc>
          <w:tcPr>
            <w:tcW w:w="15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75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无</w:t>
            </w:r>
          </w:p>
        </w:tc>
        <w:tc>
          <w:tcPr>
            <w:tcW w:w="79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0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649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国核电站运行服务技术有限公司</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946,900.00</w:t>
            </w:r>
          </w:p>
        </w:tc>
        <w:tc>
          <w:tcPr>
            <w:tcW w:w="15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2,771,650.00</w:t>
            </w:r>
          </w:p>
        </w:tc>
        <w:tc>
          <w:tcPr>
            <w:tcW w:w="75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无</w:t>
            </w:r>
          </w:p>
        </w:tc>
        <w:tc>
          <w:tcPr>
            <w:tcW w:w="79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0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649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国核电力规划设计研究院有限公司</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339,450.00</w:t>
            </w:r>
          </w:p>
        </w:tc>
        <w:tc>
          <w:tcPr>
            <w:tcW w:w="15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524,000.00</w:t>
            </w:r>
          </w:p>
        </w:tc>
        <w:tc>
          <w:tcPr>
            <w:tcW w:w="75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无</w:t>
            </w:r>
          </w:p>
        </w:tc>
        <w:tc>
          <w:tcPr>
            <w:tcW w:w="79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0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649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国家电投集团北京电能碳资产管理有限公司</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300,000.00</w:t>
            </w:r>
          </w:p>
        </w:tc>
        <w:tc>
          <w:tcPr>
            <w:tcW w:w="15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250,000.00</w:t>
            </w:r>
          </w:p>
        </w:tc>
        <w:tc>
          <w:tcPr>
            <w:tcW w:w="75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无</w:t>
            </w:r>
          </w:p>
        </w:tc>
        <w:tc>
          <w:tcPr>
            <w:tcW w:w="79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0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649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国家电投集团远达环保催化剂有限公司</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120,903.00</w:t>
            </w:r>
          </w:p>
        </w:tc>
        <w:tc>
          <w:tcPr>
            <w:tcW w:w="15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146,487.00</w:t>
            </w:r>
          </w:p>
        </w:tc>
        <w:tc>
          <w:tcPr>
            <w:tcW w:w="75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无</w:t>
            </w:r>
          </w:p>
        </w:tc>
        <w:tc>
          <w:tcPr>
            <w:tcW w:w="79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0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649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上海和运工程咨询有限公司</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103,159.90</w:t>
            </w:r>
          </w:p>
        </w:tc>
        <w:tc>
          <w:tcPr>
            <w:tcW w:w="15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281,785.32</w:t>
            </w:r>
          </w:p>
        </w:tc>
        <w:tc>
          <w:tcPr>
            <w:tcW w:w="75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无</w:t>
            </w:r>
          </w:p>
        </w:tc>
        <w:tc>
          <w:tcPr>
            <w:tcW w:w="79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0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649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国家电投集团碳资产管理有限公司</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375,000.00</w:t>
            </w:r>
          </w:p>
        </w:tc>
        <w:tc>
          <w:tcPr>
            <w:tcW w:w="75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无</w:t>
            </w:r>
          </w:p>
        </w:tc>
        <w:tc>
          <w:tcPr>
            <w:tcW w:w="79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0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649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国家电投集团远达水务有限公司</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56,170.46</w:t>
            </w:r>
          </w:p>
        </w:tc>
        <w:tc>
          <w:tcPr>
            <w:tcW w:w="75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无</w:t>
            </w:r>
          </w:p>
        </w:tc>
        <w:tc>
          <w:tcPr>
            <w:tcW w:w="79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0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649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青海黄河上游水电开发有限责任公司</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59,875.00</w:t>
            </w:r>
          </w:p>
        </w:tc>
        <w:tc>
          <w:tcPr>
            <w:tcW w:w="75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无</w:t>
            </w:r>
          </w:p>
        </w:tc>
        <w:tc>
          <w:tcPr>
            <w:tcW w:w="79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0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649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北京融和云链科技有限公司</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38,318,708.89</w:t>
            </w:r>
          </w:p>
        </w:tc>
        <w:tc>
          <w:tcPr>
            <w:tcW w:w="75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无</w:t>
            </w:r>
          </w:p>
        </w:tc>
        <w:tc>
          <w:tcPr>
            <w:tcW w:w="79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0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应付票据</w:t>
            </w:r>
          </w:p>
        </w:tc>
        <w:tc>
          <w:tcPr>
            <w:tcW w:w="649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75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p>
        </w:tc>
        <w:tc>
          <w:tcPr>
            <w:tcW w:w="79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0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649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贵州远达金元环保有限公司</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20,000,000.00</w:t>
            </w:r>
          </w:p>
        </w:tc>
        <w:tc>
          <w:tcPr>
            <w:tcW w:w="15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75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无</w:t>
            </w:r>
          </w:p>
        </w:tc>
        <w:tc>
          <w:tcPr>
            <w:tcW w:w="79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0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其他应付款</w:t>
            </w:r>
          </w:p>
        </w:tc>
        <w:tc>
          <w:tcPr>
            <w:tcW w:w="649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75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p>
        </w:tc>
        <w:tc>
          <w:tcPr>
            <w:tcW w:w="79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0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649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新源智储能源发展（北京）有限公司</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102,345,795.00</w:t>
            </w:r>
          </w:p>
        </w:tc>
        <w:tc>
          <w:tcPr>
            <w:tcW w:w="15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56,858,775.00</w:t>
            </w:r>
          </w:p>
        </w:tc>
        <w:tc>
          <w:tcPr>
            <w:tcW w:w="75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无</w:t>
            </w:r>
          </w:p>
        </w:tc>
        <w:tc>
          <w:tcPr>
            <w:tcW w:w="79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0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649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中氢金元（北京）新能源有限公司</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17,703,846.03</w:t>
            </w:r>
          </w:p>
        </w:tc>
        <w:tc>
          <w:tcPr>
            <w:tcW w:w="15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75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无</w:t>
            </w:r>
          </w:p>
        </w:tc>
        <w:tc>
          <w:tcPr>
            <w:tcW w:w="79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0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649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国家电投集团西藏能源有限公司</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6,286,111.11</w:t>
            </w:r>
          </w:p>
        </w:tc>
        <w:tc>
          <w:tcPr>
            <w:tcW w:w="15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75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无</w:t>
            </w:r>
          </w:p>
        </w:tc>
        <w:tc>
          <w:tcPr>
            <w:tcW w:w="79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0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649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国核电力规划设计研究院重庆有限公司</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5,268,063.12</w:t>
            </w:r>
          </w:p>
        </w:tc>
        <w:tc>
          <w:tcPr>
            <w:tcW w:w="15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75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无</w:t>
            </w:r>
          </w:p>
        </w:tc>
        <w:tc>
          <w:tcPr>
            <w:tcW w:w="79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0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649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上海发电设备成套设计研究院有限责任公司</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2,033,045.90</w:t>
            </w:r>
          </w:p>
        </w:tc>
        <w:tc>
          <w:tcPr>
            <w:tcW w:w="15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75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无</w:t>
            </w:r>
          </w:p>
        </w:tc>
        <w:tc>
          <w:tcPr>
            <w:tcW w:w="79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0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649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中国电能成套设备有限公司</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1,802,144.29</w:t>
            </w:r>
          </w:p>
        </w:tc>
        <w:tc>
          <w:tcPr>
            <w:tcW w:w="15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1,802,144.29</w:t>
            </w:r>
          </w:p>
        </w:tc>
        <w:tc>
          <w:tcPr>
            <w:tcW w:w="75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无</w:t>
            </w:r>
          </w:p>
        </w:tc>
        <w:tc>
          <w:tcPr>
            <w:tcW w:w="79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0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649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国家电投集团远达环保催化剂有限公司</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1,143,595.25</w:t>
            </w:r>
          </w:p>
        </w:tc>
        <w:tc>
          <w:tcPr>
            <w:tcW w:w="15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990,129.10</w:t>
            </w:r>
          </w:p>
        </w:tc>
        <w:tc>
          <w:tcPr>
            <w:tcW w:w="75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无</w:t>
            </w:r>
          </w:p>
        </w:tc>
        <w:tc>
          <w:tcPr>
            <w:tcW w:w="79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0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649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国家电力投资集团公司物资装备分公司</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235,132.07</w:t>
            </w:r>
          </w:p>
        </w:tc>
        <w:tc>
          <w:tcPr>
            <w:tcW w:w="15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257,936.34</w:t>
            </w:r>
          </w:p>
        </w:tc>
        <w:tc>
          <w:tcPr>
            <w:tcW w:w="75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无</w:t>
            </w:r>
          </w:p>
        </w:tc>
        <w:tc>
          <w:tcPr>
            <w:tcW w:w="79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0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649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北京融和云链科技有限公司</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78,823,325.06</w:t>
            </w:r>
          </w:p>
        </w:tc>
        <w:tc>
          <w:tcPr>
            <w:tcW w:w="75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无</w:t>
            </w:r>
          </w:p>
        </w:tc>
        <w:tc>
          <w:tcPr>
            <w:tcW w:w="79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0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649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贵州省习水鼎泰能源开发有限责任公司</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3,500.00</w:t>
            </w:r>
          </w:p>
        </w:tc>
        <w:tc>
          <w:tcPr>
            <w:tcW w:w="75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无</w:t>
            </w:r>
          </w:p>
        </w:tc>
        <w:tc>
          <w:tcPr>
            <w:tcW w:w="79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0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649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上海和运工程咨询有限公司</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3,517,612.89</w:t>
            </w:r>
          </w:p>
        </w:tc>
        <w:tc>
          <w:tcPr>
            <w:tcW w:w="75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无</w:t>
            </w:r>
          </w:p>
        </w:tc>
        <w:tc>
          <w:tcPr>
            <w:tcW w:w="79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0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合同负债</w:t>
            </w:r>
          </w:p>
        </w:tc>
        <w:tc>
          <w:tcPr>
            <w:tcW w:w="649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75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p>
        </w:tc>
        <w:tc>
          <w:tcPr>
            <w:tcW w:w="79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0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649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贵州泰元能源有限责任公司</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13,000,000.00</w:t>
            </w:r>
          </w:p>
        </w:tc>
        <w:tc>
          <w:tcPr>
            <w:tcW w:w="15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75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无</w:t>
            </w:r>
          </w:p>
        </w:tc>
        <w:tc>
          <w:tcPr>
            <w:tcW w:w="79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0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649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贵州黔东电力有限公司</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2,600,000.00</w:t>
            </w:r>
          </w:p>
        </w:tc>
        <w:tc>
          <w:tcPr>
            <w:tcW w:w="15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75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无</w:t>
            </w:r>
          </w:p>
        </w:tc>
        <w:tc>
          <w:tcPr>
            <w:tcW w:w="79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0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649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国家电投集团远达环保催化剂有限公司</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360,007.65</w:t>
            </w:r>
          </w:p>
        </w:tc>
        <w:tc>
          <w:tcPr>
            <w:tcW w:w="75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无</w:t>
            </w:r>
          </w:p>
        </w:tc>
        <w:tc>
          <w:tcPr>
            <w:tcW w:w="79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0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649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国家电投集团远达水务有限公司</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511,739.54</w:t>
            </w:r>
          </w:p>
        </w:tc>
        <w:tc>
          <w:tcPr>
            <w:tcW w:w="75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无</w:t>
            </w:r>
          </w:p>
        </w:tc>
        <w:tc>
          <w:tcPr>
            <w:tcW w:w="79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0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短期借款</w:t>
            </w:r>
          </w:p>
        </w:tc>
        <w:tc>
          <w:tcPr>
            <w:tcW w:w="649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75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p>
        </w:tc>
        <w:tc>
          <w:tcPr>
            <w:tcW w:w="79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0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649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国家电投集团财务有限公司</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2,470,000,000.00</w:t>
            </w:r>
          </w:p>
        </w:tc>
        <w:tc>
          <w:tcPr>
            <w:tcW w:w="15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2,370,000,000.00</w:t>
            </w:r>
          </w:p>
        </w:tc>
        <w:tc>
          <w:tcPr>
            <w:tcW w:w="75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无</w:t>
            </w:r>
          </w:p>
        </w:tc>
        <w:tc>
          <w:tcPr>
            <w:tcW w:w="79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0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长期借款</w:t>
            </w:r>
          </w:p>
        </w:tc>
        <w:tc>
          <w:tcPr>
            <w:tcW w:w="649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15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75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p>
        </w:tc>
        <w:tc>
          <w:tcPr>
            <w:tcW w:w="79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01"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p>
        </w:tc>
        <w:tc>
          <w:tcPr>
            <w:tcW w:w="6494"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国家电投集团财务有限公司</w:t>
            </w:r>
          </w:p>
        </w:tc>
        <w:tc>
          <w:tcPr>
            <w:tcW w:w="166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2,540,850,000.00</w:t>
            </w:r>
          </w:p>
        </w:tc>
        <w:tc>
          <w:tcPr>
            <w:tcW w:w="1508"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3,449,450,000.00</w:t>
            </w:r>
          </w:p>
        </w:tc>
        <w:tc>
          <w:tcPr>
            <w:tcW w:w="75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无</w:t>
            </w:r>
          </w:p>
        </w:tc>
        <w:tc>
          <w:tcPr>
            <w:tcW w:w="79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否</w:t>
            </w:r>
          </w:p>
        </w:tc>
      </w:tr>
    </w:tbl>
    <w:p>
      <w:pPr>
        <w:pStyle w:val="35"/>
        <w:rPr>
          <w:rFonts w:eastAsiaTheme="minorEastAsia"/>
          <w:color w:val="auto"/>
          <w:highlight w:val="none"/>
        </w:rPr>
        <w:sectPr>
          <w:pgSz w:w="16839" w:h="11907" w:orient="landscape"/>
          <w:pgMar w:top="1797" w:right="1440" w:bottom="1797" w:left="1440" w:header="680" w:footer="992" w:gutter="0"/>
          <w:cols w:space="425" w:num="1"/>
          <w:docGrid w:linePitch="312" w:charSpace="0"/>
        </w:sectPr>
      </w:pPr>
      <w:r>
        <w:rPr>
          <w:rFonts w:eastAsiaTheme="minorEastAsia"/>
          <w:color w:val="auto"/>
          <w:highlight w:val="none"/>
        </w:rPr>
        <w:fldChar w:fldCharType="end"/>
      </w:r>
    </w:p>
    <w:p>
      <w:pPr>
        <w:pStyle w:val="37"/>
        <w:rPr>
          <w:color w:val="auto"/>
          <w:highlight w:val="none"/>
        </w:rPr>
      </w:pPr>
      <w:r>
        <w:rPr>
          <w:rFonts w:hint="eastAsia"/>
          <w:color w:val="auto"/>
          <w:highlight w:val="none"/>
        </w:rPr>
        <w:t>资金集中管理</w:t>
      </w:r>
    </w:p>
    <w:p>
      <w:pPr>
        <w:pStyle w:val="44"/>
        <w:rPr>
          <w:color w:val="auto"/>
          <w:highlight w:val="none"/>
        </w:rPr>
      </w:pPr>
      <w:r>
        <w:rPr>
          <w:rFonts w:hint="eastAsia"/>
          <w:color w:val="auto"/>
          <w:highlight w:val="none"/>
        </w:rPr>
        <w:t>本公司归集至集团的资金</w:t>
      </w:r>
    </w:p>
    <w:p>
      <w:pPr>
        <w:pStyle w:val="35"/>
        <w:rPr>
          <w:color w:val="auto"/>
          <w:highlight w:val="none"/>
        </w:rPr>
      </w:pPr>
      <w:r>
        <w:rPr>
          <w:rFonts w:hint="eastAsia"/>
          <w:color w:val="auto"/>
          <w:highlight w:val="none"/>
        </w:rPr>
        <w:t>本公司未归集至集团母公司账户而直接存入财务公司的资金</w:t>
      </w:r>
    </w:p>
    <w:p>
      <w:pPr>
        <w:pStyle w:val="35"/>
        <w:rPr>
          <w:rFonts w:asciiTheme="minorHAnsi" w:hAnsiTheme="minorHAnsi" w:eastAsiaTheme="minorEastAsia" w:cstheme="minorBidi"/>
          <w:color w:val="auto"/>
          <w:highlight w:val="none"/>
        </w:rPr>
      </w:pPr>
      <w:r>
        <w:rPr>
          <w:color w:val="auto"/>
          <w:highlight w:val="none"/>
        </w:rPr>
        <w:fldChar w:fldCharType="begin"/>
      </w:r>
      <w:r>
        <w:rPr>
          <w:color w:val="auto"/>
          <w:highlight w:val="none"/>
        </w:rPr>
        <w:instrText xml:space="preserve"> LINK Excel.Sheet.12 "D:\\work\\20190430V3\\StandardTemplateTool\\template\\SASAC\\Frame\\202112\\SASACFinancialReports.xlsx" "关联方关系及其交易!关联方情况17" \f 4 \h \* MERGEFORMAT </w:instrText>
      </w:r>
      <w:r>
        <w:rPr>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2201"/>
        <w:gridCol w:w="1587"/>
        <w:gridCol w:w="1496"/>
        <w:gridCol w:w="1462"/>
        <w:gridCol w:w="1442"/>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2201"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项目名称</w:t>
            </w:r>
          </w:p>
        </w:tc>
        <w:tc>
          <w:tcPr>
            <w:tcW w:w="3083"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c>
          <w:tcPr>
            <w:tcW w:w="2904"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2201"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58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账面余额</w:t>
            </w:r>
          </w:p>
        </w:tc>
        <w:tc>
          <w:tcPr>
            <w:tcW w:w="1496"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坏账准备</w:t>
            </w:r>
          </w:p>
        </w:tc>
        <w:tc>
          <w:tcPr>
            <w:tcW w:w="1462"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账面余额</w:t>
            </w:r>
          </w:p>
        </w:tc>
        <w:tc>
          <w:tcPr>
            <w:tcW w:w="1442"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坏账准备</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201"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货币资金</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1,374,221,779.51</w:t>
            </w:r>
          </w:p>
        </w:tc>
        <w:tc>
          <w:tcPr>
            <w:tcW w:w="149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6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688,243,104.95</w:t>
            </w:r>
          </w:p>
        </w:tc>
        <w:tc>
          <w:tcPr>
            <w:tcW w:w="144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20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1,374,221,779.51</w:t>
            </w:r>
          </w:p>
        </w:tc>
        <w:tc>
          <w:tcPr>
            <w:tcW w:w="149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6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688,243,104.95</w:t>
            </w:r>
          </w:p>
        </w:tc>
        <w:tc>
          <w:tcPr>
            <w:tcW w:w="144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201"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其中：因资金集中管理支取受限的资金</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9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6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4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bl>
    <w:p>
      <w:pPr>
        <w:pStyle w:val="35"/>
        <w:rPr>
          <w:rFonts w:eastAsiaTheme="minorEastAsia"/>
          <w:color w:val="auto"/>
          <w:highlight w:val="none"/>
        </w:rPr>
      </w:pPr>
      <w:r>
        <w:rPr>
          <w:color w:val="auto"/>
          <w:highlight w:val="none"/>
        </w:rPr>
        <w:fldChar w:fldCharType="end"/>
      </w:r>
    </w:p>
    <w:p>
      <w:pPr>
        <w:pStyle w:val="43"/>
        <w:rPr>
          <w:rFonts w:eastAsiaTheme="minorEastAsia"/>
          <w:color w:val="auto"/>
          <w:highlight w:val="none"/>
        </w:rPr>
      </w:pPr>
      <w:r>
        <w:rPr>
          <w:rFonts w:eastAsiaTheme="minorEastAsia"/>
          <w:color w:val="auto"/>
          <w:highlight w:val="none"/>
        </w:rPr>
        <w:t>母公司财务报表主要项目注释</w:t>
      </w:r>
    </w:p>
    <w:p>
      <w:pPr>
        <w:pStyle w:val="37"/>
        <w:rPr>
          <w:color w:val="auto"/>
          <w:highlight w:val="none"/>
        </w:rPr>
      </w:pPr>
      <w:r>
        <w:rPr>
          <w:rFonts w:hint="eastAsia"/>
          <w:color w:val="auto"/>
          <w:highlight w:val="none"/>
        </w:rPr>
        <w:t>应收账款</w:t>
      </w:r>
    </w:p>
    <w:p>
      <w:pPr>
        <w:pStyle w:val="44"/>
        <w:rPr>
          <w:color w:val="auto"/>
          <w:highlight w:val="none"/>
        </w:rPr>
      </w:pPr>
      <w:r>
        <w:rPr>
          <w:color w:val="auto"/>
          <w:highlight w:val="none"/>
        </w:rPr>
        <w:t>按账龄披露应收账款</w:t>
      </w:r>
    </w:p>
    <w:p>
      <w:pPr>
        <w:pStyle w:val="35"/>
        <w:rPr>
          <w:rFonts w:asciiTheme="minorHAnsi" w:hAnsiTheme="minorHAnsi" w:eastAsiaTheme="minorEastAsia" w:cstheme="minorBidi"/>
          <w:color w:val="auto"/>
          <w:highlight w:val="none"/>
        </w:rPr>
      </w:pPr>
      <w:r>
        <w:rPr>
          <w:color w:val="auto"/>
          <w:highlight w:val="none"/>
        </w:rPr>
        <w:fldChar w:fldCharType="begin"/>
      </w:r>
      <w:r>
        <w:rPr>
          <w:color w:val="auto"/>
          <w:highlight w:val="none"/>
        </w:rPr>
        <w:instrText xml:space="preserve"> LINK Excel.Sheet.12 "D:\\vsWorkspace\\branches\\20190430\\StandardTemplateTool\\template\\SASAC\\Frame\\202212\\SASACFinancialReports.xlsx" "母公司应收账款!母公司应收账款" \f 4 \h \* MERGEFORMAT </w:instrText>
      </w:r>
      <w:r>
        <w:rPr>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2287"/>
        <w:gridCol w:w="1476"/>
        <w:gridCol w:w="1475"/>
        <w:gridCol w:w="1475"/>
        <w:gridCol w:w="1475"/>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2287"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账龄</w:t>
            </w:r>
          </w:p>
        </w:tc>
        <w:tc>
          <w:tcPr>
            <w:tcW w:w="2951"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期末数</w:t>
            </w:r>
          </w:p>
        </w:tc>
        <w:tc>
          <w:tcPr>
            <w:tcW w:w="2950"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期初数</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2287"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476"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账面余额</w:t>
            </w:r>
          </w:p>
        </w:tc>
        <w:tc>
          <w:tcPr>
            <w:tcW w:w="147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坏账准备</w:t>
            </w:r>
          </w:p>
        </w:tc>
        <w:tc>
          <w:tcPr>
            <w:tcW w:w="147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账面余额</w:t>
            </w:r>
          </w:p>
        </w:tc>
        <w:tc>
          <w:tcPr>
            <w:tcW w:w="147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坏账准备</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28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1年以内（含1年）</w:t>
            </w:r>
          </w:p>
        </w:tc>
        <w:tc>
          <w:tcPr>
            <w:tcW w:w="14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103,122,241.74</w:t>
            </w:r>
          </w:p>
        </w:tc>
        <w:tc>
          <w:tcPr>
            <w:tcW w:w="147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7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265,551,121.42</w:t>
            </w:r>
          </w:p>
        </w:tc>
        <w:tc>
          <w:tcPr>
            <w:tcW w:w="147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28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1至2年</w:t>
            </w:r>
          </w:p>
        </w:tc>
        <w:tc>
          <w:tcPr>
            <w:tcW w:w="14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7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7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7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28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2至3年</w:t>
            </w:r>
          </w:p>
        </w:tc>
        <w:tc>
          <w:tcPr>
            <w:tcW w:w="14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7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7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7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28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3年以上</w:t>
            </w:r>
          </w:p>
        </w:tc>
        <w:tc>
          <w:tcPr>
            <w:tcW w:w="14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7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7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7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28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14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103,122,241.74</w:t>
            </w:r>
          </w:p>
        </w:tc>
        <w:tc>
          <w:tcPr>
            <w:tcW w:w="147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7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265,551,121.42</w:t>
            </w:r>
          </w:p>
        </w:tc>
        <w:tc>
          <w:tcPr>
            <w:tcW w:w="147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bl>
    <w:p>
      <w:pPr>
        <w:pStyle w:val="35"/>
        <w:rPr>
          <w:rFonts w:eastAsiaTheme="minorEastAsia"/>
          <w:color w:val="auto"/>
          <w:highlight w:val="none"/>
        </w:rPr>
      </w:pPr>
      <w:r>
        <w:rPr>
          <w:color w:val="auto"/>
          <w:highlight w:val="none"/>
        </w:rPr>
        <w:fldChar w:fldCharType="end"/>
      </w:r>
    </w:p>
    <w:p>
      <w:pPr>
        <w:pStyle w:val="35"/>
        <w:rPr>
          <w:rFonts w:eastAsiaTheme="minorEastAsia"/>
          <w:b/>
          <w:bCs/>
          <w:color w:val="auto"/>
          <w:highlight w:val="none"/>
        </w:rPr>
        <w:sectPr>
          <w:pgSz w:w="11907" w:h="16839"/>
          <w:pgMar w:top="1440" w:right="1797" w:bottom="1440" w:left="1797" w:header="680" w:footer="992" w:gutter="0"/>
          <w:cols w:space="425" w:num="1"/>
          <w:docGrid w:linePitch="312" w:charSpace="0"/>
        </w:sectPr>
      </w:pPr>
    </w:p>
    <w:p>
      <w:pPr>
        <w:pStyle w:val="44"/>
        <w:rPr>
          <w:color w:val="auto"/>
          <w:highlight w:val="none"/>
        </w:rPr>
      </w:pPr>
      <w:r>
        <w:rPr>
          <w:rFonts w:hint="eastAsia"/>
          <w:color w:val="auto"/>
          <w:highlight w:val="none"/>
        </w:rPr>
        <w:t>按坏账准备计提方法分类披露应收账款</w:t>
      </w:r>
    </w:p>
    <w:p>
      <w:pPr>
        <w:pStyle w:val="35"/>
        <w:rPr>
          <w:rFonts w:asciiTheme="minorHAnsi" w:hAnsiTheme="minorHAnsi" w:eastAsiaTheme="minorEastAsia" w:cstheme="minorBidi"/>
          <w:color w:val="auto"/>
          <w:highlight w:val="none"/>
        </w:rPr>
      </w:pPr>
      <w:r>
        <w:rPr>
          <w:color w:val="auto"/>
          <w:highlight w:val="none"/>
        </w:rPr>
        <w:fldChar w:fldCharType="begin"/>
      </w:r>
      <w:r>
        <w:rPr>
          <w:color w:val="auto"/>
          <w:highlight w:val="none"/>
        </w:rPr>
        <w:instrText xml:space="preserve"> LINK Excel.Sheet.12 "D:\\work\\20190430\\StandardTemplateTool\\template\\SASAC\\Frame\\201912\\SASACFinancialReports.xlsx" "母公司附注!母公司应收账款1" \f 4 \h \* MERGEFORMAT </w:instrText>
      </w:r>
      <w:r>
        <w:rPr>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1825"/>
        <w:gridCol w:w="1555"/>
        <w:gridCol w:w="851"/>
        <w:gridCol w:w="1327"/>
        <w:gridCol w:w="971"/>
        <w:gridCol w:w="1378"/>
        <w:gridCol w:w="1428"/>
        <w:gridCol w:w="847"/>
        <w:gridCol w:w="1130"/>
        <w:gridCol w:w="918"/>
        <w:gridCol w:w="1378"/>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825"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类别</w:t>
            </w:r>
          </w:p>
        </w:tc>
        <w:tc>
          <w:tcPr>
            <w:tcW w:w="6082" w:type="dxa"/>
            <w:gridSpan w:val="5"/>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期末数</w:t>
            </w:r>
          </w:p>
        </w:tc>
        <w:tc>
          <w:tcPr>
            <w:tcW w:w="5701" w:type="dxa"/>
            <w:gridSpan w:val="5"/>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期初数</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825"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2406"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账面余额</w:t>
            </w:r>
          </w:p>
        </w:tc>
        <w:tc>
          <w:tcPr>
            <w:tcW w:w="2298"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坏账准备</w:t>
            </w:r>
          </w:p>
        </w:tc>
        <w:tc>
          <w:tcPr>
            <w:tcW w:w="1378"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账面价值</w:t>
            </w:r>
          </w:p>
        </w:tc>
        <w:tc>
          <w:tcPr>
            <w:tcW w:w="2275"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账面余额</w:t>
            </w:r>
          </w:p>
        </w:tc>
        <w:tc>
          <w:tcPr>
            <w:tcW w:w="2048"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坏账准备</w:t>
            </w:r>
          </w:p>
        </w:tc>
        <w:tc>
          <w:tcPr>
            <w:tcW w:w="1378"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账面价值</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825"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55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金额</w:t>
            </w:r>
          </w:p>
        </w:tc>
        <w:tc>
          <w:tcPr>
            <w:tcW w:w="85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比例（%）</w:t>
            </w:r>
          </w:p>
        </w:tc>
        <w:tc>
          <w:tcPr>
            <w:tcW w:w="132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金额</w:t>
            </w:r>
          </w:p>
        </w:tc>
        <w:tc>
          <w:tcPr>
            <w:tcW w:w="971"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预期信用损失率（%）</w:t>
            </w:r>
          </w:p>
        </w:tc>
        <w:tc>
          <w:tcPr>
            <w:tcW w:w="1378"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42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金额</w:t>
            </w:r>
          </w:p>
        </w:tc>
        <w:tc>
          <w:tcPr>
            <w:tcW w:w="84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比例（%）</w:t>
            </w:r>
          </w:p>
        </w:tc>
        <w:tc>
          <w:tcPr>
            <w:tcW w:w="1130"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金额</w:t>
            </w:r>
          </w:p>
        </w:tc>
        <w:tc>
          <w:tcPr>
            <w:tcW w:w="91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预期信用损失率（%）</w:t>
            </w:r>
          </w:p>
        </w:tc>
        <w:tc>
          <w:tcPr>
            <w:tcW w:w="1378"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82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按单项计提坏账准备</w:t>
            </w:r>
          </w:p>
        </w:tc>
        <w:tc>
          <w:tcPr>
            <w:tcW w:w="155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85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2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97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2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84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91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82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按组合计提坏账准备</w:t>
            </w:r>
          </w:p>
        </w:tc>
        <w:tc>
          <w:tcPr>
            <w:tcW w:w="155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103,122,241.74</w:t>
            </w:r>
          </w:p>
        </w:tc>
        <w:tc>
          <w:tcPr>
            <w:tcW w:w="85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100.00</w:t>
            </w:r>
          </w:p>
        </w:tc>
        <w:tc>
          <w:tcPr>
            <w:tcW w:w="132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97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103,122,241.74</w:t>
            </w:r>
          </w:p>
        </w:tc>
        <w:tc>
          <w:tcPr>
            <w:tcW w:w="142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265,551,121.42</w:t>
            </w:r>
          </w:p>
        </w:tc>
        <w:tc>
          <w:tcPr>
            <w:tcW w:w="84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100.00</w:t>
            </w:r>
          </w:p>
        </w:tc>
        <w:tc>
          <w:tcPr>
            <w:tcW w:w="11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91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265,551,121.42</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82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其中：</w:t>
            </w:r>
          </w:p>
        </w:tc>
        <w:tc>
          <w:tcPr>
            <w:tcW w:w="155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85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2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97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2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84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91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82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低</w:t>
            </w:r>
            <w:r>
              <w:rPr>
                <w:rFonts w:hint="eastAsia" w:ascii="Times New Roman" w:hAnsi="Times New Roman" w:eastAsia="宋体" w:cs="Times New Roman"/>
                <w:color w:val="auto"/>
                <w:sz w:val="16"/>
                <w:szCs w:val="18"/>
                <w:highlight w:val="none"/>
              </w:rPr>
              <w:t>风</w:t>
            </w:r>
            <w:r>
              <w:rPr>
                <w:rFonts w:ascii="Times New Roman" w:hAnsi="Times New Roman" w:eastAsia="宋体" w:cs="Times New Roman"/>
                <w:color w:val="auto"/>
                <w:sz w:val="16"/>
                <w:szCs w:val="18"/>
                <w:highlight w:val="none"/>
              </w:rPr>
              <w:t>险组合</w:t>
            </w:r>
          </w:p>
        </w:tc>
        <w:tc>
          <w:tcPr>
            <w:tcW w:w="155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103,122,241.74</w:t>
            </w:r>
          </w:p>
        </w:tc>
        <w:tc>
          <w:tcPr>
            <w:tcW w:w="85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2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97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103,122,241.74</w:t>
            </w:r>
          </w:p>
        </w:tc>
        <w:tc>
          <w:tcPr>
            <w:tcW w:w="142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265,551,121.42</w:t>
            </w:r>
          </w:p>
        </w:tc>
        <w:tc>
          <w:tcPr>
            <w:tcW w:w="84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1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91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265,551,121.42</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82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155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103,122,241.74</w:t>
            </w:r>
          </w:p>
        </w:tc>
        <w:tc>
          <w:tcPr>
            <w:tcW w:w="85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100.00</w:t>
            </w:r>
          </w:p>
        </w:tc>
        <w:tc>
          <w:tcPr>
            <w:tcW w:w="132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971"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103,122,241.74</w:t>
            </w:r>
          </w:p>
        </w:tc>
        <w:tc>
          <w:tcPr>
            <w:tcW w:w="142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265,551,121.42</w:t>
            </w:r>
          </w:p>
        </w:tc>
        <w:tc>
          <w:tcPr>
            <w:tcW w:w="84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100.00</w:t>
            </w:r>
          </w:p>
        </w:tc>
        <w:tc>
          <w:tcPr>
            <w:tcW w:w="113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91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265,551,121.42</w:t>
            </w:r>
          </w:p>
        </w:tc>
      </w:tr>
    </w:tbl>
    <w:p>
      <w:pPr>
        <w:pStyle w:val="35"/>
        <w:rPr>
          <w:color w:val="auto"/>
          <w:highlight w:val="none"/>
        </w:rPr>
      </w:pPr>
      <w:r>
        <w:rPr>
          <w:color w:val="auto"/>
          <w:highlight w:val="none"/>
        </w:rPr>
        <w:fldChar w:fldCharType="end"/>
      </w:r>
    </w:p>
    <w:p>
      <w:pPr>
        <w:pStyle w:val="35"/>
        <w:rPr>
          <w:color w:val="auto"/>
          <w:highlight w:val="none"/>
        </w:rPr>
      </w:pPr>
    </w:p>
    <w:p>
      <w:pPr>
        <w:pStyle w:val="35"/>
        <w:rPr>
          <w:color w:val="auto"/>
          <w:highlight w:val="none"/>
        </w:rPr>
        <w:sectPr>
          <w:pgSz w:w="16839" w:h="11907" w:orient="landscape"/>
          <w:pgMar w:top="1797" w:right="1440" w:bottom="1797" w:left="1440" w:header="680" w:footer="992" w:gutter="0"/>
          <w:cols w:space="425" w:num="1"/>
          <w:docGrid w:linePitch="312" w:charSpace="0"/>
        </w:sectPr>
      </w:pPr>
    </w:p>
    <w:p>
      <w:pPr>
        <w:pStyle w:val="35"/>
        <w:rPr>
          <w:b/>
          <w:bCs/>
          <w:color w:val="auto"/>
          <w:highlight w:val="none"/>
        </w:rPr>
      </w:pPr>
      <w:r>
        <w:rPr>
          <w:rFonts w:hint="eastAsia"/>
          <w:b/>
          <w:bCs/>
          <w:color w:val="auto"/>
          <w:highlight w:val="none"/>
        </w:rPr>
        <w:t>按信用风险特征组合计提坏账准备的应收账款</w:t>
      </w:r>
    </w:p>
    <w:p>
      <w:pPr>
        <w:pStyle w:val="35"/>
        <w:rPr>
          <w:color w:val="auto"/>
          <w:highlight w:val="none"/>
        </w:rPr>
      </w:pPr>
      <w:r>
        <w:rPr>
          <w:rFonts w:hint="eastAsia"/>
          <w:color w:val="auto"/>
          <w:highlight w:val="none"/>
        </w:rPr>
        <w:t>采用余额百分比或其他方法计提坏账准备的应收账款</w:t>
      </w:r>
    </w:p>
    <w:p>
      <w:pPr>
        <w:pStyle w:val="35"/>
        <w:rPr>
          <w:rFonts w:asciiTheme="minorHAnsi" w:hAnsiTheme="minorHAnsi" w:eastAsiaTheme="minorEastAsia" w:cstheme="minorBidi"/>
          <w:color w:val="auto"/>
          <w:highlight w:val="none"/>
        </w:rPr>
      </w:pPr>
      <w:r>
        <w:rPr>
          <w:color w:val="auto"/>
          <w:highlight w:val="none"/>
        </w:rPr>
        <w:fldChar w:fldCharType="begin"/>
      </w:r>
      <w:r>
        <w:rPr>
          <w:color w:val="auto"/>
          <w:highlight w:val="none"/>
        </w:rPr>
        <w:instrText xml:space="preserve"> LINK Excel.Sheet.12 "D:\\work\\20190430V3\\StandardTemplateTool\\template\\SASAC\\Frame\\202112\\SASACFinancialReports.xlsx" "母公司应收账款!母公司应收账款4" \f 4 \h \* MERGEFORMAT </w:instrText>
      </w:r>
      <w:r>
        <w:rPr>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1396"/>
        <w:gridCol w:w="1442"/>
        <w:gridCol w:w="1015"/>
        <w:gridCol w:w="937"/>
        <w:gridCol w:w="1442"/>
        <w:gridCol w:w="1015"/>
        <w:gridCol w:w="934"/>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396"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组合名称</w:t>
            </w:r>
          </w:p>
        </w:tc>
        <w:tc>
          <w:tcPr>
            <w:tcW w:w="3394" w:type="dxa"/>
            <w:gridSpan w:val="3"/>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期末数</w:t>
            </w:r>
          </w:p>
        </w:tc>
        <w:tc>
          <w:tcPr>
            <w:tcW w:w="3391" w:type="dxa"/>
            <w:gridSpan w:val="3"/>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期初数</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396"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442"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账面余额</w:t>
            </w:r>
          </w:p>
        </w:tc>
        <w:tc>
          <w:tcPr>
            <w:tcW w:w="101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计提比例（%）</w:t>
            </w:r>
          </w:p>
        </w:tc>
        <w:tc>
          <w:tcPr>
            <w:tcW w:w="93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坏账准备</w:t>
            </w:r>
          </w:p>
        </w:tc>
        <w:tc>
          <w:tcPr>
            <w:tcW w:w="1442"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账面余额</w:t>
            </w:r>
          </w:p>
        </w:tc>
        <w:tc>
          <w:tcPr>
            <w:tcW w:w="101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计提比例（%）</w:t>
            </w:r>
          </w:p>
        </w:tc>
        <w:tc>
          <w:tcPr>
            <w:tcW w:w="934"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坏账准备</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39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低风险组合—电费及热力费</w:t>
            </w:r>
          </w:p>
        </w:tc>
        <w:tc>
          <w:tcPr>
            <w:tcW w:w="144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103,122,241.74</w:t>
            </w:r>
          </w:p>
        </w:tc>
        <w:tc>
          <w:tcPr>
            <w:tcW w:w="101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93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4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265,551,121.42</w:t>
            </w:r>
          </w:p>
        </w:tc>
        <w:tc>
          <w:tcPr>
            <w:tcW w:w="101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93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396"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144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103,122,241.74</w:t>
            </w:r>
          </w:p>
        </w:tc>
        <w:tc>
          <w:tcPr>
            <w:tcW w:w="101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93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42"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265,551,121.42</w:t>
            </w:r>
          </w:p>
        </w:tc>
        <w:tc>
          <w:tcPr>
            <w:tcW w:w="101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93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bl>
    <w:p>
      <w:pPr>
        <w:pStyle w:val="35"/>
        <w:rPr>
          <w:rFonts w:eastAsiaTheme="minorEastAsia"/>
          <w:color w:val="auto"/>
          <w:highlight w:val="none"/>
        </w:rPr>
      </w:pPr>
      <w:r>
        <w:rPr>
          <w:color w:val="auto"/>
          <w:highlight w:val="none"/>
        </w:rPr>
        <w:fldChar w:fldCharType="end"/>
      </w:r>
    </w:p>
    <w:p>
      <w:pPr>
        <w:pStyle w:val="44"/>
        <w:rPr>
          <w:color w:val="auto"/>
          <w:highlight w:val="none"/>
        </w:rPr>
      </w:pPr>
      <w:r>
        <w:rPr>
          <w:color w:val="auto"/>
          <w:highlight w:val="none"/>
        </w:rPr>
        <w:t>按欠款方归集的期末余额前五名的应收</w:t>
      </w:r>
      <w:r>
        <w:rPr>
          <w:rFonts w:hint="eastAsia"/>
          <w:color w:val="auto"/>
          <w:highlight w:val="none"/>
        </w:rPr>
        <w:t>账款</w:t>
      </w:r>
      <w:r>
        <w:rPr>
          <w:color w:val="auto"/>
          <w:highlight w:val="none"/>
        </w:rPr>
        <w:t>情况</w:t>
      </w:r>
    </w:p>
    <w:p>
      <w:pPr>
        <w:pStyle w:val="35"/>
        <w:rPr>
          <w:rFonts w:eastAsiaTheme="minorEastAsia"/>
          <w:b/>
          <w:bCs/>
          <w:color w:val="auto"/>
          <w:szCs w:val="22"/>
          <w:highlight w:val="none"/>
        </w:rPr>
      </w:pPr>
      <w:r>
        <w:rPr>
          <w:rFonts w:eastAsiaTheme="minorEastAsia"/>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w:instrText>
      </w:r>
      <w:r>
        <w:rPr>
          <w:rFonts w:eastAsiaTheme="minorEastAsia"/>
          <w:color w:val="auto"/>
          <w:highlight w:val="none"/>
          <w:shd w:val="clear" w:color="auto" w:fill="CCFFFF"/>
        </w:rPr>
        <w:instrText xml:space="preserve">母公司</w:instrText>
      </w:r>
      <w:r>
        <w:rPr>
          <w:rFonts w:hint="eastAsia" w:eastAsiaTheme="minorEastAsia"/>
          <w:color w:val="auto"/>
          <w:highlight w:val="none"/>
          <w:shd w:val="clear" w:color="auto" w:fill="CCFFFF"/>
        </w:rPr>
        <w:instrText xml:space="preserve">附注</w:instrText>
      </w:r>
      <w:r>
        <w:rPr>
          <w:rFonts w:eastAsiaTheme="minorEastAsia"/>
          <w:color w:val="auto"/>
          <w:highlight w:val="none"/>
        </w:rPr>
        <w:instrText xml:space="preserve">!母公司应收账款8 \f 4 \h \* MERGEFORMAT </w:instrText>
      </w:r>
      <w:r>
        <w:rPr>
          <w:rFonts w:eastAsiaTheme="minorEastAsia"/>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3654"/>
        <w:gridCol w:w="1676"/>
        <w:gridCol w:w="1677"/>
        <w:gridCol w:w="1174"/>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3654"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债务人名称</w:t>
            </w:r>
          </w:p>
        </w:tc>
        <w:tc>
          <w:tcPr>
            <w:tcW w:w="1676"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账面余额</w:t>
            </w:r>
          </w:p>
        </w:tc>
        <w:tc>
          <w:tcPr>
            <w:tcW w:w="167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占应收账款合计的比例（%）</w:t>
            </w:r>
          </w:p>
        </w:tc>
        <w:tc>
          <w:tcPr>
            <w:tcW w:w="1174"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坏账准备</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5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贵州电网有限责任公司</w:t>
            </w:r>
          </w:p>
        </w:tc>
        <w:tc>
          <w:tcPr>
            <w:tcW w:w="16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96,415,151.45</w:t>
            </w:r>
          </w:p>
        </w:tc>
        <w:tc>
          <w:tcPr>
            <w:tcW w:w="167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93.50</w:t>
            </w:r>
          </w:p>
        </w:tc>
        <w:tc>
          <w:tcPr>
            <w:tcW w:w="117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5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贵州西能电力建设有限公司</w:t>
            </w:r>
          </w:p>
        </w:tc>
        <w:tc>
          <w:tcPr>
            <w:tcW w:w="16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1,872,000.00</w:t>
            </w:r>
          </w:p>
        </w:tc>
        <w:tc>
          <w:tcPr>
            <w:tcW w:w="167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1.82</w:t>
            </w:r>
          </w:p>
        </w:tc>
        <w:tc>
          <w:tcPr>
            <w:tcW w:w="117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PrEx>
        <w:trPr>
          <w:trHeight w:val="283" w:hRule="atLeast"/>
        </w:trPr>
        <w:tc>
          <w:tcPr>
            <w:tcW w:w="365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连州市海得新能源开发有限公司</w:t>
            </w:r>
          </w:p>
        </w:tc>
        <w:tc>
          <w:tcPr>
            <w:tcW w:w="16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1,800,000.00</w:t>
            </w:r>
          </w:p>
        </w:tc>
        <w:tc>
          <w:tcPr>
            <w:tcW w:w="167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1.75</w:t>
            </w:r>
          </w:p>
        </w:tc>
        <w:tc>
          <w:tcPr>
            <w:tcW w:w="117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5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贵州金沙能发新能源开发有限公司</w:t>
            </w:r>
          </w:p>
        </w:tc>
        <w:tc>
          <w:tcPr>
            <w:tcW w:w="16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1,404,000.00</w:t>
            </w:r>
          </w:p>
        </w:tc>
        <w:tc>
          <w:tcPr>
            <w:tcW w:w="167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1.36</w:t>
            </w:r>
          </w:p>
        </w:tc>
        <w:tc>
          <w:tcPr>
            <w:tcW w:w="117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5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水城海螺盘江水泥有限责任公司</w:t>
            </w:r>
          </w:p>
        </w:tc>
        <w:tc>
          <w:tcPr>
            <w:tcW w:w="16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1,295,582.71</w:t>
            </w:r>
          </w:p>
        </w:tc>
        <w:tc>
          <w:tcPr>
            <w:tcW w:w="167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1.26</w:t>
            </w:r>
          </w:p>
        </w:tc>
        <w:tc>
          <w:tcPr>
            <w:tcW w:w="117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54"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16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102,786,734.16</w:t>
            </w:r>
          </w:p>
        </w:tc>
        <w:tc>
          <w:tcPr>
            <w:tcW w:w="167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99.69</w:t>
            </w:r>
          </w:p>
        </w:tc>
        <w:tc>
          <w:tcPr>
            <w:tcW w:w="117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bl>
    <w:p>
      <w:pPr>
        <w:pStyle w:val="35"/>
        <w:rPr>
          <w:color w:val="auto"/>
          <w:highlight w:val="none"/>
        </w:rPr>
      </w:pPr>
      <w:r>
        <w:rPr>
          <w:rFonts w:eastAsiaTheme="minorEastAsia"/>
          <w:color w:val="auto"/>
          <w:highlight w:val="none"/>
        </w:rPr>
        <w:fldChar w:fldCharType="end"/>
      </w:r>
    </w:p>
    <w:p>
      <w:pPr>
        <w:pStyle w:val="37"/>
        <w:rPr>
          <w:rFonts w:eastAsiaTheme="minorEastAsia"/>
          <w:color w:val="auto"/>
          <w:highlight w:val="none"/>
        </w:rPr>
      </w:pPr>
      <w:r>
        <w:rPr>
          <w:rFonts w:eastAsiaTheme="minorEastAsia"/>
          <w:color w:val="auto"/>
          <w:highlight w:val="none"/>
        </w:rPr>
        <w:t>其他应收款</w:t>
      </w:r>
    </w:p>
    <w:p>
      <w:pPr>
        <w:pStyle w:val="38"/>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LINK Excel.SheetMacroEnabled.12 "D:\\vsWorkspace\\branches\\20180822\\StandardTemplateTool\\template\\SASAC\\Frame\\201812\\SASACFinancialReports.xlsm" "合并附注!母公司其他应收款总表" \f 4 \h \* MERGEFORMAT </w:instrText>
      </w:r>
      <w:r>
        <w:rPr>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3689"/>
        <w:gridCol w:w="2303"/>
        <w:gridCol w:w="2189"/>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PrEx>
        <w:trPr>
          <w:trHeight w:val="283" w:hRule="atLeast"/>
          <w:tblHeader/>
        </w:trPr>
        <w:tc>
          <w:tcPr>
            <w:tcW w:w="3689"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2303"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c>
          <w:tcPr>
            <w:tcW w:w="2189"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89"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应收利息</w:t>
            </w:r>
          </w:p>
        </w:tc>
        <w:tc>
          <w:tcPr>
            <w:tcW w:w="230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218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89"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应收股利</w:t>
            </w:r>
          </w:p>
        </w:tc>
        <w:tc>
          <w:tcPr>
            <w:tcW w:w="230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391,895,361.70</w:t>
            </w:r>
          </w:p>
        </w:tc>
        <w:tc>
          <w:tcPr>
            <w:tcW w:w="218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368,483,199.46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89"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其他应收款项</w:t>
            </w:r>
          </w:p>
        </w:tc>
        <w:tc>
          <w:tcPr>
            <w:tcW w:w="230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245,051,928.68</w:t>
            </w:r>
          </w:p>
        </w:tc>
        <w:tc>
          <w:tcPr>
            <w:tcW w:w="218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1,198,420,251.37</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689"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230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636,947,290.38</w:t>
            </w:r>
          </w:p>
        </w:tc>
        <w:tc>
          <w:tcPr>
            <w:tcW w:w="218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1,566,903,450.83</w:t>
            </w:r>
          </w:p>
        </w:tc>
      </w:tr>
    </w:tbl>
    <w:p>
      <w:pPr>
        <w:pStyle w:val="38"/>
        <w:rPr>
          <w:color w:val="auto"/>
          <w:highlight w:val="none"/>
        </w:rPr>
      </w:pPr>
      <w:r>
        <w:rPr>
          <w:color w:val="auto"/>
          <w:highlight w:val="none"/>
        </w:rPr>
        <w:fldChar w:fldCharType="end"/>
      </w:r>
    </w:p>
    <w:p>
      <w:pPr>
        <w:pStyle w:val="44"/>
        <w:rPr>
          <w:rFonts w:eastAsiaTheme="minorEastAsia"/>
          <w:color w:val="auto"/>
          <w:highlight w:val="none"/>
        </w:rPr>
      </w:pPr>
      <w:r>
        <w:rPr>
          <w:rFonts w:eastAsiaTheme="minorEastAsia"/>
          <w:color w:val="auto"/>
          <w:highlight w:val="none"/>
        </w:rPr>
        <w:t>应收利息</w:t>
      </w:r>
    </w:p>
    <w:p>
      <w:pPr>
        <w:pStyle w:val="35"/>
        <w:rPr>
          <w:color w:val="auto"/>
          <w:highlight w:val="none"/>
        </w:rPr>
      </w:pPr>
      <w:r>
        <w:rPr>
          <w:rFonts w:hint="eastAsia"/>
          <w:color w:val="auto"/>
          <w:highlight w:val="none"/>
        </w:rPr>
        <w:t>（1）</w:t>
      </w:r>
      <w:r>
        <w:rPr>
          <w:color w:val="auto"/>
          <w:highlight w:val="none"/>
        </w:rPr>
        <w:t>应收利息分类</w:t>
      </w:r>
    </w:p>
    <w:p>
      <w:pPr>
        <w:pStyle w:val="35"/>
        <w:rPr>
          <w:rFonts w:eastAsiaTheme="minorEastAsia"/>
          <w:bCs/>
          <w:color w:val="auto"/>
          <w:szCs w:val="22"/>
          <w:highlight w:val="none"/>
        </w:rPr>
      </w:pPr>
      <w:r>
        <w:rPr>
          <w:rFonts w:eastAsiaTheme="minorEastAsia"/>
          <w:b/>
          <w:color w:val="auto"/>
          <w:highlight w:val="none"/>
        </w:rPr>
        <w:fldChar w:fldCharType="begin"/>
      </w:r>
      <w:r>
        <w:rPr>
          <w:rFonts w:eastAsiaTheme="minorEastAsia"/>
          <w:color w:val="auto"/>
          <w:highlight w:val="none"/>
        </w:rPr>
        <w:instrText xml:space="preserve"> LINK Excel.Sheet.12 E:\\雍\\附注排版\\2014年年报格式\\附注过渡表20150130V0910.xlsx </w:instrText>
      </w:r>
      <w:r>
        <w:rPr>
          <w:rFonts w:hint="eastAsia" w:eastAsiaTheme="minorEastAsia"/>
          <w:color w:val="auto"/>
          <w:highlight w:val="none"/>
        </w:rPr>
        <w:instrText xml:space="preserve">母公司附注</w:instrText>
      </w:r>
      <w:r>
        <w:rPr>
          <w:rFonts w:eastAsiaTheme="minorEastAsia"/>
          <w:color w:val="auto"/>
          <w:highlight w:val="none"/>
        </w:rPr>
        <w:instrText xml:space="preserve">!母公司应收利息 \f 4 \h \* MERGEFORMAT </w:instrText>
      </w:r>
      <w:r>
        <w:rPr>
          <w:rFonts w:eastAsiaTheme="minorEastAsia"/>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2675"/>
        <w:gridCol w:w="2679"/>
        <w:gridCol w:w="2827"/>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267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2679"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c>
          <w:tcPr>
            <w:tcW w:w="282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7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其他</w:t>
            </w:r>
          </w:p>
        </w:tc>
        <w:tc>
          <w:tcPr>
            <w:tcW w:w="267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5,496,787.69</w:t>
            </w:r>
          </w:p>
        </w:tc>
        <w:tc>
          <w:tcPr>
            <w:tcW w:w="282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5,496,787.69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7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小计</w:t>
            </w:r>
          </w:p>
        </w:tc>
        <w:tc>
          <w:tcPr>
            <w:tcW w:w="267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5,496,787.69</w:t>
            </w:r>
          </w:p>
        </w:tc>
        <w:tc>
          <w:tcPr>
            <w:tcW w:w="282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5,496,787.69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7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减：坏账准备</w:t>
            </w:r>
          </w:p>
        </w:tc>
        <w:tc>
          <w:tcPr>
            <w:tcW w:w="267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5,496,787.69</w:t>
            </w:r>
          </w:p>
        </w:tc>
        <w:tc>
          <w:tcPr>
            <w:tcW w:w="282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5,496,787.69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67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267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282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bl>
    <w:p>
      <w:pPr>
        <w:pStyle w:val="35"/>
        <w:rPr>
          <w:rFonts w:eastAsiaTheme="minorEastAsia"/>
          <w:color w:val="auto"/>
          <w:highlight w:val="none"/>
        </w:rPr>
      </w:pPr>
      <w:r>
        <w:rPr>
          <w:rFonts w:eastAsiaTheme="minorEastAsia"/>
          <w:color w:val="auto"/>
          <w:highlight w:val="none"/>
        </w:rPr>
        <w:fldChar w:fldCharType="end"/>
      </w:r>
    </w:p>
    <w:p>
      <w:pPr>
        <w:pStyle w:val="35"/>
        <w:rPr>
          <w:color w:val="auto"/>
          <w:highlight w:val="none"/>
        </w:rPr>
      </w:pPr>
      <w:r>
        <w:rPr>
          <w:rFonts w:hint="eastAsia"/>
          <w:color w:val="auto"/>
          <w:highlight w:val="none"/>
        </w:rPr>
        <w:t>（2）</w:t>
      </w:r>
      <w:r>
        <w:rPr>
          <w:color w:val="auto"/>
          <w:highlight w:val="none"/>
        </w:rPr>
        <w:t>重要逾期利息</w:t>
      </w:r>
    </w:p>
    <w:p>
      <w:pPr>
        <w:pStyle w:val="35"/>
        <w:rPr>
          <w:rFonts w:eastAsiaTheme="minorEastAsia"/>
          <w:color w:val="auto"/>
          <w:highlight w:val="none"/>
        </w:rPr>
      </w:pPr>
      <w:r>
        <w:rPr>
          <w:rFonts w:eastAsiaTheme="minorEastAsia"/>
          <w:b/>
          <w:color w:val="auto"/>
          <w:highlight w:val="none"/>
        </w:rPr>
        <w:fldChar w:fldCharType="begin"/>
      </w:r>
      <w:r>
        <w:rPr>
          <w:rFonts w:eastAsiaTheme="minorEastAsia"/>
          <w:color w:val="auto"/>
          <w:highlight w:val="none"/>
        </w:rPr>
        <w:instrText xml:space="preserve"> LINK Excel.Sheet.12 E:\\雍\\附注排版\\2014年年报格式\\附注过渡表20150130V0910.xlsx </w:instrText>
      </w:r>
      <w:r>
        <w:rPr>
          <w:rFonts w:hint="eastAsia" w:eastAsiaTheme="minorEastAsia"/>
          <w:color w:val="auto"/>
          <w:highlight w:val="none"/>
        </w:rPr>
        <w:instrText xml:space="preserve">母公司附注</w:instrText>
      </w:r>
      <w:r>
        <w:rPr>
          <w:rFonts w:eastAsiaTheme="minorEastAsia"/>
          <w:color w:val="auto"/>
          <w:highlight w:val="none"/>
        </w:rPr>
        <w:instrText xml:space="preserve">!母公司应收利息1 \f 4 \h \* MERGEFORMAT </w:instrText>
      </w:r>
      <w:r>
        <w:rPr>
          <w:rFonts w:eastAsiaTheme="minorEastAsia"/>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2023"/>
        <w:gridCol w:w="1468"/>
        <w:gridCol w:w="1482"/>
        <w:gridCol w:w="1468"/>
        <w:gridCol w:w="1740"/>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2023"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借款单位</w:t>
            </w:r>
          </w:p>
        </w:tc>
        <w:tc>
          <w:tcPr>
            <w:tcW w:w="146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c>
          <w:tcPr>
            <w:tcW w:w="1482"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逾期时间（月）</w:t>
            </w:r>
          </w:p>
        </w:tc>
        <w:tc>
          <w:tcPr>
            <w:tcW w:w="146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逾期原因</w:t>
            </w:r>
          </w:p>
        </w:tc>
        <w:tc>
          <w:tcPr>
            <w:tcW w:w="1740"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是否发生减值及其判断依据</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23"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贵州云之龙电煤运输投资有限公司</w:t>
            </w:r>
          </w:p>
        </w:tc>
        <w:tc>
          <w:tcPr>
            <w:tcW w:w="146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5,496,787.69</w:t>
            </w:r>
          </w:p>
        </w:tc>
        <w:tc>
          <w:tcPr>
            <w:tcW w:w="1482"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2019年7月</w:t>
            </w:r>
          </w:p>
        </w:tc>
        <w:tc>
          <w:tcPr>
            <w:tcW w:w="1468"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破产重整无力偿付</w:t>
            </w:r>
          </w:p>
        </w:tc>
        <w:tc>
          <w:tcPr>
            <w:tcW w:w="1740"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发生减值/企业破产清算</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023"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146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5,496,787.69</w:t>
            </w:r>
          </w:p>
        </w:tc>
        <w:tc>
          <w:tcPr>
            <w:tcW w:w="1482"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c>
          <w:tcPr>
            <w:tcW w:w="146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c>
          <w:tcPr>
            <w:tcW w:w="1740"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r>
    </w:tbl>
    <w:p>
      <w:pPr>
        <w:pStyle w:val="35"/>
        <w:rPr>
          <w:rFonts w:hint="eastAsia" w:eastAsiaTheme="minorEastAsia"/>
          <w:color w:val="auto"/>
          <w:highlight w:val="none"/>
        </w:rPr>
      </w:pPr>
      <w:r>
        <w:rPr>
          <w:rFonts w:eastAsiaTheme="minorEastAsia"/>
          <w:color w:val="auto"/>
          <w:highlight w:val="none"/>
        </w:rPr>
        <w:fldChar w:fldCharType="end"/>
      </w:r>
    </w:p>
    <w:p>
      <w:pPr>
        <w:pStyle w:val="35"/>
        <w:rPr>
          <w:color w:val="auto"/>
          <w:highlight w:val="none"/>
        </w:rPr>
      </w:pPr>
      <w:r>
        <w:rPr>
          <w:rFonts w:hint="eastAsia"/>
          <w:color w:val="auto"/>
          <w:highlight w:val="none"/>
        </w:rPr>
        <w:t>（3）应收利息坏账准备计提情况</w:t>
      </w:r>
    </w:p>
    <w:p>
      <w:pPr>
        <w:pStyle w:val="35"/>
        <w:rPr>
          <w:rFonts w:asciiTheme="minorHAnsi" w:hAnsiTheme="minorHAnsi" w:eastAsiaTheme="minorEastAsia" w:cstheme="minorBidi"/>
          <w:color w:val="auto"/>
          <w:highlight w:val="none"/>
        </w:rPr>
      </w:pPr>
      <w:r>
        <w:rPr>
          <w:rFonts w:eastAsiaTheme="minorEastAsia"/>
          <w:color w:val="auto"/>
          <w:highlight w:val="none"/>
        </w:rPr>
        <w:fldChar w:fldCharType="begin"/>
      </w:r>
      <w:r>
        <w:rPr>
          <w:rFonts w:eastAsiaTheme="minorEastAsia"/>
          <w:color w:val="auto"/>
          <w:highlight w:val="none"/>
        </w:rPr>
        <w:instrText xml:space="preserve"> LINK Excel.Sheet.12 "D:\\work\\20190430V3\\StandardTemplateTool\\template\\SASAC\\Frame\\202112\\SASACFinancialReports.xlsx" "母公司其他应收款!母公司应收利息2" \f 4 \h \* MERGEFORMAT </w:instrText>
      </w:r>
      <w:r>
        <w:rPr>
          <w:rFonts w:eastAsiaTheme="minorEastAsia"/>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1670"/>
        <w:gridCol w:w="1697"/>
        <w:gridCol w:w="1697"/>
        <w:gridCol w:w="1697"/>
        <w:gridCol w:w="1420"/>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670"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坏账准备</w:t>
            </w:r>
          </w:p>
        </w:tc>
        <w:tc>
          <w:tcPr>
            <w:tcW w:w="169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第一阶段</w:t>
            </w:r>
          </w:p>
        </w:tc>
        <w:tc>
          <w:tcPr>
            <w:tcW w:w="169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第二阶段</w:t>
            </w:r>
          </w:p>
        </w:tc>
        <w:tc>
          <w:tcPr>
            <w:tcW w:w="169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第三阶段</w:t>
            </w:r>
          </w:p>
        </w:tc>
        <w:tc>
          <w:tcPr>
            <w:tcW w:w="1420"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670"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69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未来12个月预期信用损失</w:t>
            </w:r>
          </w:p>
        </w:tc>
        <w:tc>
          <w:tcPr>
            <w:tcW w:w="169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整个存续期预期信用损失(未发生信用减值)</w:t>
            </w:r>
          </w:p>
        </w:tc>
        <w:tc>
          <w:tcPr>
            <w:tcW w:w="169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整个存续期预期信用损失(已发生信用减值)</w:t>
            </w:r>
          </w:p>
        </w:tc>
        <w:tc>
          <w:tcPr>
            <w:tcW w:w="1420"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70"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w:t>
            </w:r>
          </w:p>
        </w:tc>
        <w:tc>
          <w:tcPr>
            <w:tcW w:w="169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5,496,787.69</w:t>
            </w:r>
          </w:p>
        </w:tc>
        <w:tc>
          <w:tcPr>
            <w:tcW w:w="142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5,496,787.69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70"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期初余额在本期</w:t>
            </w:r>
          </w:p>
        </w:tc>
        <w:tc>
          <w:tcPr>
            <w:tcW w:w="169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2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70"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--转入第二阶段</w:t>
            </w:r>
          </w:p>
        </w:tc>
        <w:tc>
          <w:tcPr>
            <w:tcW w:w="169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2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70"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--转入第三阶段</w:t>
            </w:r>
          </w:p>
        </w:tc>
        <w:tc>
          <w:tcPr>
            <w:tcW w:w="169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2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70"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--转回第二阶段</w:t>
            </w:r>
          </w:p>
        </w:tc>
        <w:tc>
          <w:tcPr>
            <w:tcW w:w="169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2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70"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--转回第一阶段</w:t>
            </w:r>
          </w:p>
        </w:tc>
        <w:tc>
          <w:tcPr>
            <w:tcW w:w="169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2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70"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本期计提</w:t>
            </w:r>
          </w:p>
        </w:tc>
        <w:tc>
          <w:tcPr>
            <w:tcW w:w="169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2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70"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本期转回</w:t>
            </w:r>
          </w:p>
        </w:tc>
        <w:tc>
          <w:tcPr>
            <w:tcW w:w="169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2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70"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本期转销</w:t>
            </w:r>
          </w:p>
        </w:tc>
        <w:tc>
          <w:tcPr>
            <w:tcW w:w="169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2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70"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本期核销</w:t>
            </w:r>
          </w:p>
        </w:tc>
        <w:tc>
          <w:tcPr>
            <w:tcW w:w="169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2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70"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其他变动</w:t>
            </w:r>
          </w:p>
        </w:tc>
        <w:tc>
          <w:tcPr>
            <w:tcW w:w="169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42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70"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c>
          <w:tcPr>
            <w:tcW w:w="169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5,496,787.69</w:t>
            </w:r>
          </w:p>
        </w:tc>
        <w:tc>
          <w:tcPr>
            <w:tcW w:w="142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5,496,787.69</w:t>
            </w:r>
          </w:p>
        </w:tc>
      </w:tr>
    </w:tbl>
    <w:p>
      <w:pPr>
        <w:pStyle w:val="35"/>
        <w:rPr>
          <w:color w:val="auto"/>
          <w:highlight w:val="none"/>
        </w:rPr>
      </w:pPr>
      <w:r>
        <w:rPr>
          <w:rFonts w:eastAsiaTheme="minorEastAsia"/>
          <w:color w:val="auto"/>
          <w:highlight w:val="none"/>
        </w:rPr>
        <w:fldChar w:fldCharType="end"/>
      </w:r>
    </w:p>
    <w:p>
      <w:pPr>
        <w:pStyle w:val="44"/>
        <w:rPr>
          <w:color w:val="auto"/>
          <w:highlight w:val="none"/>
        </w:rPr>
      </w:pPr>
      <w:r>
        <w:rPr>
          <w:color w:val="auto"/>
          <w:highlight w:val="none"/>
        </w:rPr>
        <w:t>应收股利</w:t>
      </w:r>
    </w:p>
    <w:p>
      <w:pPr>
        <w:pStyle w:val="35"/>
        <w:rPr>
          <w:rFonts w:eastAsiaTheme="minorEastAsia"/>
          <w:color w:val="auto"/>
          <w:highlight w:val="none"/>
        </w:rPr>
      </w:pPr>
      <w:r>
        <w:rPr>
          <w:rFonts w:eastAsiaTheme="minorEastAsia"/>
          <w:b/>
          <w:color w:val="auto"/>
          <w:highlight w:val="none"/>
        </w:rPr>
        <w:fldChar w:fldCharType="begin"/>
      </w:r>
      <w:r>
        <w:rPr>
          <w:rFonts w:eastAsiaTheme="minorEastAsia"/>
          <w:color w:val="auto"/>
          <w:highlight w:val="none"/>
        </w:rPr>
        <w:instrText xml:space="preserve"> LINK Excel.Sheet.12 E:\\雍\\附注排版\\2014年年报格式\\附注过渡表20150130V0910.xlsx </w:instrText>
      </w:r>
      <w:r>
        <w:rPr>
          <w:rFonts w:hint="eastAsia" w:eastAsiaTheme="minorEastAsia"/>
          <w:color w:val="auto"/>
          <w:highlight w:val="none"/>
        </w:rPr>
        <w:instrText xml:space="preserve">母公司附注</w:instrText>
      </w:r>
      <w:r>
        <w:rPr>
          <w:rFonts w:eastAsiaTheme="minorEastAsia"/>
          <w:color w:val="auto"/>
          <w:highlight w:val="none"/>
        </w:rPr>
        <w:instrText xml:space="preserve">!母公司应收股利 \f 4 \h \* MERGEFORMAT </w:instrText>
      </w:r>
      <w:r>
        <w:rPr>
          <w:rFonts w:eastAsiaTheme="minorEastAsia"/>
          <w:b/>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2320"/>
        <w:gridCol w:w="1497"/>
        <w:gridCol w:w="1484"/>
        <w:gridCol w:w="1338"/>
        <w:gridCol w:w="1542"/>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2320"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149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c>
          <w:tcPr>
            <w:tcW w:w="1484"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w:t>
            </w:r>
          </w:p>
        </w:tc>
        <w:tc>
          <w:tcPr>
            <w:tcW w:w="133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未收回的原因</w:t>
            </w:r>
          </w:p>
        </w:tc>
        <w:tc>
          <w:tcPr>
            <w:tcW w:w="1542"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是否发生减值及其判断依据</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320"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账龄一年以内的应收股利</w:t>
            </w:r>
          </w:p>
        </w:tc>
        <w:tc>
          <w:tcPr>
            <w:tcW w:w="149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23,412,162.24</w:t>
            </w:r>
          </w:p>
        </w:tc>
        <w:tc>
          <w:tcPr>
            <w:tcW w:w="148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38"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p>
        </w:tc>
        <w:tc>
          <w:tcPr>
            <w:tcW w:w="154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320"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其中：中国证券登记结算有限责任公司北京分公司</w:t>
            </w:r>
          </w:p>
        </w:tc>
        <w:tc>
          <w:tcPr>
            <w:tcW w:w="149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23,412,162.24</w:t>
            </w:r>
          </w:p>
        </w:tc>
        <w:tc>
          <w:tcPr>
            <w:tcW w:w="148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38"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暂未支付</w:t>
            </w:r>
          </w:p>
        </w:tc>
        <w:tc>
          <w:tcPr>
            <w:tcW w:w="154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320"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账龄一年以上的应收股利</w:t>
            </w:r>
          </w:p>
        </w:tc>
        <w:tc>
          <w:tcPr>
            <w:tcW w:w="149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368,483,199.46</w:t>
            </w:r>
          </w:p>
        </w:tc>
        <w:tc>
          <w:tcPr>
            <w:tcW w:w="148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368,483,199.46</w:t>
            </w:r>
          </w:p>
        </w:tc>
        <w:tc>
          <w:tcPr>
            <w:tcW w:w="1338"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p>
        </w:tc>
        <w:tc>
          <w:tcPr>
            <w:tcW w:w="154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320"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其中：（1）国家电投集团贵州金元威宁能源股份有限公司</w:t>
            </w:r>
          </w:p>
        </w:tc>
        <w:tc>
          <w:tcPr>
            <w:tcW w:w="149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40,518,922.01</w:t>
            </w:r>
          </w:p>
        </w:tc>
        <w:tc>
          <w:tcPr>
            <w:tcW w:w="148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40,518,922.01</w:t>
            </w:r>
          </w:p>
        </w:tc>
        <w:tc>
          <w:tcPr>
            <w:tcW w:w="1338"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暂未支付</w:t>
            </w:r>
          </w:p>
        </w:tc>
        <w:tc>
          <w:tcPr>
            <w:tcW w:w="154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320"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（2）贵州中水能源股份有限公司</w:t>
            </w:r>
          </w:p>
        </w:tc>
        <w:tc>
          <w:tcPr>
            <w:tcW w:w="149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327,964,277.45</w:t>
            </w:r>
          </w:p>
        </w:tc>
        <w:tc>
          <w:tcPr>
            <w:tcW w:w="148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327,964,277.45</w:t>
            </w:r>
          </w:p>
        </w:tc>
        <w:tc>
          <w:tcPr>
            <w:tcW w:w="1338"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暂未支付</w:t>
            </w:r>
          </w:p>
        </w:tc>
        <w:tc>
          <w:tcPr>
            <w:tcW w:w="154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否</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320"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149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391,895,361.70</w:t>
            </w:r>
          </w:p>
        </w:tc>
        <w:tc>
          <w:tcPr>
            <w:tcW w:w="148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368,483,199.46</w:t>
            </w:r>
          </w:p>
        </w:tc>
        <w:tc>
          <w:tcPr>
            <w:tcW w:w="133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c>
          <w:tcPr>
            <w:tcW w:w="1542"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p>
        </w:tc>
      </w:tr>
    </w:tbl>
    <w:p>
      <w:pPr>
        <w:pStyle w:val="35"/>
        <w:rPr>
          <w:rFonts w:hint="eastAsia" w:eastAsiaTheme="minorEastAsia"/>
          <w:color w:val="auto"/>
          <w:highlight w:val="none"/>
        </w:rPr>
      </w:pPr>
      <w:r>
        <w:rPr>
          <w:rFonts w:eastAsiaTheme="minorEastAsia"/>
          <w:color w:val="auto"/>
          <w:highlight w:val="none"/>
        </w:rPr>
        <w:fldChar w:fldCharType="end"/>
      </w:r>
    </w:p>
    <w:p>
      <w:pPr>
        <w:pStyle w:val="35"/>
        <w:rPr>
          <w:rFonts w:eastAsiaTheme="minorEastAsia"/>
          <w:color w:val="auto"/>
          <w:highlight w:val="none"/>
        </w:rPr>
      </w:pPr>
    </w:p>
    <w:p>
      <w:pPr>
        <w:pStyle w:val="44"/>
        <w:rPr>
          <w:color w:val="auto"/>
          <w:highlight w:val="none"/>
        </w:rPr>
      </w:pPr>
      <w:r>
        <w:rPr>
          <w:rFonts w:hint="eastAsia"/>
          <w:color w:val="auto"/>
          <w:highlight w:val="none"/>
        </w:rPr>
        <w:t>其他应收款</w:t>
      </w:r>
      <w:r>
        <w:rPr>
          <w:rFonts w:hint="eastAsia"/>
          <w:color w:val="auto"/>
          <w:kern w:val="0"/>
          <w:szCs w:val="18"/>
          <w:highlight w:val="none"/>
        </w:rPr>
        <w:t>项</w:t>
      </w:r>
    </w:p>
    <w:p>
      <w:pPr>
        <w:pStyle w:val="35"/>
        <w:rPr>
          <w:color w:val="auto"/>
          <w:highlight w:val="none"/>
        </w:rPr>
      </w:pPr>
      <w:r>
        <w:rPr>
          <w:rFonts w:hint="eastAsia"/>
          <w:b/>
          <w:color w:val="auto"/>
          <w:highlight w:val="none"/>
        </w:rPr>
        <w:t>（1）按账龄披露其他应收款项</w:t>
      </w:r>
    </w:p>
    <w:p>
      <w:pPr>
        <w:pStyle w:val="35"/>
        <w:rPr>
          <w:rFonts w:asciiTheme="minorHAnsi" w:hAnsiTheme="minorHAnsi" w:eastAsiaTheme="minorEastAsia" w:cstheme="minorBidi"/>
          <w:color w:val="auto"/>
          <w:highlight w:val="none"/>
        </w:rPr>
      </w:pPr>
      <w:r>
        <w:rPr>
          <w:rFonts w:eastAsiaTheme="minorEastAsia"/>
          <w:color w:val="auto"/>
          <w:highlight w:val="none"/>
        </w:rPr>
        <w:fldChar w:fldCharType="begin"/>
      </w:r>
      <w:r>
        <w:rPr>
          <w:rFonts w:eastAsiaTheme="minorEastAsia"/>
          <w:color w:val="auto"/>
          <w:highlight w:val="none"/>
        </w:rPr>
        <w:instrText xml:space="preserve"> LINK Excel.Sheet.12 "D:\\vsWorkspace\\branches\\20190430\\StandardTemplateTool\\template\\SASAC\\Frame\\202212\\SASACFinancialReports.xlsx" "母公司其他应收款!母公司其他应收款" \f 4 \h \* MERGEFORMAT </w:instrText>
      </w:r>
      <w:r>
        <w:rPr>
          <w:rFonts w:eastAsiaTheme="minorEastAsia"/>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1833"/>
        <w:gridCol w:w="1587"/>
        <w:gridCol w:w="1587"/>
        <w:gridCol w:w="1587"/>
        <w:gridCol w:w="1587"/>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833"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账龄</w:t>
            </w:r>
          </w:p>
        </w:tc>
        <w:tc>
          <w:tcPr>
            <w:tcW w:w="3174"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期末数</w:t>
            </w:r>
          </w:p>
        </w:tc>
        <w:tc>
          <w:tcPr>
            <w:tcW w:w="3174"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期初数</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833"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58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账面余额</w:t>
            </w:r>
          </w:p>
        </w:tc>
        <w:tc>
          <w:tcPr>
            <w:tcW w:w="158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坏账准备</w:t>
            </w:r>
          </w:p>
        </w:tc>
        <w:tc>
          <w:tcPr>
            <w:tcW w:w="158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账面余额</w:t>
            </w:r>
          </w:p>
        </w:tc>
        <w:tc>
          <w:tcPr>
            <w:tcW w:w="158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坏账准备</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833"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1年以内（含1年）</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115,280,960.21</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2,068,529,363.49</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983,125,484.48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833"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1至2年</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1,041,603,542.25</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983,125,484.48</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10,100,439.90</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833"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2至3年</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600,000.00</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419,591,171.28</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323,110,794.00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833"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3年以上</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392,303,704.70</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321,610,794.00</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6,435,555.18</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833"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1,549,788,207.16</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1,304,736,278.48</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2,504,656,529.85</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1,306,236,278.48</w:t>
            </w:r>
          </w:p>
        </w:tc>
      </w:tr>
    </w:tbl>
    <w:p>
      <w:pPr>
        <w:pStyle w:val="35"/>
        <w:rPr>
          <w:rFonts w:eastAsiaTheme="minorEastAsia"/>
          <w:color w:val="auto"/>
          <w:highlight w:val="none"/>
        </w:rPr>
      </w:pPr>
      <w:r>
        <w:rPr>
          <w:rFonts w:eastAsiaTheme="minorEastAsia"/>
          <w:color w:val="auto"/>
          <w:highlight w:val="none"/>
        </w:rPr>
        <w:fldChar w:fldCharType="end"/>
      </w:r>
    </w:p>
    <w:p>
      <w:pPr>
        <w:pStyle w:val="35"/>
        <w:rPr>
          <w:rFonts w:eastAsiaTheme="minorEastAsia"/>
          <w:b/>
          <w:bCs/>
          <w:color w:val="auto"/>
          <w:highlight w:val="none"/>
        </w:rPr>
        <w:sectPr>
          <w:pgSz w:w="11906" w:h="16838"/>
          <w:pgMar w:top="1440" w:right="1800" w:bottom="1440" w:left="1800" w:header="680" w:footer="992" w:gutter="0"/>
          <w:cols w:space="425" w:num="1"/>
          <w:docGrid w:type="lines" w:linePitch="312" w:charSpace="0"/>
        </w:sectPr>
      </w:pPr>
    </w:p>
    <w:p>
      <w:pPr>
        <w:pStyle w:val="35"/>
        <w:rPr>
          <w:rFonts w:eastAsiaTheme="minorEastAsia"/>
          <w:color w:val="auto"/>
          <w:highlight w:val="none"/>
        </w:rPr>
      </w:pPr>
      <w:r>
        <w:rPr>
          <w:rFonts w:hint="eastAsia"/>
          <w:b/>
          <w:color w:val="auto"/>
          <w:highlight w:val="none"/>
        </w:rPr>
        <w:t>（</w:t>
      </w:r>
      <w:r>
        <w:rPr>
          <w:b/>
          <w:color w:val="auto"/>
          <w:highlight w:val="none"/>
        </w:rPr>
        <w:t>2</w:t>
      </w:r>
      <w:r>
        <w:rPr>
          <w:rFonts w:hint="eastAsia"/>
          <w:b/>
          <w:color w:val="auto"/>
          <w:highlight w:val="none"/>
        </w:rPr>
        <w:t>）按坏账准备计提方法分类披露其他应收款项</w:t>
      </w:r>
    </w:p>
    <w:p>
      <w:pPr>
        <w:pStyle w:val="35"/>
        <w:rPr>
          <w:rFonts w:asciiTheme="minorHAnsi" w:hAnsiTheme="minorHAnsi" w:eastAsiaTheme="minorEastAsia" w:cstheme="minorBidi"/>
          <w:color w:val="auto"/>
          <w:highlight w:val="none"/>
        </w:rPr>
      </w:pPr>
      <w:r>
        <w:rPr>
          <w:rFonts w:eastAsiaTheme="minorEastAsia"/>
          <w:color w:val="auto"/>
          <w:highlight w:val="none"/>
        </w:rPr>
        <w:fldChar w:fldCharType="begin"/>
      </w:r>
      <w:r>
        <w:rPr>
          <w:rFonts w:eastAsiaTheme="minorEastAsia"/>
          <w:color w:val="auto"/>
          <w:highlight w:val="none"/>
        </w:rPr>
        <w:instrText xml:space="preserve"> LINK Excel.Sheet.12 "D:\\work\\20190430\\StandardTemplateTool\\template\\SASAC\\Frame\\201912\\SASACFinancialReports.xlsx" "母公司附注!母公司其他应收款1" \f 4 \h \* MERGEFORMAT </w:instrText>
      </w:r>
      <w:r>
        <w:rPr>
          <w:rFonts w:eastAsiaTheme="minorEastAsia"/>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1308"/>
        <w:gridCol w:w="1546"/>
        <w:gridCol w:w="799"/>
        <w:gridCol w:w="1516"/>
        <w:gridCol w:w="877"/>
        <w:gridCol w:w="1378"/>
        <w:gridCol w:w="1516"/>
        <w:gridCol w:w="799"/>
        <w:gridCol w:w="1516"/>
        <w:gridCol w:w="836"/>
        <w:gridCol w:w="1516"/>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308"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类别</w:t>
            </w:r>
          </w:p>
        </w:tc>
        <w:tc>
          <w:tcPr>
            <w:tcW w:w="6116" w:type="dxa"/>
            <w:gridSpan w:val="5"/>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期末数</w:t>
            </w:r>
          </w:p>
        </w:tc>
        <w:tc>
          <w:tcPr>
            <w:tcW w:w="6183" w:type="dxa"/>
            <w:gridSpan w:val="5"/>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期初数</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308"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2345"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账面余额</w:t>
            </w:r>
          </w:p>
        </w:tc>
        <w:tc>
          <w:tcPr>
            <w:tcW w:w="2393"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坏账准备</w:t>
            </w:r>
          </w:p>
        </w:tc>
        <w:tc>
          <w:tcPr>
            <w:tcW w:w="1378"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账面价值</w:t>
            </w:r>
          </w:p>
        </w:tc>
        <w:tc>
          <w:tcPr>
            <w:tcW w:w="2315"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账面余额</w:t>
            </w:r>
          </w:p>
        </w:tc>
        <w:tc>
          <w:tcPr>
            <w:tcW w:w="2352"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坏账准备</w:t>
            </w:r>
          </w:p>
        </w:tc>
        <w:tc>
          <w:tcPr>
            <w:tcW w:w="1516"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账面价值</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308"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546"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金额</w:t>
            </w:r>
          </w:p>
        </w:tc>
        <w:tc>
          <w:tcPr>
            <w:tcW w:w="799"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比例（%）</w:t>
            </w:r>
          </w:p>
        </w:tc>
        <w:tc>
          <w:tcPr>
            <w:tcW w:w="1516"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金额</w:t>
            </w:r>
          </w:p>
        </w:tc>
        <w:tc>
          <w:tcPr>
            <w:tcW w:w="87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预期信用损失率（%）</w:t>
            </w:r>
          </w:p>
        </w:tc>
        <w:tc>
          <w:tcPr>
            <w:tcW w:w="1378"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516"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金额</w:t>
            </w:r>
          </w:p>
        </w:tc>
        <w:tc>
          <w:tcPr>
            <w:tcW w:w="799"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比例（%）</w:t>
            </w:r>
          </w:p>
        </w:tc>
        <w:tc>
          <w:tcPr>
            <w:tcW w:w="1516"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金额</w:t>
            </w:r>
          </w:p>
        </w:tc>
        <w:tc>
          <w:tcPr>
            <w:tcW w:w="836"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预期信用损失率（%）</w:t>
            </w:r>
          </w:p>
        </w:tc>
        <w:tc>
          <w:tcPr>
            <w:tcW w:w="1516"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308"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按单项计提坏账准备</w:t>
            </w:r>
          </w:p>
        </w:tc>
        <w:tc>
          <w:tcPr>
            <w:tcW w:w="15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1,306,163,334.17</w:t>
            </w:r>
          </w:p>
        </w:tc>
        <w:tc>
          <w:tcPr>
            <w:tcW w:w="79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84.28</w:t>
            </w: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1,304,736,278.48</w:t>
            </w:r>
          </w:p>
        </w:tc>
        <w:tc>
          <w:tcPr>
            <w:tcW w:w="87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99.89</w:t>
            </w: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1,427,055.69</w:t>
            </w: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1,313,666,148.52</w:t>
            </w:r>
          </w:p>
        </w:tc>
        <w:tc>
          <w:tcPr>
            <w:tcW w:w="79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52.45</w:t>
            </w: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1,306,236,278.48</w:t>
            </w:r>
          </w:p>
        </w:tc>
        <w:tc>
          <w:tcPr>
            <w:tcW w:w="83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99.43</w:t>
            </w: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7,429,870.04</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308"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按组合计提坏账准备</w:t>
            </w:r>
          </w:p>
        </w:tc>
        <w:tc>
          <w:tcPr>
            <w:tcW w:w="15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243,624,872.99</w:t>
            </w:r>
          </w:p>
        </w:tc>
        <w:tc>
          <w:tcPr>
            <w:tcW w:w="79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15.72</w:t>
            </w: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87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243,624,872.99</w:t>
            </w: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1,190,990,381.33</w:t>
            </w:r>
          </w:p>
        </w:tc>
        <w:tc>
          <w:tcPr>
            <w:tcW w:w="79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47.55</w:t>
            </w: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83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1,190,990,381.33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308"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其中：</w:t>
            </w:r>
          </w:p>
        </w:tc>
        <w:tc>
          <w:tcPr>
            <w:tcW w:w="15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79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87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79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83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308"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低风险组合</w:t>
            </w:r>
          </w:p>
        </w:tc>
        <w:tc>
          <w:tcPr>
            <w:tcW w:w="15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243,624,872.99</w:t>
            </w:r>
          </w:p>
        </w:tc>
        <w:tc>
          <w:tcPr>
            <w:tcW w:w="79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87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243,624,872.99</w:t>
            </w: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1,190,990,381.33</w:t>
            </w:r>
          </w:p>
        </w:tc>
        <w:tc>
          <w:tcPr>
            <w:tcW w:w="79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83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1,190,990,381.33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30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154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1,549,788,207.16</w:t>
            </w:r>
          </w:p>
        </w:tc>
        <w:tc>
          <w:tcPr>
            <w:tcW w:w="79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100.00</w:t>
            </w: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1,304,736,278.48</w:t>
            </w:r>
          </w:p>
        </w:tc>
        <w:tc>
          <w:tcPr>
            <w:tcW w:w="87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37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245,051,928.68</w:t>
            </w: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2,504,656,529.85</w:t>
            </w:r>
          </w:p>
        </w:tc>
        <w:tc>
          <w:tcPr>
            <w:tcW w:w="79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100.00</w:t>
            </w: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1,306,236,278.48</w:t>
            </w:r>
          </w:p>
        </w:tc>
        <w:tc>
          <w:tcPr>
            <w:tcW w:w="83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1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1,198,420,251.37</w:t>
            </w:r>
          </w:p>
        </w:tc>
      </w:tr>
    </w:tbl>
    <w:p>
      <w:pPr>
        <w:pStyle w:val="35"/>
        <w:rPr>
          <w:rFonts w:eastAsiaTheme="minorEastAsia"/>
          <w:color w:val="auto"/>
          <w:highlight w:val="none"/>
        </w:rPr>
      </w:pPr>
      <w:r>
        <w:rPr>
          <w:rFonts w:eastAsiaTheme="minorEastAsia"/>
          <w:color w:val="auto"/>
          <w:highlight w:val="none"/>
        </w:rPr>
        <w:fldChar w:fldCharType="end"/>
      </w:r>
    </w:p>
    <w:p>
      <w:pPr>
        <w:pStyle w:val="35"/>
        <w:rPr>
          <w:rFonts w:eastAsiaTheme="minorEastAsia"/>
          <w:color w:val="auto"/>
          <w:highlight w:val="none"/>
        </w:rPr>
      </w:pPr>
    </w:p>
    <w:p>
      <w:pPr>
        <w:pStyle w:val="35"/>
        <w:rPr>
          <w:color w:val="auto"/>
          <w:highlight w:val="none"/>
        </w:rPr>
        <w:sectPr>
          <w:pgSz w:w="16838" w:h="11906" w:orient="landscape"/>
          <w:pgMar w:top="1797" w:right="1440" w:bottom="1797" w:left="1440" w:header="680" w:footer="992" w:gutter="0"/>
          <w:cols w:space="425" w:num="1"/>
          <w:docGrid w:type="linesAndChars" w:linePitch="312" w:charSpace="0"/>
        </w:sectPr>
      </w:pPr>
    </w:p>
    <w:p>
      <w:pPr>
        <w:pStyle w:val="35"/>
        <w:rPr>
          <w:rFonts w:eastAsiaTheme="minorEastAsia"/>
          <w:color w:val="auto"/>
          <w:highlight w:val="none"/>
        </w:rPr>
      </w:pPr>
      <w:r>
        <w:rPr>
          <w:rFonts w:hint="eastAsia"/>
          <w:b/>
          <w:color w:val="auto"/>
          <w:highlight w:val="none"/>
        </w:rPr>
        <w:t>单项计提坏账准备的其他应收款项</w:t>
      </w:r>
    </w:p>
    <w:p>
      <w:pPr>
        <w:pStyle w:val="35"/>
        <w:rPr>
          <w:rFonts w:asciiTheme="minorHAnsi" w:hAnsiTheme="minorHAnsi" w:eastAsiaTheme="minorEastAsia" w:cstheme="minorBidi"/>
          <w:color w:val="auto"/>
          <w:highlight w:val="none"/>
        </w:rPr>
      </w:pPr>
      <w:r>
        <w:rPr>
          <w:rFonts w:eastAsiaTheme="minorEastAsia"/>
          <w:color w:val="auto"/>
          <w:highlight w:val="none"/>
        </w:rPr>
        <w:fldChar w:fldCharType="begin"/>
      </w:r>
      <w:r>
        <w:rPr>
          <w:rFonts w:eastAsiaTheme="minorEastAsia"/>
          <w:color w:val="auto"/>
          <w:highlight w:val="none"/>
        </w:rPr>
        <w:instrText xml:space="preserve"> LINK Excel.Sheet.12 "D:\\work\\20190430\\StandardTemplateTool\\template\\SASAC\\Frame\\201912\\SASACFinancialReports.xlsx" "母公司附注!母公司其他应收款2" \f 4 \h \* MERGEFORMAT </w:instrText>
      </w:r>
      <w:r>
        <w:rPr>
          <w:rFonts w:eastAsiaTheme="minorEastAsia"/>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1832"/>
        <w:gridCol w:w="1587"/>
        <w:gridCol w:w="1587"/>
        <w:gridCol w:w="1587"/>
        <w:gridCol w:w="1588"/>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PrEx>
        <w:trPr>
          <w:trHeight w:val="283" w:hRule="atLeast"/>
          <w:tblHeader/>
        </w:trPr>
        <w:tc>
          <w:tcPr>
            <w:tcW w:w="1832"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债务人名称</w:t>
            </w:r>
          </w:p>
        </w:tc>
        <w:tc>
          <w:tcPr>
            <w:tcW w:w="6349" w:type="dxa"/>
            <w:gridSpan w:val="4"/>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期末数</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832"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58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账面余额</w:t>
            </w:r>
          </w:p>
        </w:tc>
        <w:tc>
          <w:tcPr>
            <w:tcW w:w="158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坏账准备</w:t>
            </w:r>
          </w:p>
        </w:tc>
        <w:tc>
          <w:tcPr>
            <w:tcW w:w="158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预期信用损失率（%）</w:t>
            </w:r>
          </w:p>
        </w:tc>
        <w:tc>
          <w:tcPr>
            <w:tcW w:w="158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计提理由</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83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贵州泰元能源有限责任公司</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984,552,540.17</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983,125,484.48</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99.86</w:t>
            </w:r>
          </w:p>
        </w:tc>
        <w:tc>
          <w:tcPr>
            <w:tcW w:w="1588"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预计无法收回</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832"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贵州钟山野马寨热电有限责任公司</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321,610,794.00</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321,610,794.00</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100.00</w:t>
            </w:r>
          </w:p>
        </w:tc>
        <w:tc>
          <w:tcPr>
            <w:tcW w:w="1588"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预计无法收回</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832"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1,306,163,334.17</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1,304,736,278.48</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8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bl>
    <w:p>
      <w:pPr>
        <w:pStyle w:val="35"/>
        <w:rPr>
          <w:color w:val="auto"/>
          <w:highlight w:val="none"/>
        </w:rPr>
      </w:pPr>
      <w:r>
        <w:rPr>
          <w:rFonts w:eastAsiaTheme="minorEastAsia"/>
          <w:color w:val="auto"/>
          <w:highlight w:val="none"/>
        </w:rPr>
        <w:fldChar w:fldCharType="end"/>
      </w:r>
    </w:p>
    <w:p>
      <w:pPr>
        <w:pStyle w:val="35"/>
        <w:rPr>
          <w:color w:val="auto"/>
          <w:highlight w:val="none"/>
        </w:rPr>
      </w:pPr>
      <w:r>
        <w:rPr>
          <w:rFonts w:hint="eastAsia"/>
          <w:b/>
          <w:bCs/>
          <w:color w:val="auto"/>
          <w:highlight w:val="none"/>
        </w:rPr>
        <w:t>按信用风险特征组合计提坏账准备的其他应收款项</w:t>
      </w:r>
    </w:p>
    <w:p>
      <w:pPr>
        <w:pStyle w:val="35"/>
        <w:rPr>
          <w:rFonts w:eastAsiaTheme="minorEastAsia"/>
          <w:color w:val="auto"/>
          <w:highlight w:val="none"/>
        </w:rPr>
      </w:pPr>
      <w:r>
        <w:rPr>
          <w:rFonts w:hint="eastAsia"/>
          <w:color w:val="auto"/>
          <w:highlight w:val="none"/>
        </w:rPr>
        <w:t>①采用余额百分比法或其他组合方法计提坏账准备的其他应收款项</w:t>
      </w:r>
    </w:p>
    <w:p>
      <w:pPr>
        <w:pStyle w:val="35"/>
        <w:rPr>
          <w:rFonts w:asciiTheme="minorHAnsi" w:hAnsiTheme="minorHAnsi" w:eastAsiaTheme="minorEastAsia" w:cstheme="minorBidi"/>
          <w:color w:val="auto"/>
          <w:highlight w:val="none"/>
        </w:rPr>
      </w:pPr>
      <w:r>
        <w:rPr>
          <w:rFonts w:eastAsiaTheme="minorEastAsia"/>
          <w:color w:val="auto"/>
          <w:highlight w:val="none"/>
        </w:rPr>
        <w:fldChar w:fldCharType="begin"/>
      </w:r>
      <w:r>
        <w:rPr>
          <w:rFonts w:eastAsiaTheme="minorEastAsia"/>
          <w:color w:val="auto"/>
          <w:highlight w:val="none"/>
        </w:rPr>
        <w:instrText xml:space="preserve"> LINK Excel.Sheet.12 "D:\\work\\20190430V3\\StandardTemplateTool\\template\\SASAC\\Frame\\202112\\SASACFinancialReports.xlsx" "母公司其他应收款!母公司其他应收款4" \f 4 \h \* MERGEFORMAT </w:instrText>
      </w:r>
      <w:r>
        <w:rPr>
          <w:rFonts w:eastAsiaTheme="minorEastAsia"/>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1449"/>
        <w:gridCol w:w="1443"/>
        <w:gridCol w:w="976"/>
        <w:gridCol w:w="875"/>
        <w:gridCol w:w="1587"/>
        <w:gridCol w:w="976"/>
        <w:gridCol w:w="875"/>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449"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组合名称</w:t>
            </w:r>
          </w:p>
        </w:tc>
        <w:tc>
          <w:tcPr>
            <w:tcW w:w="3294" w:type="dxa"/>
            <w:gridSpan w:val="3"/>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期末数</w:t>
            </w:r>
          </w:p>
        </w:tc>
        <w:tc>
          <w:tcPr>
            <w:tcW w:w="3438" w:type="dxa"/>
            <w:gridSpan w:val="3"/>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期初数</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449"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443"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账面余额</w:t>
            </w:r>
          </w:p>
        </w:tc>
        <w:tc>
          <w:tcPr>
            <w:tcW w:w="976"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计提比例（%）</w:t>
            </w:r>
          </w:p>
        </w:tc>
        <w:tc>
          <w:tcPr>
            <w:tcW w:w="87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坏账准备</w:t>
            </w:r>
          </w:p>
        </w:tc>
        <w:tc>
          <w:tcPr>
            <w:tcW w:w="158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账面余额</w:t>
            </w:r>
          </w:p>
        </w:tc>
        <w:tc>
          <w:tcPr>
            <w:tcW w:w="976"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计提比例（%）</w:t>
            </w:r>
          </w:p>
        </w:tc>
        <w:tc>
          <w:tcPr>
            <w:tcW w:w="87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坏账准备</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449"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低风险组合</w:t>
            </w:r>
          </w:p>
        </w:tc>
        <w:tc>
          <w:tcPr>
            <w:tcW w:w="144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243,624,872.99</w:t>
            </w:r>
          </w:p>
        </w:tc>
        <w:tc>
          <w:tcPr>
            <w:tcW w:w="9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87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1,190,990,381.33</w:t>
            </w:r>
          </w:p>
        </w:tc>
        <w:tc>
          <w:tcPr>
            <w:tcW w:w="9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87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449"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144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243,624,872.99</w:t>
            </w:r>
          </w:p>
        </w:tc>
        <w:tc>
          <w:tcPr>
            <w:tcW w:w="9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87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1,190,990,381.33</w:t>
            </w:r>
          </w:p>
        </w:tc>
        <w:tc>
          <w:tcPr>
            <w:tcW w:w="976"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87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bl>
    <w:p>
      <w:pPr>
        <w:pStyle w:val="35"/>
        <w:rPr>
          <w:rFonts w:eastAsiaTheme="minorEastAsia"/>
          <w:color w:val="auto"/>
          <w:highlight w:val="none"/>
        </w:rPr>
      </w:pPr>
      <w:r>
        <w:rPr>
          <w:rFonts w:eastAsiaTheme="minorEastAsia"/>
          <w:color w:val="auto"/>
          <w:highlight w:val="none"/>
        </w:rPr>
        <w:fldChar w:fldCharType="end"/>
      </w:r>
    </w:p>
    <w:p>
      <w:pPr>
        <w:pStyle w:val="35"/>
        <w:rPr>
          <w:rFonts w:eastAsiaTheme="minorEastAsia"/>
          <w:color w:val="auto"/>
          <w:highlight w:val="none"/>
        </w:rPr>
      </w:pPr>
      <w:r>
        <w:rPr>
          <w:rFonts w:hint="eastAsia"/>
          <w:b/>
          <w:color w:val="auto"/>
          <w:highlight w:val="none"/>
        </w:rPr>
        <w:t>（</w:t>
      </w:r>
      <w:r>
        <w:rPr>
          <w:b/>
          <w:color w:val="auto"/>
          <w:highlight w:val="none"/>
        </w:rPr>
        <w:t>3</w:t>
      </w:r>
      <w:r>
        <w:rPr>
          <w:rFonts w:hint="eastAsia"/>
          <w:b/>
          <w:color w:val="auto"/>
          <w:highlight w:val="none"/>
        </w:rPr>
        <w:t>）其他应收款项坏账准备计提情况</w:t>
      </w:r>
    </w:p>
    <w:p>
      <w:pPr>
        <w:pStyle w:val="35"/>
        <w:rPr>
          <w:rFonts w:asciiTheme="minorHAnsi" w:hAnsiTheme="minorHAnsi" w:eastAsiaTheme="minorEastAsia" w:cstheme="minorBidi"/>
          <w:color w:val="auto"/>
          <w:highlight w:val="none"/>
        </w:rPr>
      </w:pPr>
      <w:r>
        <w:rPr>
          <w:rFonts w:eastAsiaTheme="minorEastAsia"/>
          <w:color w:val="auto"/>
          <w:highlight w:val="none"/>
        </w:rPr>
        <w:fldChar w:fldCharType="begin"/>
      </w:r>
      <w:r>
        <w:rPr>
          <w:rFonts w:eastAsiaTheme="minorEastAsia"/>
          <w:color w:val="auto"/>
          <w:highlight w:val="none"/>
        </w:rPr>
        <w:instrText xml:space="preserve"> LINK Excel.Sheet.12 "D:\\work\\20190430V3\\StandardTemplateTool\\template\\SASAC\\Frame\\202112\\SASACFinancialReports.xlsx" "母公司其他应收款!母公司其他应收款5" \f 4 \h \* MERGEFORMAT </w:instrText>
      </w:r>
      <w:r>
        <w:rPr>
          <w:rFonts w:eastAsiaTheme="minorEastAsia"/>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1617"/>
        <w:gridCol w:w="1640"/>
        <w:gridCol w:w="1644"/>
        <w:gridCol w:w="1693"/>
        <w:gridCol w:w="1587"/>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617"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坏账准备</w:t>
            </w:r>
          </w:p>
        </w:tc>
        <w:tc>
          <w:tcPr>
            <w:tcW w:w="1640"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第一阶段</w:t>
            </w:r>
          </w:p>
        </w:tc>
        <w:tc>
          <w:tcPr>
            <w:tcW w:w="1644"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第二阶段</w:t>
            </w:r>
          </w:p>
        </w:tc>
        <w:tc>
          <w:tcPr>
            <w:tcW w:w="1693"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第三阶段</w:t>
            </w:r>
          </w:p>
        </w:tc>
        <w:tc>
          <w:tcPr>
            <w:tcW w:w="1587"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617"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640"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未来12个月预期信用损失</w:t>
            </w:r>
          </w:p>
        </w:tc>
        <w:tc>
          <w:tcPr>
            <w:tcW w:w="1644"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整个存续期预期信用损失(未发生信用减值)</w:t>
            </w:r>
          </w:p>
        </w:tc>
        <w:tc>
          <w:tcPr>
            <w:tcW w:w="1693"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整个存续期预期信用损失(已发生信用减值)</w:t>
            </w:r>
          </w:p>
        </w:tc>
        <w:tc>
          <w:tcPr>
            <w:tcW w:w="1587"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1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w:t>
            </w: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4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1,306,236,278.48</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1,306,236,278.48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1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期初余额在本期</w:t>
            </w: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4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1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--转入第二阶段</w:t>
            </w: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4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1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--转入第三阶段</w:t>
            </w: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4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1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--转回第二阶段</w:t>
            </w: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4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1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--转回第一阶段</w:t>
            </w: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4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1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本期计提</w:t>
            </w: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4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1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本期转回</w:t>
            </w: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4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1,500,000.00</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1,500,000.00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1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本期转销</w:t>
            </w: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4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1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本期核销</w:t>
            </w: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4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1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其他变动</w:t>
            </w: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4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17"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c>
          <w:tcPr>
            <w:tcW w:w="164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4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93"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1,304,736,278.48</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1,304,736,278.48</w:t>
            </w:r>
          </w:p>
        </w:tc>
      </w:tr>
    </w:tbl>
    <w:p>
      <w:pPr>
        <w:pStyle w:val="35"/>
        <w:rPr>
          <w:rFonts w:eastAsiaTheme="minorEastAsia"/>
          <w:color w:val="auto"/>
          <w:highlight w:val="none"/>
        </w:rPr>
      </w:pPr>
      <w:r>
        <w:rPr>
          <w:rFonts w:eastAsiaTheme="minorEastAsia"/>
          <w:color w:val="auto"/>
          <w:highlight w:val="none"/>
        </w:rPr>
        <w:fldChar w:fldCharType="end"/>
      </w:r>
    </w:p>
    <w:p>
      <w:pPr>
        <w:pStyle w:val="35"/>
        <w:rPr>
          <w:rFonts w:eastAsiaTheme="minorEastAsia"/>
          <w:color w:val="auto"/>
          <w:highlight w:val="none"/>
        </w:rPr>
      </w:pPr>
    </w:p>
    <w:p>
      <w:pPr>
        <w:pStyle w:val="35"/>
        <w:rPr>
          <w:b/>
          <w:color w:val="auto"/>
          <w:highlight w:val="none"/>
        </w:rPr>
      </w:pPr>
      <w:r>
        <w:rPr>
          <w:rFonts w:hint="eastAsia"/>
          <w:b/>
          <w:color w:val="auto"/>
          <w:highlight w:val="none"/>
        </w:rPr>
        <w:t>（</w:t>
      </w:r>
      <w:r>
        <w:rPr>
          <w:b/>
          <w:color w:val="auto"/>
          <w:highlight w:val="none"/>
        </w:rPr>
        <w:t>4</w:t>
      </w:r>
      <w:r>
        <w:rPr>
          <w:rFonts w:hint="eastAsia"/>
          <w:b/>
          <w:color w:val="auto"/>
          <w:highlight w:val="none"/>
        </w:rPr>
        <w:t>）收回或转回的坏账准备情况</w:t>
      </w:r>
    </w:p>
    <w:p>
      <w:pPr>
        <w:pStyle w:val="35"/>
        <w:rPr>
          <w:rFonts w:eastAsiaTheme="minorEastAsia"/>
          <w:b/>
          <w:bCs/>
          <w:color w:val="auto"/>
          <w:szCs w:val="22"/>
          <w:highlight w:val="none"/>
        </w:rPr>
      </w:pPr>
      <w:r>
        <w:rPr>
          <w:rFonts w:eastAsiaTheme="minorEastAsia"/>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w:instrText>
      </w:r>
      <w:r>
        <w:rPr>
          <w:rFonts w:eastAsiaTheme="minorEastAsia"/>
          <w:color w:val="auto"/>
          <w:highlight w:val="none"/>
          <w:shd w:val="clear" w:color="auto" w:fill="CCFFFF"/>
        </w:rPr>
        <w:instrText xml:space="preserve">母公司</w:instrText>
      </w:r>
      <w:r>
        <w:rPr>
          <w:rFonts w:hint="eastAsia" w:eastAsiaTheme="minorEastAsia"/>
          <w:color w:val="auto"/>
          <w:highlight w:val="none"/>
          <w:shd w:val="clear" w:color="auto" w:fill="CCFFFF"/>
        </w:rPr>
        <w:instrText xml:space="preserve">附注</w:instrText>
      </w:r>
      <w:r>
        <w:rPr>
          <w:rFonts w:eastAsiaTheme="minorEastAsia"/>
          <w:color w:val="auto"/>
          <w:highlight w:val="none"/>
        </w:rPr>
        <w:instrText xml:space="preserve">!母公司其他应收款7 \f 4 \h \* MERGEFORMAT </w:instrText>
      </w:r>
      <w:r>
        <w:rPr>
          <w:rFonts w:eastAsiaTheme="minorEastAsia"/>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3178"/>
        <w:gridCol w:w="1248"/>
        <w:gridCol w:w="2110"/>
        <w:gridCol w:w="1645"/>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317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债务人名称</w:t>
            </w:r>
          </w:p>
        </w:tc>
        <w:tc>
          <w:tcPr>
            <w:tcW w:w="124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转回或收回金额</w:t>
            </w:r>
          </w:p>
        </w:tc>
        <w:tc>
          <w:tcPr>
            <w:tcW w:w="2110"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转回或收回前累计已计提坏账准备金额</w:t>
            </w:r>
          </w:p>
        </w:tc>
        <w:tc>
          <w:tcPr>
            <w:tcW w:w="164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转回或收回原因、方式</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178"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贵州钟山野马寨热电有限责任公司</w:t>
            </w:r>
          </w:p>
        </w:tc>
        <w:tc>
          <w:tcPr>
            <w:tcW w:w="12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1,500,000.00</w:t>
            </w:r>
          </w:p>
        </w:tc>
        <w:tc>
          <w:tcPr>
            <w:tcW w:w="211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323,110,794.00</w:t>
            </w:r>
          </w:p>
        </w:tc>
        <w:tc>
          <w:tcPr>
            <w:tcW w:w="164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款项已收回</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17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124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1,500,000.00</w:t>
            </w:r>
          </w:p>
        </w:tc>
        <w:tc>
          <w:tcPr>
            <w:tcW w:w="211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323,110,794.00</w:t>
            </w:r>
          </w:p>
        </w:tc>
        <w:tc>
          <w:tcPr>
            <w:tcW w:w="1645"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p>
        </w:tc>
      </w:tr>
    </w:tbl>
    <w:p>
      <w:pPr>
        <w:pStyle w:val="35"/>
        <w:rPr>
          <w:rFonts w:eastAsiaTheme="minorEastAsia"/>
          <w:color w:val="auto"/>
          <w:highlight w:val="none"/>
        </w:rPr>
      </w:pPr>
      <w:r>
        <w:rPr>
          <w:rFonts w:eastAsiaTheme="minorEastAsia"/>
          <w:color w:val="auto"/>
          <w:highlight w:val="none"/>
        </w:rPr>
        <w:fldChar w:fldCharType="end"/>
      </w:r>
    </w:p>
    <w:p>
      <w:pPr>
        <w:pStyle w:val="37"/>
        <w:rPr>
          <w:rFonts w:eastAsiaTheme="minorEastAsia"/>
          <w:color w:val="auto"/>
          <w:highlight w:val="none"/>
        </w:rPr>
      </w:pPr>
      <w:r>
        <w:rPr>
          <w:rFonts w:eastAsiaTheme="minorEastAsia"/>
          <w:color w:val="auto"/>
          <w:highlight w:val="none"/>
        </w:rPr>
        <w:t>长期股权投资</w:t>
      </w:r>
    </w:p>
    <w:p>
      <w:pPr>
        <w:pStyle w:val="44"/>
        <w:rPr>
          <w:color w:val="auto"/>
          <w:highlight w:val="none"/>
        </w:rPr>
      </w:pPr>
      <w:r>
        <w:rPr>
          <w:color w:val="auto"/>
          <w:highlight w:val="none"/>
        </w:rPr>
        <w:t>长期股权投资分类</w:t>
      </w:r>
    </w:p>
    <w:p>
      <w:pPr>
        <w:pStyle w:val="35"/>
        <w:rPr>
          <w:color w:val="auto"/>
          <w:highlight w:val="none"/>
        </w:rPr>
      </w:pPr>
      <w:r>
        <w:rPr>
          <w:color w:val="auto"/>
          <w:highlight w:val="none"/>
        </w:rPr>
        <w:fldChar w:fldCharType="begin"/>
      </w:r>
      <w:r>
        <w:rPr>
          <w:color w:val="auto"/>
          <w:highlight w:val="none"/>
        </w:rPr>
        <w:instrText xml:space="preserve"> LINK Excel.Sheet.12 E:\\雍\\附注排版\\2014年年报格式\\附注过渡表20150130V0910.xlsx</w:instrText>
      </w:r>
      <w:r>
        <w:rPr>
          <w:rFonts w:hint="eastAsia"/>
          <w:color w:val="auto"/>
          <w:highlight w:val="none"/>
        </w:rPr>
        <w:instrText xml:space="preserve"> </w:instrText>
      </w:r>
      <w:r>
        <w:rPr>
          <w:rFonts w:eastAsiaTheme="minorEastAsia"/>
          <w:color w:val="auto"/>
          <w:highlight w:val="none"/>
          <w:shd w:val="clear" w:color="auto" w:fill="CCFFFF"/>
        </w:rPr>
        <w:instrText xml:space="preserve">母公司</w:instrText>
      </w:r>
      <w:r>
        <w:rPr>
          <w:rFonts w:hint="eastAsia" w:eastAsiaTheme="minorEastAsia"/>
          <w:color w:val="auto"/>
          <w:highlight w:val="none"/>
          <w:shd w:val="clear" w:color="auto" w:fill="CCFFFF"/>
        </w:rPr>
        <w:instrText xml:space="preserve">附注</w:instrText>
      </w:r>
      <w:r>
        <w:rPr>
          <w:color w:val="auto"/>
          <w:highlight w:val="none"/>
        </w:rPr>
        <w:instrText xml:space="preserve">!母公司长期股权投资 \f 4 \h \* MERGEFORMAT </w:instrText>
      </w:r>
      <w:r>
        <w:rPr>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1639"/>
        <w:gridCol w:w="1684"/>
        <w:gridCol w:w="1587"/>
        <w:gridCol w:w="1587"/>
        <w:gridCol w:w="1684"/>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639"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1684"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w:t>
            </w:r>
          </w:p>
        </w:tc>
        <w:tc>
          <w:tcPr>
            <w:tcW w:w="158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本期增加</w:t>
            </w:r>
          </w:p>
        </w:tc>
        <w:tc>
          <w:tcPr>
            <w:tcW w:w="1587"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本期减少</w:t>
            </w:r>
          </w:p>
        </w:tc>
        <w:tc>
          <w:tcPr>
            <w:tcW w:w="1684"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39"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对子公司投资</w:t>
            </w:r>
          </w:p>
        </w:tc>
        <w:tc>
          <w:tcPr>
            <w:tcW w:w="168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17,301,063,928.00</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707,599,067.07</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849,992,494.65</w:t>
            </w:r>
          </w:p>
        </w:tc>
        <w:tc>
          <w:tcPr>
            <w:tcW w:w="168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17,158,670,500.42</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39"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对合营企业投资</w:t>
            </w:r>
          </w:p>
        </w:tc>
        <w:tc>
          <w:tcPr>
            <w:tcW w:w="168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8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39"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对联营企业投资</w:t>
            </w:r>
          </w:p>
        </w:tc>
        <w:tc>
          <w:tcPr>
            <w:tcW w:w="168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494,549,033.20</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791,644,423.38</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621,799,882.38</w:t>
            </w:r>
          </w:p>
        </w:tc>
        <w:tc>
          <w:tcPr>
            <w:tcW w:w="168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664,393,574.20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39"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小计</w:t>
            </w:r>
          </w:p>
        </w:tc>
        <w:tc>
          <w:tcPr>
            <w:tcW w:w="168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17,795,612,961.20</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1,499,243,490.45</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1,471,792,377.03</w:t>
            </w:r>
          </w:p>
        </w:tc>
        <w:tc>
          <w:tcPr>
            <w:tcW w:w="168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17,823,064,074.62</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39"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减：长期股权投资减值准备</w:t>
            </w:r>
          </w:p>
        </w:tc>
        <w:tc>
          <w:tcPr>
            <w:tcW w:w="168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3,441,613,581.40</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8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3,441,613,581.40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639"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168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14,353,999,379.80</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1,499,243,490.45</w:t>
            </w:r>
          </w:p>
        </w:tc>
        <w:tc>
          <w:tcPr>
            <w:tcW w:w="1587"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1,471,792,377.03</w:t>
            </w:r>
          </w:p>
        </w:tc>
        <w:tc>
          <w:tcPr>
            <w:tcW w:w="168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14,381,450,493.22</w:t>
            </w:r>
          </w:p>
        </w:tc>
      </w:tr>
    </w:tbl>
    <w:p>
      <w:pPr>
        <w:pStyle w:val="35"/>
        <w:rPr>
          <w:color w:val="auto"/>
          <w:highlight w:val="none"/>
        </w:rPr>
      </w:pPr>
      <w:r>
        <w:rPr>
          <w:color w:val="auto"/>
          <w:highlight w:val="none"/>
        </w:rPr>
        <w:fldChar w:fldCharType="end"/>
      </w:r>
    </w:p>
    <w:p>
      <w:pPr>
        <w:pStyle w:val="35"/>
        <w:rPr>
          <w:color w:val="auto"/>
          <w:highlight w:val="none"/>
        </w:rPr>
        <w:sectPr>
          <w:pgSz w:w="11906" w:h="16838"/>
          <w:pgMar w:top="1440" w:right="1800" w:bottom="1440" w:left="1800" w:header="680" w:footer="992" w:gutter="0"/>
          <w:cols w:space="425" w:num="1"/>
          <w:docGrid w:type="lines" w:linePitch="312" w:charSpace="0"/>
        </w:sectPr>
      </w:pPr>
    </w:p>
    <w:p>
      <w:pPr>
        <w:pStyle w:val="44"/>
        <w:rPr>
          <w:rFonts w:eastAsiaTheme="minorEastAsia"/>
          <w:color w:val="auto"/>
          <w:highlight w:val="none"/>
        </w:rPr>
      </w:pPr>
      <w:r>
        <w:rPr>
          <w:color w:val="auto"/>
          <w:kern w:val="0"/>
          <w:highlight w:val="none"/>
        </w:rPr>
        <w:t>长期股权投资明细</w:t>
      </w:r>
    </w:p>
    <w:p>
      <w:pPr>
        <w:pStyle w:val="35"/>
        <w:rPr>
          <w:rFonts w:eastAsiaTheme="minorEastAsia"/>
          <w:color w:val="auto"/>
          <w:highlight w:val="none"/>
        </w:rPr>
      </w:pPr>
      <w:r>
        <w:rPr>
          <w:rFonts w:eastAsiaTheme="minorEastAsia"/>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w:instrText>
      </w:r>
      <w:r>
        <w:rPr>
          <w:rFonts w:eastAsiaTheme="minorEastAsia"/>
          <w:color w:val="auto"/>
          <w:highlight w:val="none"/>
          <w:shd w:val="clear" w:color="auto" w:fill="CCFFFF"/>
        </w:rPr>
        <w:instrText xml:space="preserve">母公司</w:instrText>
      </w:r>
      <w:r>
        <w:rPr>
          <w:rFonts w:hint="eastAsia" w:eastAsiaTheme="minorEastAsia"/>
          <w:color w:val="auto"/>
          <w:highlight w:val="none"/>
          <w:shd w:val="clear" w:color="auto" w:fill="CCFFFF"/>
        </w:rPr>
        <w:instrText xml:space="preserve">附注</w:instrText>
      </w:r>
      <w:r>
        <w:rPr>
          <w:rFonts w:eastAsiaTheme="minorEastAsia"/>
          <w:color w:val="auto"/>
          <w:highlight w:val="none"/>
        </w:rPr>
        <w:instrText xml:space="preserve">!母公司长期股权投资2 \f 4 \h \* MERGEFORMAT </w:instrText>
      </w:r>
      <w:r>
        <w:rPr>
          <w:rFonts w:eastAsiaTheme="minorEastAsia"/>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2489"/>
        <w:gridCol w:w="1191"/>
        <w:gridCol w:w="1235"/>
        <w:gridCol w:w="1029"/>
        <w:gridCol w:w="503"/>
        <w:gridCol w:w="1116"/>
        <w:gridCol w:w="552"/>
        <w:gridCol w:w="801"/>
        <w:gridCol w:w="697"/>
        <w:gridCol w:w="499"/>
        <w:gridCol w:w="1114"/>
        <w:gridCol w:w="1250"/>
        <w:gridCol w:w="1132"/>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2489"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被投资单位</w:t>
            </w:r>
          </w:p>
        </w:tc>
        <w:tc>
          <w:tcPr>
            <w:tcW w:w="1191"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投资成本</w:t>
            </w:r>
          </w:p>
        </w:tc>
        <w:tc>
          <w:tcPr>
            <w:tcW w:w="1235"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期初余额</w:t>
            </w:r>
          </w:p>
        </w:tc>
        <w:tc>
          <w:tcPr>
            <w:tcW w:w="6311" w:type="dxa"/>
            <w:gridSpan w:val="8"/>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本期增减变动</w:t>
            </w:r>
          </w:p>
        </w:tc>
        <w:tc>
          <w:tcPr>
            <w:tcW w:w="1250"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期末余额</w:t>
            </w:r>
          </w:p>
        </w:tc>
        <w:tc>
          <w:tcPr>
            <w:tcW w:w="1132"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减值准备期末余额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2489" w:type="dxa"/>
            <w:vMerge w:val="continue"/>
            <w:shd w:val="clear" w:color="auto" w:fill="auto"/>
            <w:vAlign w:val="center"/>
          </w:tcPr>
          <w:p>
            <w:pPr>
              <w:spacing w:line="200" w:lineRule="atLeast"/>
              <w:jc w:val="both"/>
              <w:rPr>
                <w:rFonts w:ascii="Times New Roman" w:hAnsi="Times New Roman" w:eastAsia="宋体" w:cs="Times New Roman"/>
                <w:color w:val="auto"/>
                <w:sz w:val="12"/>
                <w:highlight w:val="none"/>
              </w:rPr>
            </w:pPr>
          </w:p>
        </w:tc>
        <w:tc>
          <w:tcPr>
            <w:tcW w:w="1191" w:type="dxa"/>
            <w:vMerge w:val="continue"/>
            <w:shd w:val="clear" w:color="auto" w:fill="auto"/>
            <w:vAlign w:val="center"/>
          </w:tcPr>
          <w:p>
            <w:pPr>
              <w:spacing w:line="200" w:lineRule="atLeast"/>
              <w:jc w:val="both"/>
              <w:rPr>
                <w:rFonts w:ascii="Times New Roman" w:hAnsi="Times New Roman" w:eastAsia="宋体" w:cs="Times New Roman"/>
                <w:color w:val="auto"/>
                <w:sz w:val="12"/>
                <w:highlight w:val="none"/>
              </w:rPr>
            </w:pPr>
          </w:p>
        </w:tc>
        <w:tc>
          <w:tcPr>
            <w:tcW w:w="1235" w:type="dxa"/>
            <w:vMerge w:val="continue"/>
            <w:shd w:val="clear" w:color="auto" w:fill="auto"/>
            <w:vAlign w:val="center"/>
          </w:tcPr>
          <w:p>
            <w:pPr>
              <w:spacing w:line="200" w:lineRule="atLeast"/>
              <w:jc w:val="both"/>
              <w:rPr>
                <w:rFonts w:ascii="Times New Roman" w:hAnsi="Times New Roman" w:eastAsia="宋体" w:cs="Times New Roman"/>
                <w:color w:val="auto"/>
                <w:sz w:val="12"/>
                <w:highlight w:val="none"/>
              </w:rPr>
            </w:pPr>
          </w:p>
        </w:tc>
        <w:tc>
          <w:tcPr>
            <w:tcW w:w="1029"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追加投资</w:t>
            </w:r>
          </w:p>
        </w:tc>
        <w:tc>
          <w:tcPr>
            <w:tcW w:w="503"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减少投资</w:t>
            </w:r>
          </w:p>
        </w:tc>
        <w:tc>
          <w:tcPr>
            <w:tcW w:w="1116"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权益法下确认的投资损益</w:t>
            </w:r>
          </w:p>
        </w:tc>
        <w:tc>
          <w:tcPr>
            <w:tcW w:w="552"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其他综合收益调整</w:t>
            </w:r>
          </w:p>
        </w:tc>
        <w:tc>
          <w:tcPr>
            <w:tcW w:w="801"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其他权益变动</w:t>
            </w:r>
          </w:p>
        </w:tc>
        <w:tc>
          <w:tcPr>
            <w:tcW w:w="697"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宣告发放现金股利或利润</w:t>
            </w:r>
          </w:p>
        </w:tc>
        <w:tc>
          <w:tcPr>
            <w:tcW w:w="499"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计提减值准备</w:t>
            </w:r>
          </w:p>
        </w:tc>
        <w:tc>
          <w:tcPr>
            <w:tcW w:w="1114"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其他</w:t>
            </w:r>
          </w:p>
        </w:tc>
        <w:tc>
          <w:tcPr>
            <w:tcW w:w="1250" w:type="dxa"/>
            <w:vMerge w:val="continue"/>
            <w:shd w:val="clear" w:color="auto" w:fill="auto"/>
            <w:vAlign w:val="center"/>
          </w:tcPr>
          <w:p>
            <w:pPr>
              <w:spacing w:line="200" w:lineRule="atLeast"/>
              <w:jc w:val="both"/>
              <w:rPr>
                <w:rFonts w:ascii="Times New Roman" w:hAnsi="Times New Roman" w:eastAsia="宋体" w:cs="Times New Roman"/>
                <w:color w:val="auto"/>
                <w:sz w:val="12"/>
                <w:highlight w:val="none"/>
              </w:rPr>
            </w:pPr>
          </w:p>
        </w:tc>
        <w:tc>
          <w:tcPr>
            <w:tcW w:w="1132" w:type="dxa"/>
            <w:vMerge w:val="continue"/>
            <w:shd w:val="clear" w:color="auto" w:fill="auto"/>
            <w:vAlign w:val="center"/>
          </w:tcPr>
          <w:p>
            <w:pPr>
              <w:spacing w:line="200" w:lineRule="atLeast"/>
              <w:jc w:val="both"/>
              <w:rPr>
                <w:rFonts w:ascii="Times New Roman" w:hAnsi="Times New Roman" w:eastAsia="宋体" w:cs="Times New Roman"/>
                <w:color w:val="auto"/>
                <w:sz w:val="12"/>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89" w:type="dxa"/>
            <w:shd w:val="clear" w:color="auto" w:fill="auto"/>
            <w:vAlign w:val="center"/>
          </w:tcPr>
          <w:p>
            <w:pPr>
              <w:snapToGrid w:val="0"/>
              <w:spacing w:line="200" w:lineRule="atLeast"/>
              <w:jc w:val="center"/>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合计</w:t>
            </w:r>
          </w:p>
        </w:tc>
        <w:tc>
          <w:tcPr>
            <w:tcW w:w="1191"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19,373,923,302.87</w:t>
            </w:r>
          </w:p>
        </w:tc>
        <w:tc>
          <w:tcPr>
            <w:tcW w:w="1235"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17,795,612,961.20</w:t>
            </w:r>
          </w:p>
        </w:tc>
        <w:tc>
          <w:tcPr>
            <w:tcW w:w="1029"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161,596,300.00</w:t>
            </w:r>
          </w:p>
        </w:tc>
        <w:tc>
          <w:tcPr>
            <w:tcW w:w="503"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16"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-613,672,687.18</w:t>
            </w:r>
          </w:p>
        </w:tc>
        <w:tc>
          <w:tcPr>
            <w:tcW w:w="55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801"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121,045.80</w:t>
            </w:r>
          </w:p>
        </w:tc>
        <w:tc>
          <w:tcPr>
            <w:tcW w:w="697"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499"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14"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479,406,454.80</w:t>
            </w:r>
          </w:p>
        </w:tc>
        <w:tc>
          <w:tcPr>
            <w:tcW w:w="1250"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17,823,064,074.62</w:t>
            </w: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3,441,613,581.40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89" w:type="dxa"/>
            <w:shd w:val="clear" w:color="auto" w:fill="auto"/>
            <w:vAlign w:val="center"/>
          </w:tcPr>
          <w:p>
            <w:pPr>
              <w:snapToGrid w:val="0"/>
              <w:spacing w:line="200" w:lineRule="atLeast"/>
              <w:jc w:val="lef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1.子公司</w:t>
            </w:r>
          </w:p>
        </w:tc>
        <w:tc>
          <w:tcPr>
            <w:tcW w:w="1191"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17,679,327,120.49</w:t>
            </w:r>
          </w:p>
        </w:tc>
        <w:tc>
          <w:tcPr>
            <w:tcW w:w="1235"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17,301,063,928.00</w:t>
            </w:r>
          </w:p>
        </w:tc>
        <w:tc>
          <w:tcPr>
            <w:tcW w:w="1029"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503"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16"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55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801"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697"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499"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14"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-142,393,427.58</w:t>
            </w:r>
          </w:p>
        </w:tc>
        <w:tc>
          <w:tcPr>
            <w:tcW w:w="1250"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17,158,670,500.42</w:t>
            </w: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3,337,613,581.40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89" w:type="dxa"/>
            <w:shd w:val="clear" w:color="auto" w:fill="auto"/>
            <w:vAlign w:val="center"/>
          </w:tcPr>
          <w:p>
            <w:pPr>
              <w:snapToGrid w:val="0"/>
              <w:spacing w:line="200" w:lineRule="atLeast"/>
              <w:jc w:val="lef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国家电投集团贵州金元绥阳产业有限公司</w:t>
            </w:r>
          </w:p>
        </w:tc>
        <w:tc>
          <w:tcPr>
            <w:tcW w:w="1191"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4,049,049,173.89</w:t>
            </w:r>
          </w:p>
        </w:tc>
        <w:tc>
          <w:tcPr>
            <w:tcW w:w="1235"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3,700,785,981.40</w:t>
            </w:r>
          </w:p>
        </w:tc>
        <w:tc>
          <w:tcPr>
            <w:tcW w:w="1029"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503"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16"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55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801"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697"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499"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14"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250"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3,700,785,981.40</w:t>
            </w: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3,337,613,581.40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89" w:type="dxa"/>
            <w:shd w:val="clear" w:color="auto" w:fill="auto"/>
            <w:vAlign w:val="center"/>
          </w:tcPr>
          <w:p>
            <w:pPr>
              <w:snapToGrid w:val="0"/>
              <w:spacing w:line="200" w:lineRule="atLeast"/>
              <w:jc w:val="lef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贵州中水能源股份有限公司</w:t>
            </w:r>
          </w:p>
        </w:tc>
        <w:tc>
          <w:tcPr>
            <w:tcW w:w="1191"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3,328,045,015.63</w:t>
            </w:r>
          </w:p>
        </w:tc>
        <w:tc>
          <w:tcPr>
            <w:tcW w:w="1235"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3,328,045,015.63</w:t>
            </w:r>
          </w:p>
        </w:tc>
        <w:tc>
          <w:tcPr>
            <w:tcW w:w="1029"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503"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16"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55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801"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697"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499"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14"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250"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3,328,045,015.63</w:t>
            </w: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89" w:type="dxa"/>
            <w:shd w:val="clear" w:color="auto" w:fill="auto"/>
            <w:vAlign w:val="center"/>
          </w:tcPr>
          <w:p>
            <w:pPr>
              <w:snapToGrid w:val="0"/>
              <w:spacing w:line="200" w:lineRule="atLeast"/>
              <w:jc w:val="lef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贵州西电电力股份有限公司</w:t>
            </w:r>
          </w:p>
        </w:tc>
        <w:tc>
          <w:tcPr>
            <w:tcW w:w="1191"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3,107,631,627.26</w:t>
            </w:r>
          </w:p>
        </w:tc>
        <w:tc>
          <w:tcPr>
            <w:tcW w:w="1235"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3,107,631,627.26</w:t>
            </w:r>
          </w:p>
        </w:tc>
        <w:tc>
          <w:tcPr>
            <w:tcW w:w="1029"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503"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16"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55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801"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697"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499"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14"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250"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3,107,631,627.26</w:t>
            </w: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89" w:type="dxa"/>
            <w:shd w:val="clear" w:color="auto" w:fill="auto"/>
            <w:vAlign w:val="center"/>
          </w:tcPr>
          <w:p>
            <w:pPr>
              <w:snapToGrid w:val="0"/>
              <w:spacing w:line="200" w:lineRule="atLeast"/>
              <w:jc w:val="lef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国家电投集团贵州金元威宁能源股份有限公司</w:t>
            </w:r>
          </w:p>
        </w:tc>
        <w:tc>
          <w:tcPr>
            <w:tcW w:w="1191"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2,395,000,136.00</w:t>
            </w:r>
          </w:p>
        </w:tc>
        <w:tc>
          <w:tcPr>
            <w:tcW w:w="1235"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2,395,000,136.00</w:t>
            </w:r>
          </w:p>
        </w:tc>
        <w:tc>
          <w:tcPr>
            <w:tcW w:w="1029"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503"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16"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55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801"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697"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499"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14"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677,599,067.07</w:t>
            </w:r>
          </w:p>
        </w:tc>
        <w:tc>
          <w:tcPr>
            <w:tcW w:w="1250"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3,072,599,203.07</w:t>
            </w: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89" w:type="dxa"/>
            <w:shd w:val="clear" w:color="auto" w:fill="auto"/>
            <w:vAlign w:val="center"/>
          </w:tcPr>
          <w:p>
            <w:pPr>
              <w:snapToGrid w:val="0"/>
              <w:spacing w:line="200" w:lineRule="atLeast"/>
              <w:jc w:val="lef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融和东能（嘉兴）新能源投资合伙企业（有限合伙）</w:t>
            </w:r>
          </w:p>
        </w:tc>
        <w:tc>
          <w:tcPr>
            <w:tcW w:w="1191"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1,360,655,428.24</w:t>
            </w:r>
          </w:p>
        </w:tc>
        <w:tc>
          <w:tcPr>
            <w:tcW w:w="1235"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1,360,655,428.24</w:t>
            </w:r>
          </w:p>
        </w:tc>
        <w:tc>
          <w:tcPr>
            <w:tcW w:w="1029"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503"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16"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55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801"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697"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499"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14"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250"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1,360,655,428.24</w:t>
            </w: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89" w:type="dxa"/>
            <w:shd w:val="clear" w:color="auto" w:fill="auto"/>
            <w:vAlign w:val="center"/>
          </w:tcPr>
          <w:p>
            <w:pPr>
              <w:snapToGrid w:val="0"/>
              <w:spacing w:line="200" w:lineRule="atLeast"/>
              <w:jc w:val="lef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贵州元龙综合能源产业服务有限公司</w:t>
            </w:r>
          </w:p>
        </w:tc>
        <w:tc>
          <w:tcPr>
            <w:tcW w:w="1191"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974,372,574.76</w:t>
            </w:r>
          </w:p>
        </w:tc>
        <w:tc>
          <w:tcPr>
            <w:tcW w:w="1235"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974,372,574.76</w:t>
            </w:r>
          </w:p>
        </w:tc>
        <w:tc>
          <w:tcPr>
            <w:tcW w:w="1029"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503"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16"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55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801"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697"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499"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14"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250"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974,372,574.76</w:t>
            </w: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89" w:type="dxa"/>
            <w:shd w:val="clear" w:color="auto" w:fill="auto"/>
            <w:vAlign w:val="center"/>
          </w:tcPr>
          <w:p>
            <w:pPr>
              <w:snapToGrid w:val="0"/>
              <w:spacing w:line="200" w:lineRule="atLeast"/>
              <w:jc w:val="lef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贵州金元绿链物流开发有限公司</w:t>
            </w:r>
          </w:p>
        </w:tc>
        <w:tc>
          <w:tcPr>
            <w:tcW w:w="1191"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700,000,000.00</w:t>
            </w:r>
          </w:p>
        </w:tc>
        <w:tc>
          <w:tcPr>
            <w:tcW w:w="1235"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700,000,000.00</w:t>
            </w:r>
          </w:p>
        </w:tc>
        <w:tc>
          <w:tcPr>
            <w:tcW w:w="1029"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503"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16"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55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801"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697"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499"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14"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250"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700,000,000.00</w:t>
            </w: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89" w:type="dxa"/>
            <w:shd w:val="clear" w:color="auto" w:fill="auto"/>
            <w:vAlign w:val="center"/>
          </w:tcPr>
          <w:p>
            <w:pPr>
              <w:snapToGrid w:val="0"/>
              <w:spacing w:line="200" w:lineRule="atLeast"/>
              <w:jc w:val="lef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贵州西能电力建设有限公司</w:t>
            </w:r>
          </w:p>
        </w:tc>
        <w:tc>
          <w:tcPr>
            <w:tcW w:w="1191"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674,580,670.06</w:t>
            </w:r>
          </w:p>
        </w:tc>
        <w:tc>
          <w:tcPr>
            <w:tcW w:w="1235"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674,580,670.06</w:t>
            </w:r>
          </w:p>
        </w:tc>
        <w:tc>
          <w:tcPr>
            <w:tcW w:w="1029"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503"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16"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55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801"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697"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499"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14"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250"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674,580,670.06</w:t>
            </w: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89" w:type="dxa"/>
            <w:shd w:val="clear" w:color="auto" w:fill="auto"/>
            <w:vAlign w:val="center"/>
          </w:tcPr>
          <w:p>
            <w:pPr>
              <w:snapToGrid w:val="0"/>
              <w:spacing w:line="200" w:lineRule="atLeast"/>
              <w:jc w:val="lef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贵州金元智慧能源有限公司</w:t>
            </w:r>
          </w:p>
        </w:tc>
        <w:tc>
          <w:tcPr>
            <w:tcW w:w="1191"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210,000,000.00</w:t>
            </w:r>
          </w:p>
        </w:tc>
        <w:tc>
          <w:tcPr>
            <w:tcW w:w="1235"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210,000,000.00</w:t>
            </w:r>
          </w:p>
        </w:tc>
        <w:tc>
          <w:tcPr>
            <w:tcW w:w="1029"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503"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16"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55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801"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697"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499"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14"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250"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210,000,000.00</w:t>
            </w: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89" w:type="dxa"/>
            <w:shd w:val="clear" w:color="auto" w:fill="auto"/>
            <w:vAlign w:val="center"/>
          </w:tcPr>
          <w:p>
            <w:pPr>
              <w:snapToGrid w:val="0"/>
              <w:spacing w:line="200" w:lineRule="atLeast"/>
              <w:jc w:val="lef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贵州能发新能源开发有限公司</w:t>
            </w:r>
          </w:p>
        </w:tc>
        <w:tc>
          <w:tcPr>
            <w:tcW w:w="1191"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30,000,000.00</w:t>
            </w:r>
          </w:p>
        </w:tc>
        <w:tc>
          <w:tcPr>
            <w:tcW w:w="1235"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029"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503"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16"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55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801"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697"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499"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14"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30,000,000.00</w:t>
            </w:r>
          </w:p>
        </w:tc>
        <w:tc>
          <w:tcPr>
            <w:tcW w:w="1250"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30,000,000.00</w:t>
            </w: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89" w:type="dxa"/>
            <w:shd w:val="clear" w:color="auto" w:fill="auto"/>
            <w:vAlign w:val="center"/>
          </w:tcPr>
          <w:p>
            <w:pPr>
              <w:snapToGrid w:val="0"/>
              <w:spacing w:line="200" w:lineRule="atLeast"/>
              <w:jc w:val="lef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贵州能发电力燃料开发有限公司</w:t>
            </w:r>
          </w:p>
        </w:tc>
        <w:tc>
          <w:tcPr>
            <w:tcW w:w="1191"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849,992,494.65</w:t>
            </w:r>
          </w:p>
        </w:tc>
        <w:tc>
          <w:tcPr>
            <w:tcW w:w="1235"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849,992,494.65</w:t>
            </w:r>
          </w:p>
        </w:tc>
        <w:tc>
          <w:tcPr>
            <w:tcW w:w="1029"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503"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16"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55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801"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697"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499"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14"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-849,992,494.65</w:t>
            </w:r>
          </w:p>
        </w:tc>
        <w:tc>
          <w:tcPr>
            <w:tcW w:w="1250"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89" w:type="dxa"/>
            <w:shd w:val="clear" w:color="auto" w:fill="auto"/>
            <w:vAlign w:val="center"/>
          </w:tcPr>
          <w:p>
            <w:pPr>
              <w:snapToGrid w:val="0"/>
              <w:spacing w:line="200" w:lineRule="atLeast"/>
              <w:jc w:val="lef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2．合营企业</w:t>
            </w:r>
          </w:p>
        </w:tc>
        <w:tc>
          <w:tcPr>
            <w:tcW w:w="1191"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235"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029"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503"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16"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55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801"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697"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499"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14"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250"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89" w:type="dxa"/>
            <w:shd w:val="clear" w:color="auto" w:fill="auto"/>
            <w:vAlign w:val="center"/>
          </w:tcPr>
          <w:p>
            <w:pPr>
              <w:snapToGrid w:val="0"/>
              <w:spacing w:line="200" w:lineRule="atLeast"/>
              <w:jc w:val="lef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3．联营企业</w:t>
            </w:r>
          </w:p>
        </w:tc>
        <w:tc>
          <w:tcPr>
            <w:tcW w:w="1191"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1,694,596,182.38</w:t>
            </w:r>
          </w:p>
        </w:tc>
        <w:tc>
          <w:tcPr>
            <w:tcW w:w="1235"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494,549,033.20</w:t>
            </w:r>
          </w:p>
        </w:tc>
        <w:tc>
          <w:tcPr>
            <w:tcW w:w="1029"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161,596,300.00</w:t>
            </w:r>
          </w:p>
        </w:tc>
        <w:tc>
          <w:tcPr>
            <w:tcW w:w="503"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16"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-613,672,687.18</w:t>
            </w:r>
          </w:p>
        </w:tc>
        <w:tc>
          <w:tcPr>
            <w:tcW w:w="55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801"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121,045.80</w:t>
            </w:r>
          </w:p>
        </w:tc>
        <w:tc>
          <w:tcPr>
            <w:tcW w:w="697"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499"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14"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621,799,882.38</w:t>
            </w:r>
          </w:p>
        </w:tc>
        <w:tc>
          <w:tcPr>
            <w:tcW w:w="1250"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664,393,574.20</w:t>
            </w: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104,000,000.00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89" w:type="dxa"/>
            <w:shd w:val="clear" w:color="auto" w:fill="auto"/>
            <w:vAlign w:val="center"/>
          </w:tcPr>
          <w:p>
            <w:pPr>
              <w:snapToGrid w:val="0"/>
              <w:spacing w:line="200" w:lineRule="atLeast"/>
              <w:jc w:val="lef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贵州织金平远清洁能源有限责任公司</w:t>
            </w:r>
          </w:p>
        </w:tc>
        <w:tc>
          <w:tcPr>
            <w:tcW w:w="1191"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380,000,000.00</w:t>
            </w:r>
          </w:p>
        </w:tc>
        <w:tc>
          <w:tcPr>
            <w:tcW w:w="1235"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250,000,000.00</w:t>
            </w:r>
          </w:p>
        </w:tc>
        <w:tc>
          <w:tcPr>
            <w:tcW w:w="1029"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130,000,000.00</w:t>
            </w:r>
          </w:p>
        </w:tc>
        <w:tc>
          <w:tcPr>
            <w:tcW w:w="503"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16"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55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801"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697"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499"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14"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250"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380,000,000.00</w:t>
            </w: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89" w:type="dxa"/>
            <w:shd w:val="clear" w:color="auto" w:fill="auto"/>
            <w:vAlign w:val="center"/>
          </w:tcPr>
          <w:p>
            <w:pPr>
              <w:snapToGrid w:val="0"/>
              <w:spacing w:line="200" w:lineRule="atLeast"/>
              <w:jc w:val="lef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电投（贵安新区）数据中心有限公司</w:t>
            </w:r>
          </w:p>
        </w:tc>
        <w:tc>
          <w:tcPr>
            <w:tcW w:w="1191"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138,796,300.00</w:t>
            </w:r>
          </w:p>
        </w:tc>
        <w:tc>
          <w:tcPr>
            <w:tcW w:w="1235"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107,200,000.00</w:t>
            </w:r>
          </w:p>
        </w:tc>
        <w:tc>
          <w:tcPr>
            <w:tcW w:w="1029"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31,596,300.00</w:t>
            </w:r>
          </w:p>
        </w:tc>
        <w:tc>
          <w:tcPr>
            <w:tcW w:w="503"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16"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1,224,571.37</w:t>
            </w:r>
          </w:p>
        </w:tc>
        <w:tc>
          <w:tcPr>
            <w:tcW w:w="55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801"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697"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499"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14"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250"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140,020,871.37</w:t>
            </w: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89" w:type="dxa"/>
            <w:shd w:val="clear" w:color="auto" w:fill="auto"/>
            <w:vAlign w:val="center"/>
          </w:tcPr>
          <w:p>
            <w:pPr>
              <w:snapToGrid w:val="0"/>
              <w:spacing w:line="200" w:lineRule="atLeast"/>
              <w:jc w:val="lef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贵州钟山野马寨热电有限责任公司</w:t>
            </w:r>
          </w:p>
        </w:tc>
        <w:tc>
          <w:tcPr>
            <w:tcW w:w="1191"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100,000,000.00</w:t>
            </w:r>
          </w:p>
        </w:tc>
        <w:tc>
          <w:tcPr>
            <w:tcW w:w="1235"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100,000,000.00</w:t>
            </w:r>
          </w:p>
        </w:tc>
        <w:tc>
          <w:tcPr>
            <w:tcW w:w="1029"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503"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16"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55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801"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697"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499"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14"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250"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100,000,000.00</w:t>
            </w: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100,000,000.00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89" w:type="dxa"/>
            <w:shd w:val="clear" w:color="auto" w:fill="auto"/>
            <w:vAlign w:val="center"/>
          </w:tcPr>
          <w:p>
            <w:pPr>
              <w:snapToGrid w:val="0"/>
              <w:spacing w:line="200" w:lineRule="atLeast"/>
              <w:jc w:val="lef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四川兴鼎电力有限责任公司</w:t>
            </w:r>
          </w:p>
        </w:tc>
        <w:tc>
          <w:tcPr>
            <w:tcW w:w="1191"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450,000,000.00</w:t>
            </w:r>
          </w:p>
        </w:tc>
        <w:tc>
          <w:tcPr>
            <w:tcW w:w="1235"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33,349,033.20</w:t>
            </w:r>
          </w:p>
        </w:tc>
        <w:tc>
          <w:tcPr>
            <w:tcW w:w="1029"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503"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16"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6,902,623.83</w:t>
            </w:r>
          </w:p>
        </w:tc>
        <w:tc>
          <w:tcPr>
            <w:tcW w:w="55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801"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121,045.80</w:t>
            </w:r>
          </w:p>
        </w:tc>
        <w:tc>
          <w:tcPr>
            <w:tcW w:w="697"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499"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14"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250"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40,372,702.83</w:t>
            </w: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89" w:type="dxa"/>
            <w:shd w:val="clear" w:color="auto" w:fill="auto"/>
            <w:vAlign w:val="center"/>
          </w:tcPr>
          <w:p>
            <w:pPr>
              <w:snapToGrid w:val="0"/>
              <w:spacing w:line="200" w:lineRule="atLeast"/>
              <w:jc w:val="lef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贵州云之龙电煤运输投资有限公司</w:t>
            </w:r>
          </w:p>
        </w:tc>
        <w:tc>
          <w:tcPr>
            <w:tcW w:w="1191"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4,000,000.00</w:t>
            </w:r>
          </w:p>
        </w:tc>
        <w:tc>
          <w:tcPr>
            <w:tcW w:w="1235"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4,000,000.00</w:t>
            </w:r>
          </w:p>
        </w:tc>
        <w:tc>
          <w:tcPr>
            <w:tcW w:w="1029"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503"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16"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55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801"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697"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499"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14"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250"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4,000,000.00</w:t>
            </w: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4,000,000.00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2489" w:type="dxa"/>
            <w:shd w:val="clear" w:color="auto" w:fill="auto"/>
            <w:vAlign w:val="center"/>
          </w:tcPr>
          <w:p>
            <w:pPr>
              <w:snapToGrid w:val="0"/>
              <w:spacing w:line="200" w:lineRule="atLeast"/>
              <w:jc w:val="lef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贵州能发电力燃料开发有限公司</w:t>
            </w:r>
          </w:p>
        </w:tc>
        <w:tc>
          <w:tcPr>
            <w:tcW w:w="1191"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621,799,882.38</w:t>
            </w:r>
          </w:p>
        </w:tc>
        <w:tc>
          <w:tcPr>
            <w:tcW w:w="1235"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029"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503"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16"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-621,799,882.38</w:t>
            </w:r>
          </w:p>
        </w:tc>
        <w:tc>
          <w:tcPr>
            <w:tcW w:w="55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801"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697"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499"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14"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r>
              <w:rPr>
                <w:rFonts w:ascii="Times New Roman" w:hAnsi="Times New Roman" w:eastAsia="宋体" w:cs="Times New Roman"/>
                <w:color w:val="auto"/>
                <w:sz w:val="12"/>
                <w:szCs w:val="13"/>
                <w:highlight w:val="none"/>
              </w:rPr>
              <w:t>621,799,882.38</w:t>
            </w:r>
          </w:p>
        </w:tc>
        <w:tc>
          <w:tcPr>
            <w:tcW w:w="1250"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c>
          <w:tcPr>
            <w:tcW w:w="1132" w:type="dxa"/>
            <w:shd w:val="clear" w:color="auto" w:fill="auto"/>
            <w:vAlign w:val="center"/>
          </w:tcPr>
          <w:p>
            <w:pPr>
              <w:snapToGrid w:val="0"/>
              <w:spacing w:line="200" w:lineRule="atLeast"/>
              <w:jc w:val="right"/>
              <w:rPr>
                <w:rFonts w:ascii="Times New Roman" w:hAnsi="Times New Roman" w:eastAsia="宋体" w:cs="Times New Roman"/>
                <w:color w:val="auto"/>
                <w:sz w:val="12"/>
                <w:szCs w:val="13"/>
                <w:highlight w:val="none"/>
              </w:rPr>
            </w:pPr>
          </w:p>
        </w:tc>
      </w:tr>
    </w:tbl>
    <w:p>
      <w:pPr>
        <w:pStyle w:val="35"/>
        <w:rPr>
          <w:rFonts w:eastAsiaTheme="minorEastAsia"/>
          <w:color w:val="auto"/>
          <w:highlight w:val="none"/>
        </w:rPr>
      </w:pPr>
      <w:r>
        <w:rPr>
          <w:rFonts w:eastAsiaTheme="minorEastAsia"/>
          <w:color w:val="auto"/>
          <w:highlight w:val="none"/>
        </w:rPr>
        <w:fldChar w:fldCharType="end"/>
      </w:r>
      <w:r>
        <w:rPr>
          <w:rFonts w:hint="eastAsia" w:eastAsiaTheme="minorEastAsia"/>
          <w:color w:val="auto"/>
          <w:highlight w:val="none"/>
        </w:rPr>
        <w:t>注：本期增减变动中，“其他”变动</w:t>
      </w:r>
      <w:r>
        <w:rPr>
          <w:rFonts w:eastAsiaTheme="minorEastAsia"/>
          <w:color w:val="auto"/>
          <w:highlight w:val="none"/>
        </w:rPr>
        <w:t>621,799,882.38</w:t>
      </w:r>
      <w:r>
        <w:rPr>
          <w:rFonts w:hint="eastAsia" w:eastAsiaTheme="minorEastAsia"/>
          <w:color w:val="auto"/>
          <w:highlight w:val="none"/>
        </w:rPr>
        <w:t>元，构成如下：</w:t>
      </w:r>
    </w:p>
    <w:p>
      <w:pPr>
        <w:pStyle w:val="35"/>
        <w:rPr>
          <w:color w:val="auto"/>
          <w:highlight w:val="none"/>
        </w:rPr>
      </w:pPr>
      <w:r>
        <w:rPr>
          <w:rFonts w:hint="eastAsia"/>
          <w:color w:val="auto"/>
          <w:highlight w:val="none"/>
        </w:rPr>
        <w:t>①本期公司对贵州能发电力燃料开发有限公司长期股权投资核算方式由成本法转为权益法，其他变动减少</w:t>
      </w:r>
      <w:r>
        <w:rPr>
          <w:color w:val="auto"/>
          <w:highlight w:val="none"/>
        </w:rPr>
        <w:t>849,992,494.65</w:t>
      </w:r>
      <w:r>
        <w:rPr>
          <w:rFonts w:hint="eastAsia"/>
          <w:color w:val="auto"/>
          <w:highlight w:val="none"/>
        </w:rPr>
        <w:t>元，增加</w:t>
      </w:r>
      <w:r>
        <w:rPr>
          <w:color w:val="auto"/>
          <w:highlight w:val="none"/>
        </w:rPr>
        <w:t>621,799,882.38</w:t>
      </w:r>
      <w:r>
        <w:rPr>
          <w:rFonts w:hint="eastAsia"/>
          <w:color w:val="auto"/>
          <w:highlight w:val="none"/>
        </w:rPr>
        <w:t>元，详见“财务报表附注七、（三）本期不再纳入合并范围的原子公司”。</w:t>
      </w:r>
    </w:p>
    <w:p>
      <w:pPr>
        <w:pStyle w:val="35"/>
        <w:rPr>
          <w:color w:val="auto"/>
          <w:highlight w:val="none"/>
        </w:rPr>
      </w:pPr>
      <w:r>
        <w:rPr>
          <w:rFonts w:hint="eastAsia"/>
          <w:color w:val="auto"/>
          <w:highlight w:val="none"/>
        </w:rPr>
        <w:t>②本期公司新增子公司贵州能发新能源开发有限公司，其他变动增加</w:t>
      </w:r>
      <w:r>
        <w:rPr>
          <w:color w:val="auto"/>
          <w:highlight w:val="none"/>
        </w:rPr>
        <w:t>30,000,000.00</w:t>
      </w:r>
      <w:r>
        <w:rPr>
          <w:rFonts w:hint="eastAsia"/>
          <w:color w:val="auto"/>
          <w:highlight w:val="none"/>
        </w:rPr>
        <w:t>元。贵州能发新能源开发有限公司原系贵州金元孙公司，于2024年提级为贵州金元直接子公司。</w:t>
      </w:r>
    </w:p>
    <w:p>
      <w:pPr>
        <w:pStyle w:val="35"/>
        <w:rPr>
          <w:rFonts w:eastAsiaTheme="minorEastAsia"/>
          <w:color w:val="auto"/>
          <w:highlight w:val="none"/>
        </w:rPr>
      </w:pPr>
    </w:p>
    <w:p>
      <w:pPr>
        <w:pStyle w:val="38"/>
        <w:rPr>
          <w:rFonts w:eastAsiaTheme="minorEastAsia"/>
          <w:color w:val="auto"/>
          <w:highlight w:val="none"/>
        </w:rPr>
        <w:sectPr>
          <w:pgSz w:w="16839" w:h="11907" w:orient="landscape"/>
          <w:pgMar w:top="1797" w:right="1440" w:bottom="1797" w:left="1440" w:header="794" w:footer="992" w:gutter="0"/>
          <w:cols w:space="425" w:num="1"/>
          <w:docGrid w:linePitch="312" w:charSpace="0"/>
        </w:sectPr>
      </w:pPr>
    </w:p>
    <w:p>
      <w:pPr>
        <w:pStyle w:val="37"/>
        <w:rPr>
          <w:rFonts w:eastAsiaTheme="minorEastAsia"/>
          <w:color w:val="auto"/>
          <w:highlight w:val="none"/>
        </w:rPr>
      </w:pPr>
      <w:r>
        <w:rPr>
          <w:rFonts w:eastAsiaTheme="minorEastAsia"/>
          <w:color w:val="auto"/>
          <w:highlight w:val="none"/>
        </w:rPr>
        <w:t>营业收入</w:t>
      </w:r>
      <w:r>
        <w:rPr>
          <w:rFonts w:hint="eastAsia" w:eastAsiaTheme="minorEastAsia"/>
          <w:color w:val="auto"/>
          <w:highlight w:val="none"/>
        </w:rPr>
        <w:t>、</w:t>
      </w:r>
      <w:r>
        <w:rPr>
          <w:rFonts w:eastAsiaTheme="minorEastAsia"/>
          <w:color w:val="auto"/>
          <w:highlight w:val="none"/>
        </w:rPr>
        <w:t>营业成本</w:t>
      </w:r>
    </w:p>
    <w:p>
      <w:pPr>
        <w:pStyle w:val="38"/>
        <w:rPr>
          <w:rFonts w:eastAsiaTheme="minorEastAsia"/>
          <w:color w:val="auto"/>
          <w:highlight w:val="none"/>
        </w:rPr>
      </w:pPr>
      <w:r>
        <w:rPr>
          <w:rFonts w:eastAsiaTheme="minorEastAsia"/>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w:instrText>
      </w:r>
      <w:r>
        <w:rPr>
          <w:rFonts w:eastAsiaTheme="minorEastAsia"/>
          <w:color w:val="auto"/>
          <w:highlight w:val="none"/>
          <w:shd w:val="clear" w:color="auto" w:fill="CCFFFF"/>
        </w:rPr>
        <w:instrText xml:space="preserve">母公司</w:instrText>
      </w:r>
      <w:r>
        <w:rPr>
          <w:rFonts w:hint="eastAsia" w:eastAsiaTheme="minorEastAsia"/>
          <w:color w:val="auto"/>
          <w:highlight w:val="none"/>
          <w:shd w:val="clear" w:color="auto" w:fill="CCFFFF"/>
        </w:rPr>
        <w:instrText xml:space="preserve">附注</w:instrText>
      </w:r>
      <w:r>
        <w:rPr>
          <w:rFonts w:eastAsiaTheme="minorEastAsia"/>
          <w:color w:val="auto"/>
          <w:highlight w:val="none"/>
        </w:rPr>
        <w:instrText xml:space="preserve">!母公司营业收入和营业成本 \f 4 \h \* MERGEFORMAT </w:instrText>
      </w:r>
      <w:r>
        <w:rPr>
          <w:rFonts w:eastAsiaTheme="minorEastAsia"/>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1799"/>
        <w:gridCol w:w="1653"/>
        <w:gridCol w:w="1655"/>
        <w:gridCol w:w="1656"/>
        <w:gridCol w:w="1656"/>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750" w:type="dxa"/>
            <w:vMerge w:val="restart"/>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3218"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本期发生额</w:t>
            </w:r>
          </w:p>
        </w:tc>
        <w:tc>
          <w:tcPr>
            <w:tcW w:w="3220" w:type="dxa"/>
            <w:gridSpan w:val="2"/>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上期发生额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1750" w:type="dxa"/>
            <w:vMerge w:val="continue"/>
            <w:shd w:val="clear" w:color="auto" w:fill="auto"/>
            <w:vAlign w:val="center"/>
          </w:tcPr>
          <w:p>
            <w:pPr>
              <w:spacing w:line="200" w:lineRule="atLeast"/>
              <w:jc w:val="both"/>
              <w:rPr>
                <w:rFonts w:ascii="Times New Roman" w:hAnsi="Times New Roman" w:eastAsia="宋体" w:cs="Times New Roman"/>
                <w:color w:val="auto"/>
                <w:sz w:val="16"/>
                <w:highlight w:val="none"/>
              </w:rPr>
            </w:pPr>
          </w:p>
        </w:tc>
        <w:tc>
          <w:tcPr>
            <w:tcW w:w="160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收入</w:t>
            </w:r>
          </w:p>
        </w:tc>
        <w:tc>
          <w:tcPr>
            <w:tcW w:w="1610"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成本</w:t>
            </w:r>
          </w:p>
        </w:tc>
        <w:tc>
          <w:tcPr>
            <w:tcW w:w="1610"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收入</w:t>
            </w:r>
          </w:p>
        </w:tc>
        <w:tc>
          <w:tcPr>
            <w:tcW w:w="1610"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成本</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750"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1．主营业务小计</w:t>
            </w:r>
          </w:p>
        </w:tc>
        <w:tc>
          <w:tcPr>
            <w:tcW w:w="160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1,899,888,153.74</w:t>
            </w:r>
          </w:p>
        </w:tc>
        <w:tc>
          <w:tcPr>
            <w:tcW w:w="161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1,973,239,888.31</w:t>
            </w:r>
          </w:p>
        </w:tc>
        <w:tc>
          <w:tcPr>
            <w:tcW w:w="161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1,950,127,074.83</w:t>
            </w:r>
          </w:p>
        </w:tc>
        <w:tc>
          <w:tcPr>
            <w:tcW w:w="161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1,839,128,517.78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750"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售电收入</w:t>
            </w:r>
          </w:p>
        </w:tc>
        <w:tc>
          <w:tcPr>
            <w:tcW w:w="160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1,898,983,351.76</w:t>
            </w:r>
          </w:p>
        </w:tc>
        <w:tc>
          <w:tcPr>
            <w:tcW w:w="161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1,973,227,498.81</w:t>
            </w:r>
          </w:p>
        </w:tc>
        <w:tc>
          <w:tcPr>
            <w:tcW w:w="161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1,949,945,886.71</w:t>
            </w:r>
          </w:p>
        </w:tc>
        <w:tc>
          <w:tcPr>
            <w:tcW w:w="161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1,839,126,117.78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750"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服务收入</w:t>
            </w:r>
          </w:p>
        </w:tc>
        <w:tc>
          <w:tcPr>
            <w:tcW w:w="160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904,801.98</w:t>
            </w:r>
          </w:p>
        </w:tc>
        <w:tc>
          <w:tcPr>
            <w:tcW w:w="161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12,389.50</w:t>
            </w:r>
          </w:p>
        </w:tc>
        <w:tc>
          <w:tcPr>
            <w:tcW w:w="161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181,188.12</w:t>
            </w:r>
          </w:p>
        </w:tc>
        <w:tc>
          <w:tcPr>
            <w:tcW w:w="161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2,400.00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750"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2．其他业务小计</w:t>
            </w:r>
          </w:p>
        </w:tc>
        <w:tc>
          <w:tcPr>
            <w:tcW w:w="160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263,341,141.91</w:t>
            </w:r>
          </w:p>
        </w:tc>
        <w:tc>
          <w:tcPr>
            <w:tcW w:w="161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42,328,120.30</w:t>
            </w:r>
          </w:p>
        </w:tc>
        <w:tc>
          <w:tcPr>
            <w:tcW w:w="161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187,987,798.37</w:t>
            </w:r>
          </w:p>
        </w:tc>
        <w:tc>
          <w:tcPr>
            <w:tcW w:w="161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49,278,436.91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750"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电量指标交易</w:t>
            </w:r>
          </w:p>
        </w:tc>
        <w:tc>
          <w:tcPr>
            <w:tcW w:w="160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7,126,036.26</w:t>
            </w:r>
          </w:p>
        </w:tc>
        <w:tc>
          <w:tcPr>
            <w:tcW w:w="161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161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12,443,582.36</w:t>
            </w:r>
          </w:p>
        </w:tc>
        <w:tc>
          <w:tcPr>
            <w:tcW w:w="161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750"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粉煤灰销售收入</w:t>
            </w:r>
          </w:p>
        </w:tc>
        <w:tc>
          <w:tcPr>
            <w:tcW w:w="160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7,759,844.56</w:t>
            </w:r>
          </w:p>
        </w:tc>
        <w:tc>
          <w:tcPr>
            <w:tcW w:w="161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38,920,549.63</w:t>
            </w:r>
          </w:p>
        </w:tc>
        <w:tc>
          <w:tcPr>
            <w:tcW w:w="161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13,350,834.65</w:t>
            </w:r>
          </w:p>
        </w:tc>
        <w:tc>
          <w:tcPr>
            <w:tcW w:w="161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29,732,538.36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750"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资产出租收入</w:t>
            </w:r>
          </w:p>
        </w:tc>
        <w:tc>
          <w:tcPr>
            <w:tcW w:w="160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8,704,175.58</w:t>
            </w:r>
          </w:p>
        </w:tc>
        <w:tc>
          <w:tcPr>
            <w:tcW w:w="161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393,288.10</w:t>
            </w:r>
          </w:p>
        </w:tc>
        <w:tc>
          <w:tcPr>
            <w:tcW w:w="161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8,193,626.66</w:t>
            </w:r>
          </w:p>
        </w:tc>
        <w:tc>
          <w:tcPr>
            <w:tcW w:w="161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31,133.49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750"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其他</w:t>
            </w:r>
          </w:p>
        </w:tc>
        <w:tc>
          <w:tcPr>
            <w:tcW w:w="160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239,751,085.51</w:t>
            </w:r>
          </w:p>
        </w:tc>
        <w:tc>
          <w:tcPr>
            <w:tcW w:w="161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3,014,282.57</w:t>
            </w:r>
          </w:p>
        </w:tc>
        <w:tc>
          <w:tcPr>
            <w:tcW w:w="161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153,999,754.70</w:t>
            </w:r>
          </w:p>
        </w:tc>
        <w:tc>
          <w:tcPr>
            <w:tcW w:w="161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19,514,765.06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1750"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160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2,163,229,295.65</w:t>
            </w:r>
          </w:p>
        </w:tc>
        <w:tc>
          <w:tcPr>
            <w:tcW w:w="161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2,015,568,008.61</w:t>
            </w:r>
          </w:p>
        </w:tc>
        <w:tc>
          <w:tcPr>
            <w:tcW w:w="161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2,138,114,873.20</w:t>
            </w:r>
          </w:p>
        </w:tc>
        <w:tc>
          <w:tcPr>
            <w:tcW w:w="1610"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1,888,406,954.69</w:t>
            </w:r>
          </w:p>
        </w:tc>
      </w:tr>
    </w:tbl>
    <w:p>
      <w:pPr>
        <w:pStyle w:val="38"/>
        <w:rPr>
          <w:rFonts w:eastAsiaTheme="minorEastAsia"/>
          <w:color w:val="auto"/>
          <w:highlight w:val="none"/>
        </w:rPr>
      </w:pPr>
      <w:r>
        <w:rPr>
          <w:rFonts w:eastAsiaTheme="minorEastAsia"/>
          <w:color w:val="auto"/>
          <w:highlight w:val="none"/>
        </w:rPr>
        <w:fldChar w:fldCharType="end"/>
      </w:r>
    </w:p>
    <w:p>
      <w:pPr>
        <w:pStyle w:val="37"/>
        <w:rPr>
          <w:rFonts w:eastAsiaTheme="minorEastAsia"/>
          <w:color w:val="auto"/>
          <w:highlight w:val="none"/>
        </w:rPr>
      </w:pPr>
      <w:r>
        <w:rPr>
          <w:rFonts w:eastAsiaTheme="minorEastAsia"/>
          <w:color w:val="auto"/>
          <w:highlight w:val="none"/>
        </w:rPr>
        <w:t>投资收益</w:t>
      </w:r>
    </w:p>
    <w:p>
      <w:pPr>
        <w:pStyle w:val="38"/>
        <w:rPr>
          <w:rFonts w:eastAsiaTheme="minorEastAsia"/>
          <w:color w:val="auto"/>
          <w:highlight w:val="none"/>
        </w:rPr>
      </w:pPr>
      <w:r>
        <w:rPr>
          <w:rFonts w:eastAsiaTheme="minorEastAsia"/>
          <w:color w:val="auto"/>
          <w:highlight w:val="none"/>
        </w:rPr>
        <w:fldChar w:fldCharType="begin"/>
      </w:r>
      <w:r>
        <w:rPr>
          <w:rFonts w:eastAsiaTheme="minorEastAsia"/>
          <w:color w:val="auto"/>
          <w:highlight w:val="none"/>
        </w:rPr>
        <w:instrText xml:space="preserve"> LINK Excel.Sheet.12 E:\\雍\\附注排版\\2014年年报格式\\附注过渡表20150130V0910.xlsx</w:instrText>
      </w:r>
      <w:r>
        <w:rPr>
          <w:rFonts w:hint="eastAsia" w:eastAsiaTheme="minorEastAsia"/>
          <w:color w:val="auto"/>
          <w:highlight w:val="none"/>
        </w:rPr>
        <w:instrText xml:space="preserve"> </w:instrText>
      </w:r>
      <w:r>
        <w:rPr>
          <w:rFonts w:eastAsiaTheme="minorEastAsia"/>
          <w:color w:val="auto"/>
          <w:highlight w:val="none"/>
          <w:shd w:val="clear" w:color="auto" w:fill="CCFFFF"/>
        </w:rPr>
        <w:instrText xml:space="preserve">母公司</w:instrText>
      </w:r>
      <w:r>
        <w:rPr>
          <w:rFonts w:hint="eastAsia" w:eastAsiaTheme="minorEastAsia"/>
          <w:color w:val="auto"/>
          <w:highlight w:val="none"/>
          <w:shd w:val="clear" w:color="auto" w:fill="CCFFFF"/>
        </w:rPr>
        <w:instrText xml:space="preserve">附注</w:instrText>
      </w:r>
      <w:r>
        <w:rPr>
          <w:rFonts w:eastAsiaTheme="minorEastAsia"/>
          <w:color w:val="auto"/>
          <w:highlight w:val="none"/>
        </w:rPr>
        <w:instrText xml:space="preserve">!母公司投资收益 \f 4 \h \* MERGEFORMAT </w:instrText>
      </w:r>
      <w:r>
        <w:rPr>
          <w:rFonts w:eastAsiaTheme="minorEastAsia"/>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4723"/>
        <w:gridCol w:w="2000"/>
        <w:gridCol w:w="1696"/>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4594"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1945"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本期发生额</w:t>
            </w:r>
          </w:p>
        </w:tc>
        <w:tc>
          <w:tcPr>
            <w:tcW w:w="1649"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上期发生额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5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权益法核算的长期股权投资收益</w:t>
            </w:r>
          </w:p>
        </w:tc>
        <w:tc>
          <w:tcPr>
            <w:tcW w:w="19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8,127,195.20</w:t>
            </w:r>
          </w:p>
        </w:tc>
        <w:tc>
          <w:tcPr>
            <w:tcW w:w="164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12,349,147.59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5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成本法核算的长期股权投资收益</w:t>
            </w:r>
          </w:p>
        </w:tc>
        <w:tc>
          <w:tcPr>
            <w:tcW w:w="19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168,808,344.10</w:t>
            </w:r>
          </w:p>
        </w:tc>
        <w:tc>
          <w:tcPr>
            <w:tcW w:w="164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44,742,370.75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5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处置长期股权投资产生的投资收益</w:t>
            </w:r>
          </w:p>
        </w:tc>
        <w:tc>
          <w:tcPr>
            <w:tcW w:w="19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-539,104,558.06</w:t>
            </w:r>
          </w:p>
        </w:tc>
        <w:tc>
          <w:tcPr>
            <w:tcW w:w="164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5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其他权益工具投资持有期间的投资收益</w:t>
            </w:r>
          </w:p>
        </w:tc>
        <w:tc>
          <w:tcPr>
            <w:tcW w:w="19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36,232,800.00</w:t>
            </w:r>
          </w:p>
        </w:tc>
        <w:tc>
          <w:tcPr>
            <w:tcW w:w="164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36,232,800.00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594"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委托贷款利息收益</w:t>
            </w:r>
          </w:p>
        </w:tc>
        <w:tc>
          <w:tcPr>
            <w:tcW w:w="19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280,205,425.16</w:t>
            </w:r>
          </w:p>
        </w:tc>
        <w:tc>
          <w:tcPr>
            <w:tcW w:w="164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290,456,600.08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594"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合计</w:t>
            </w:r>
          </w:p>
        </w:tc>
        <w:tc>
          <w:tcPr>
            <w:tcW w:w="1945"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-45,730,793.60</w:t>
            </w:r>
          </w:p>
        </w:tc>
        <w:tc>
          <w:tcPr>
            <w:tcW w:w="1649"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383,780,918.42</w:t>
            </w:r>
          </w:p>
        </w:tc>
      </w:tr>
    </w:tbl>
    <w:p>
      <w:pPr>
        <w:pStyle w:val="38"/>
        <w:rPr>
          <w:rFonts w:eastAsiaTheme="minorEastAsia"/>
          <w:color w:val="auto"/>
          <w:highlight w:val="none"/>
        </w:rPr>
      </w:pPr>
      <w:r>
        <w:rPr>
          <w:rFonts w:eastAsiaTheme="minorEastAsia"/>
          <w:color w:val="auto"/>
          <w:highlight w:val="none"/>
        </w:rPr>
        <w:fldChar w:fldCharType="end"/>
      </w:r>
    </w:p>
    <w:p>
      <w:pPr>
        <w:pStyle w:val="37"/>
        <w:rPr>
          <w:rFonts w:eastAsiaTheme="minorEastAsia"/>
          <w:color w:val="auto"/>
          <w:highlight w:val="none"/>
        </w:rPr>
      </w:pPr>
      <w:r>
        <w:rPr>
          <w:rFonts w:hint="eastAsia" w:eastAsiaTheme="minorEastAsia"/>
          <w:color w:val="auto"/>
          <w:highlight w:val="none"/>
        </w:rPr>
        <w:t>现金流量表</w:t>
      </w:r>
    </w:p>
    <w:p>
      <w:pPr>
        <w:pStyle w:val="44"/>
        <w:rPr>
          <w:color w:val="auto"/>
          <w:highlight w:val="none"/>
        </w:rPr>
      </w:pPr>
      <w:r>
        <w:rPr>
          <w:rFonts w:hint="eastAsia"/>
          <w:color w:val="auto"/>
          <w:highlight w:val="none"/>
        </w:rPr>
        <w:t>将净利润调节为经营活动现金流量的信息情况</w:t>
      </w:r>
    </w:p>
    <w:p>
      <w:pPr>
        <w:pStyle w:val="35"/>
        <w:rPr>
          <w:rFonts w:asciiTheme="minorHAnsi" w:hAnsiTheme="minorHAnsi" w:eastAsiaTheme="minorEastAsia" w:cstheme="minorBidi"/>
          <w:color w:val="auto"/>
          <w:highlight w:val="none"/>
        </w:rPr>
      </w:pPr>
      <w:r>
        <w:rPr>
          <w:color w:val="auto"/>
          <w:highlight w:val="none"/>
        </w:rPr>
        <w:fldChar w:fldCharType="begin"/>
      </w:r>
      <w:r>
        <w:rPr>
          <w:color w:val="auto"/>
          <w:highlight w:val="none"/>
        </w:rPr>
        <w:instrText xml:space="preserve"> LINK Excel.SheetMacroEnabled.12 "D:\\tonylee\\立信\\新附注排版工具\\2015央企年报格式\\中央企业财务报表和报表附注20160818V2.xlsm" "母公司附注!母公司现金流表补充资料" \f 4 \h \* MERGEFORMAT </w:instrText>
      </w:r>
      <w:r>
        <w:rPr>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4342"/>
        <w:gridCol w:w="2000"/>
        <w:gridCol w:w="2077"/>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4223"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补充资料</w:t>
            </w:r>
          </w:p>
        </w:tc>
        <w:tc>
          <w:tcPr>
            <w:tcW w:w="1945"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本期发生额</w:t>
            </w:r>
          </w:p>
        </w:tc>
        <w:tc>
          <w:tcPr>
            <w:tcW w:w="2020" w:type="dxa"/>
            <w:shd w:val="clear" w:color="auto" w:fill="auto"/>
            <w:vAlign w:val="center"/>
          </w:tcPr>
          <w:p>
            <w:pPr>
              <w:snapToGrid w:val="0"/>
              <w:spacing w:line="200" w:lineRule="atLeast"/>
              <w:jc w:val="center"/>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上期发生额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2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1、将净利润调节为经营活动现金流量：</w:t>
            </w:r>
          </w:p>
        </w:tc>
        <w:tc>
          <w:tcPr>
            <w:tcW w:w="194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202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2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净利润</w:t>
            </w:r>
          </w:p>
        </w:tc>
        <w:tc>
          <w:tcPr>
            <w:tcW w:w="194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-573,625,098.07</w:t>
            </w:r>
          </w:p>
        </w:tc>
        <w:tc>
          <w:tcPr>
            <w:tcW w:w="202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-3,289,418,018.83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2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加：资产减值损失</w:t>
            </w:r>
          </w:p>
        </w:tc>
        <w:tc>
          <w:tcPr>
            <w:tcW w:w="194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202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3,337,613,581.40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2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信用减值损失</w:t>
            </w:r>
          </w:p>
        </w:tc>
        <w:tc>
          <w:tcPr>
            <w:tcW w:w="194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-1,500,000.00</w:t>
            </w:r>
          </w:p>
        </w:tc>
        <w:tc>
          <w:tcPr>
            <w:tcW w:w="202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-287,736,112.41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2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固定资产折旧、油气资产折耗、生产性生物资产折旧</w:t>
            </w:r>
          </w:p>
        </w:tc>
        <w:tc>
          <w:tcPr>
            <w:tcW w:w="194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89,551,095.17</w:t>
            </w:r>
          </w:p>
        </w:tc>
        <w:tc>
          <w:tcPr>
            <w:tcW w:w="202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88,075,434.06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2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使用权资产折旧</w:t>
            </w:r>
          </w:p>
        </w:tc>
        <w:tc>
          <w:tcPr>
            <w:tcW w:w="194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860,257.20</w:t>
            </w:r>
          </w:p>
        </w:tc>
        <w:tc>
          <w:tcPr>
            <w:tcW w:w="202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902,611.97</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2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无形资产摊销</w:t>
            </w:r>
          </w:p>
        </w:tc>
        <w:tc>
          <w:tcPr>
            <w:tcW w:w="194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6,100,083.93</w:t>
            </w:r>
          </w:p>
        </w:tc>
        <w:tc>
          <w:tcPr>
            <w:tcW w:w="202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6,081,718.36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2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长期待摊费用摊销</w:t>
            </w:r>
          </w:p>
        </w:tc>
        <w:tc>
          <w:tcPr>
            <w:tcW w:w="194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202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2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处置固定资产、无形资产和其他长期资产的损失（收益以“－”号填列）</w:t>
            </w:r>
          </w:p>
        </w:tc>
        <w:tc>
          <w:tcPr>
            <w:tcW w:w="194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-2,144.29</w:t>
            </w:r>
          </w:p>
        </w:tc>
        <w:tc>
          <w:tcPr>
            <w:tcW w:w="202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-9,636,566.27</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2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固定资产报废损失（收益以“－”号填列）</w:t>
            </w:r>
          </w:p>
        </w:tc>
        <w:tc>
          <w:tcPr>
            <w:tcW w:w="194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202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48,462.81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2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公允价值变动损失（收益以“－”号填列）</w:t>
            </w:r>
          </w:p>
        </w:tc>
        <w:tc>
          <w:tcPr>
            <w:tcW w:w="194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1,315,400.00</w:t>
            </w:r>
          </w:p>
        </w:tc>
        <w:tc>
          <w:tcPr>
            <w:tcW w:w="202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1,197,445.00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2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财务费用（收益以“－”号填列）</w:t>
            </w:r>
          </w:p>
        </w:tc>
        <w:tc>
          <w:tcPr>
            <w:tcW w:w="194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659,909,414.43</w:t>
            </w:r>
          </w:p>
        </w:tc>
        <w:tc>
          <w:tcPr>
            <w:tcW w:w="202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927,620,049.60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2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投资损失（收益以“－”号填列）</w:t>
            </w:r>
          </w:p>
        </w:tc>
        <w:tc>
          <w:tcPr>
            <w:tcW w:w="194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45,729,438.18</w:t>
            </w:r>
          </w:p>
        </w:tc>
        <w:tc>
          <w:tcPr>
            <w:tcW w:w="202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-383,780,918.42</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2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递延所得税资产减少（增加以“－”号填列）</w:t>
            </w:r>
          </w:p>
        </w:tc>
        <w:tc>
          <w:tcPr>
            <w:tcW w:w="194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202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-246,376.73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2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递延所得税负债增加（减少以“－”号填列）</w:t>
            </w:r>
          </w:p>
        </w:tc>
        <w:tc>
          <w:tcPr>
            <w:tcW w:w="194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202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-52,263.88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2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存货的减少（增加以“－”号填列）</w:t>
            </w:r>
          </w:p>
        </w:tc>
        <w:tc>
          <w:tcPr>
            <w:tcW w:w="194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-879,344,906.09</w:t>
            </w:r>
          </w:p>
        </w:tc>
        <w:tc>
          <w:tcPr>
            <w:tcW w:w="202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-21,781,876.84</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2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经营性应收项目的减少（增加以“－”号填列）</w:t>
            </w:r>
          </w:p>
        </w:tc>
        <w:tc>
          <w:tcPr>
            <w:tcW w:w="194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1,366,087,750.16</w:t>
            </w:r>
          </w:p>
        </w:tc>
        <w:tc>
          <w:tcPr>
            <w:tcW w:w="202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4,693,464,934.35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2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经营性应付项目的增加（减少以“－”号填列）</w:t>
            </w:r>
          </w:p>
        </w:tc>
        <w:tc>
          <w:tcPr>
            <w:tcW w:w="194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-266,622,941.29</w:t>
            </w:r>
          </w:p>
        </w:tc>
        <w:tc>
          <w:tcPr>
            <w:tcW w:w="202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2,600,235,994.74</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2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 xml:space="preserve">    其他</w:t>
            </w:r>
          </w:p>
        </w:tc>
        <w:tc>
          <w:tcPr>
            <w:tcW w:w="194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202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2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经营活动产生的现金流量净额</w:t>
            </w:r>
          </w:p>
        </w:tc>
        <w:tc>
          <w:tcPr>
            <w:tcW w:w="194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448,458,349.33</w:t>
            </w:r>
          </w:p>
        </w:tc>
        <w:tc>
          <w:tcPr>
            <w:tcW w:w="202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7,662,588,098.91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2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2、不涉及现金收支的重大投资和筹资活动：</w:t>
            </w:r>
          </w:p>
        </w:tc>
        <w:tc>
          <w:tcPr>
            <w:tcW w:w="194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202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2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债务转为资本</w:t>
            </w:r>
          </w:p>
        </w:tc>
        <w:tc>
          <w:tcPr>
            <w:tcW w:w="194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202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2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一年内到期的可转换公司债券</w:t>
            </w:r>
          </w:p>
        </w:tc>
        <w:tc>
          <w:tcPr>
            <w:tcW w:w="194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202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2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融资租入固定资产</w:t>
            </w:r>
          </w:p>
        </w:tc>
        <w:tc>
          <w:tcPr>
            <w:tcW w:w="194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202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2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3、现金及现金等价物净变动情况：</w:t>
            </w:r>
          </w:p>
        </w:tc>
        <w:tc>
          <w:tcPr>
            <w:tcW w:w="194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202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2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现金的期末余额</w:t>
            </w:r>
          </w:p>
        </w:tc>
        <w:tc>
          <w:tcPr>
            <w:tcW w:w="194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1,085,140,615.44</w:t>
            </w:r>
          </w:p>
        </w:tc>
        <w:tc>
          <w:tcPr>
            <w:tcW w:w="202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202,944,112.13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2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减：现金的期初余额</w:t>
            </w:r>
          </w:p>
        </w:tc>
        <w:tc>
          <w:tcPr>
            <w:tcW w:w="194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202,944,112.13</w:t>
            </w:r>
          </w:p>
        </w:tc>
        <w:tc>
          <w:tcPr>
            <w:tcW w:w="202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413,691,362.77</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2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加：现金等价物的期末余额</w:t>
            </w:r>
          </w:p>
        </w:tc>
        <w:tc>
          <w:tcPr>
            <w:tcW w:w="194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202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2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减：现金等价物的期初余额</w:t>
            </w:r>
          </w:p>
        </w:tc>
        <w:tc>
          <w:tcPr>
            <w:tcW w:w="194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c>
          <w:tcPr>
            <w:tcW w:w="202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4223" w:type="dxa"/>
            <w:shd w:val="clear" w:color="auto" w:fill="auto"/>
            <w:vAlign w:val="center"/>
          </w:tcPr>
          <w:p>
            <w:pPr>
              <w:snapToGrid w:val="0"/>
              <w:spacing w:line="200" w:lineRule="atLeast"/>
              <w:jc w:val="lef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现金及现金等价物净增加额</w:t>
            </w:r>
          </w:p>
        </w:tc>
        <w:tc>
          <w:tcPr>
            <w:tcW w:w="1945"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882,196,503.31</w:t>
            </w:r>
          </w:p>
        </w:tc>
        <w:tc>
          <w:tcPr>
            <w:tcW w:w="2020" w:type="dxa"/>
            <w:shd w:val="clear" w:color="auto" w:fill="auto"/>
            <w:vAlign w:val="center"/>
          </w:tcPr>
          <w:p>
            <w:pPr>
              <w:snapToGrid w:val="0"/>
              <w:spacing w:line="200" w:lineRule="atLeast"/>
              <w:jc w:val="right"/>
              <w:rPr>
                <w:rFonts w:ascii="Times New Roman" w:hAnsi="Times New Roman" w:eastAsia="宋体" w:cs="Times New Roman"/>
                <w:color w:val="auto"/>
                <w:sz w:val="16"/>
                <w:szCs w:val="16"/>
                <w:highlight w:val="none"/>
              </w:rPr>
            </w:pPr>
            <w:r>
              <w:rPr>
                <w:rFonts w:ascii="Times New Roman" w:hAnsi="Times New Roman" w:eastAsia="宋体" w:cs="Times New Roman"/>
                <w:color w:val="auto"/>
                <w:sz w:val="16"/>
                <w:szCs w:val="16"/>
                <w:highlight w:val="none"/>
              </w:rPr>
              <w:t>-210,747,250.64</w:t>
            </w:r>
          </w:p>
        </w:tc>
      </w:tr>
    </w:tbl>
    <w:p>
      <w:pPr>
        <w:pStyle w:val="35"/>
        <w:rPr>
          <w:color w:val="auto"/>
          <w:highlight w:val="none"/>
        </w:rPr>
      </w:pPr>
      <w:r>
        <w:rPr>
          <w:color w:val="auto"/>
          <w:highlight w:val="none"/>
        </w:rPr>
        <w:fldChar w:fldCharType="end"/>
      </w:r>
    </w:p>
    <w:p>
      <w:pPr>
        <w:pStyle w:val="44"/>
        <w:rPr>
          <w:color w:val="auto"/>
          <w:highlight w:val="none"/>
        </w:rPr>
      </w:pPr>
      <w:r>
        <w:rPr>
          <w:color w:val="auto"/>
          <w:highlight w:val="none"/>
        </w:rPr>
        <w:t>现金和现金等价物的</w:t>
      </w:r>
      <w:r>
        <w:rPr>
          <w:rFonts w:hint="eastAsia"/>
          <w:color w:val="auto"/>
          <w:highlight w:val="none"/>
        </w:rPr>
        <w:t>构成</w:t>
      </w:r>
    </w:p>
    <w:p>
      <w:pPr>
        <w:pStyle w:val="35"/>
        <w:rPr>
          <w:rFonts w:asciiTheme="minorHAnsi" w:hAnsiTheme="minorHAnsi" w:eastAsiaTheme="minorEastAsia" w:cstheme="minorBidi"/>
          <w:color w:val="auto"/>
          <w:highlight w:val="none"/>
        </w:rPr>
      </w:pPr>
      <w:r>
        <w:rPr>
          <w:color w:val="auto"/>
          <w:highlight w:val="none"/>
        </w:rPr>
        <w:fldChar w:fldCharType="begin"/>
      </w:r>
      <w:r>
        <w:rPr>
          <w:color w:val="auto"/>
          <w:highlight w:val="none"/>
        </w:rPr>
        <w:instrText xml:space="preserve"> LINK Excel.SheetMacroEnabled.12 "D:\\tonylee\\立信\\新附注排版工具\\2015央企年报格式\\中央企业财务报表和报表附注20160818V2.xlsm" "母公司附注!母公司现金流表补充资料2" \f 4 \h \* MERGEFORMAT </w:instrText>
      </w:r>
      <w:r>
        <w:rPr>
          <w:color w:val="auto"/>
          <w:highlight w:val="none"/>
        </w:rPr>
        <w:fldChar w:fldCharType="separate"/>
      </w:r>
    </w:p>
    <w:tbl>
      <w:tblPr>
        <w:tblStyle w:val="36"/>
        <w:tblW w:w="4800" w:type="pct"/>
        <w:tblInd w:w="72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28" w:type="dxa"/>
          <w:left w:w="108" w:type="dxa"/>
          <w:bottom w:w="28" w:type="dxa"/>
          <w:right w:w="108" w:type="dxa"/>
        </w:tblCellMar>
      </w:tblPr>
      <w:tblGrid>
        <w:gridCol w:w="3893"/>
        <w:gridCol w:w="2219"/>
        <w:gridCol w:w="2307"/>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blHeader/>
        </w:trPr>
        <w:tc>
          <w:tcPr>
            <w:tcW w:w="3786"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项目</w:t>
            </w:r>
          </w:p>
        </w:tc>
        <w:tc>
          <w:tcPr>
            <w:tcW w:w="2158"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期末余额</w:t>
            </w:r>
          </w:p>
        </w:tc>
        <w:tc>
          <w:tcPr>
            <w:tcW w:w="2244" w:type="dxa"/>
            <w:shd w:val="clear" w:color="auto" w:fill="auto"/>
            <w:vAlign w:val="center"/>
          </w:tcPr>
          <w:p>
            <w:pPr>
              <w:snapToGrid w:val="0"/>
              <w:spacing w:line="200" w:lineRule="atLeast"/>
              <w:jc w:val="center"/>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期初余额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78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一、现金</w:t>
            </w:r>
          </w:p>
        </w:tc>
        <w:tc>
          <w:tcPr>
            <w:tcW w:w="215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1,085,140,615.44</w:t>
            </w:r>
          </w:p>
        </w:tc>
        <w:tc>
          <w:tcPr>
            <w:tcW w:w="224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202,944,112.13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78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其中：库存现金</w:t>
            </w:r>
          </w:p>
        </w:tc>
        <w:tc>
          <w:tcPr>
            <w:tcW w:w="215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224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78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可随时用于支付的数字货币</w:t>
            </w:r>
          </w:p>
        </w:tc>
        <w:tc>
          <w:tcPr>
            <w:tcW w:w="215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224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78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可随时用于支付的银行存款</w:t>
            </w:r>
          </w:p>
        </w:tc>
        <w:tc>
          <w:tcPr>
            <w:tcW w:w="215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1,085,140,615.44</w:t>
            </w:r>
          </w:p>
        </w:tc>
        <w:tc>
          <w:tcPr>
            <w:tcW w:w="224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202,944,112.13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78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 xml:space="preserve">      可随时用于支付的其他货币资金</w:t>
            </w:r>
          </w:p>
        </w:tc>
        <w:tc>
          <w:tcPr>
            <w:tcW w:w="215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224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78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二、现金等价物</w:t>
            </w:r>
          </w:p>
        </w:tc>
        <w:tc>
          <w:tcPr>
            <w:tcW w:w="215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224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78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其中：三个月内到期的债券投资</w:t>
            </w:r>
          </w:p>
        </w:tc>
        <w:tc>
          <w:tcPr>
            <w:tcW w:w="215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c>
          <w:tcPr>
            <w:tcW w:w="224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28" w:type="dxa"/>
            <w:left w:w="108" w:type="dxa"/>
            <w:bottom w:w="28" w:type="dxa"/>
            <w:right w:w="108" w:type="dxa"/>
          </w:tblCellMar>
        </w:tblPrEx>
        <w:trPr>
          <w:trHeight w:val="283" w:hRule="atLeast"/>
        </w:trPr>
        <w:tc>
          <w:tcPr>
            <w:tcW w:w="3786" w:type="dxa"/>
            <w:shd w:val="clear" w:color="auto" w:fill="auto"/>
            <w:vAlign w:val="center"/>
          </w:tcPr>
          <w:p>
            <w:pPr>
              <w:snapToGrid w:val="0"/>
              <w:spacing w:line="200" w:lineRule="atLeast"/>
              <w:jc w:val="lef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三、期末现金及现金等价物余额</w:t>
            </w:r>
          </w:p>
        </w:tc>
        <w:tc>
          <w:tcPr>
            <w:tcW w:w="2158"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1,085,140,615.44</w:t>
            </w:r>
          </w:p>
        </w:tc>
        <w:tc>
          <w:tcPr>
            <w:tcW w:w="2244" w:type="dxa"/>
            <w:shd w:val="clear" w:color="auto" w:fill="auto"/>
            <w:vAlign w:val="center"/>
          </w:tcPr>
          <w:p>
            <w:pPr>
              <w:snapToGrid w:val="0"/>
              <w:spacing w:line="200" w:lineRule="atLeast"/>
              <w:jc w:val="right"/>
              <w:rPr>
                <w:rFonts w:ascii="Times New Roman" w:hAnsi="Times New Roman" w:eastAsia="宋体" w:cs="Times New Roman"/>
                <w:color w:val="auto"/>
                <w:sz w:val="16"/>
                <w:szCs w:val="18"/>
                <w:highlight w:val="none"/>
              </w:rPr>
            </w:pPr>
            <w:r>
              <w:rPr>
                <w:rFonts w:ascii="Times New Roman" w:hAnsi="Times New Roman" w:eastAsia="宋体" w:cs="Times New Roman"/>
                <w:color w:val="auto"/>
                <w:sz w:val="16"/>
                <w:szCs w:val="18"/>
                <w:highlight w:val="none"/>
              </w:rPr>
              <w:t>202,944,112.13</w:t>
            </w:r>
          </w:p>
        </w:tc>
      </w:tr>
    </w:tbl>
    <w:p>
      <w:pPr>
        <w:pStyle w:val="35"/>
        <w:rPr>
          <w:color w:val="auto"/>
          <w:highlight w:val="none"/>
        </w:rPr>
      </w:pPr>
      <w:r>
        <w:rPr>
          <w:color w:val="auto"/>
          <w:highlight w:val="none"/>
        </w:rPr>
        <w:fldChar w:fldCharType="end"/>
      </w:r>
    </w:p>
    <w:p>
      <w:pPr>
        <w:rPr>
          <w:rFonts w:ascii="Times New Roman" w:hAnsi="Times New Roman" w:eastAsia="宋体" w:cs="Times New Roman"/>
          <w:color w:val="auto"/>
          <w:highlight w:val="none"/>
        </w:rPr>
      </w:pPr>
      <w:r>
        <w:rPr>
          <w:color w:val="auto"/>
          <w:highlight w:val="none"/>
        </w:rPr>
        <w:br w:type="page"/>
      </w:r>
    </w:p>
    <w:p>
      <w:pPr>
        <w:pStyle w:val="43"/>
        <w:rPr>
          <w:color w:val="auto"/>
          <w:highlight w:val="none"/>
        </w:rPr>
      </w:pPr>
      <w:r>
        <w:rPr>
          <w:color w:val="auto"/>
          <w:highlight w:val="none"/>
        </w:rPr>
        <w:t>按照有关财务会计制度应披露的其他内容</w:t>
      </w:r>
    </w:p>
    <w:p>
      <w:pPr>
        <w:pStyle w:val="38"/>
        <w:rPr>
          <w:color w:val="auto"/>
          <w:highlight w:val="none"/>
        </w:rPr>
      </w:pPr>
      <w:r>
        <w:rPr>
          <w:rFonts w:hint="eastAsia"/>
          <w:color w:val="auto"/>
          <w:highlight w:val="none"/>
        </w:rPr>
        <w:t>无。</w:t>
      </w:r>
    </w:p>
    <w:p>
      <w:pPr>
        <w:pStyle w:val="38"/>
        <w:rPr>
          <w:color w:val="auto"/>
          <w:highlight w:val="none"/>
        </w:rPr>
      </w:pPr>
    </w:p>
    <w:p>
      <w:pPr>
        <w:pStyle w:val="43"/>
        <w:rPr>
          <w:color w:val="auto"/>
          <w:highlight w:val="none"/>
        </w:rPr>
      </w:pPr>
      <w:r>
        <w:rPr>
          <w:color w:val="auto"/>
          <w:highlight w:val="none"/>
        </w:rPr>
        <w:t>财务报表的批准</w:t>
      </w:r>
    </w:p>
    <w:p>
      <w:pPr>
        <w:pStyle w:val="38"/>
        <w:rPr>
          <w:color w:val="auto"/>
          <w:highlight w:val="none"/>
        </w:rPr>
      </w:pPr>
      <w:r>
        <w:rPr>
          <w:color w:val="auto"/>
          <w:highlight w:val="none"/>
        </w:rPr>
        <w:t>本财务报表已于 202</w:t>
      </w:r>
      <w:r>
        <w:rPr>
          <w:rFonts w:hint="eastAsia"/>
          <w:color w:val="auto"/>
          <w:highlight w:val="none"/>
        </w:rPr>
        <w:t>5</w:t>
      </w:r>
      <w:r>
        <w:rPr>
          <w:color w:val="auto"/>
          <w:highlight w:val="none"/>
        </w:rPr>
        <w:t>年</w:t>
      </w:r>
      <w:r>
        <w:rPr>
          <w:rFonts w:hint="eastAsia"/>
          <w:color w:val="auto"/>
          <w:highlight w:val="none"/>
        </w:rPr>
        <w:t>4</w:t>
      </w:r>
      <w:r>
        <w:rPr>
          <w:color w:val="auto"/>
          <w:highlight w:val="none"/>
        </w:rPr>
        <w:t>月</w:t>
      </w:r>
      <w:r>
        <w:rPr>
          <w:rFonts w:hint="eastAsia"/>
          <w:color w:val="auto"/>
          <w:highlight w:val="none"/>
        </w:rPr>
        <w:t>25</w:t>
      </w:r>
      <w:r>
        <w:rPr>
          <w:color w:val="auto"/>
          <w:highlight w:val="none"/>
        </w:rPr>
        <w:t>日经本公司批准。</w:t>
      </w:r>
    </w:p>
    <w:p>
      <w:pPr>
        <w:pStyle w:val="38"/>
        <w:rPr>
          <w:color w:val="auto"/>
          <w:highlight w:val="none"/>
        </w:rPr>
      </w:pPr>
    </w:p>
    <w:p>
      <w:pPr>
        <w:pStyle w:val="38"/>
        <w:rPr>
          <w:color w:val="auto"/>
          <w:highlight w:val="none"/>
        </w:rPr>
      </w:pPr>
    </w:p>
    <w:p>
      <w:pPr>
        <w:wordWrap w:val="0"/>
        <w:adjustRightInd w:val="0"/>
        <w:snapToGrid w:val="0"/>
        <w:jc w:val="right"/>
        <w:rPr>
          <w:rFonts w:ascii="Times New Roman" w:hAnsi="Times New Roman" w:cs="Times New Roman"/>
          <w:b/>
          <w:bCs/>
          <w:color w:val="auto"/>
          <w:highlight w:val="none"/>
        </w:rPr>
      </w:pPr>
      <w:r>
        <w:rPr>
          <w:rFonts w:ascii="Times New Roman" w:hAnsi="Times New Roman" w:cs="Times New Roman"/>
          <w:b/>
          <w:color w:val="auto"/>
          <w:highlight w:val="none"/>
        </w:rPr>
        <w:fldChar w:fldCharType="begin"/>
      </w:r>
      <w:r>
        <w:rPr>
          <w:rFonts w:ascii="Times New Roman" w:hAnsi="Times New Roman" w:cs="Times New Roman"/>
          <w:b/>
          <w:color w:val="auto"/>
          <w:highlight w:val="none"/>
        </w:rPr>
        <w:instrText xml:space="preserve"> DOCVARIABLE  基本信息_企业名称  \* MERGEFORMAT </w:instrText>
      </w:r>
      <w:r>
        <w:rPr>
          <w:rFonts w:ascii="Times New Roman" w:hAnsi="Times New Roman" w:cs="Times New Roman"/>
          <w:b/>
          <w:color w:val="auto"/>
          <w:highlight w:val="none"/>
        </w:rPr>
        <w:fldChar w:fldCharType="separate"/>
      </w:r>
      <w:r>
        <w:rPr>
          <w:rFonts w:hint="eastAsia" w:ascii="Times New Roman" w:hAnsi="Times New Roman" w:cs="Times New Roman"/>
          <w:b/>
          <w:color w:val="auto"/>
          <w:highlight w:val="none"/>
        </w:rPr>
        <w:t>国家电投集团贵州金元股份有限公司</w:t>
      </w:r>
      <w:r>
        <w:rPr>
          <w:rFonts w:ascii="Times New Roman" w:hAnsi="Times New Roman" w:cs="Times New Roman"/>
          <w:b/>
          <w:color w:val="auto"/>
          <w:highlight w:val="none"/>
        </w:rPr>
        <w:fldChar w:fldCharType="end"/>
      </w:r>
    </w:p>
    <w:p>
      <w:pPr>
        <w:adjustRightInd w:val="0"/>
        <w:snapToGrid w:val="0"/>
        <w:jc w:val="right"/>
        <w:rPr>
          <w:rFonts w:ascii="Times New Roman" w:hAnsi="Times New Roman" w:cs="Times New Roman"/>
          <w:color w:val="auto"/>
          <w:spacing w:val="20"/>
          <w:highlight w:val="none"/>
        </w:rPr>
      </w:pPr>
      <w:r>
        <w:rPr>
          <w:rFonts w:hint="eastAsia" w:ascii="Times New Roman" w:hAnsi="Times New Roman" w:cs="Times New Roman"/>
          <w:b/>
          <w:bCs/>
          <w:color w:val="auto"/>
          <w:spacing w:val="20"/>
          <w:highlight w:val="none"/>
        </w:rPr>
        <w:t>20</w:t>
      </w:r>
      <w:r>
        <w:rPr>
          <w:rFonts w:ascii="Times New Roman" w:hAnsi="Times New Roman" w:cs="Times New Roman"/>
          <w:b/>
          <w:bCs/>
          <w:color w:val="auto"/>
          <w:spacing w:val="20"/>
          <w:highlight w:val="none"/>
        </w:rPr>
        <w:t>2</w:t>
      </w:r>
      <w:r>
        <w:rPr>
          <w:rFonts w:hint="eastAsia" w:ascii="Times New Roman" w:hAnsi="Times New Roman" w:cs="Times New Roman"/>
          <w:b/>
          <w:bCs/>
          <w:color w:val="auto"/>
          <w:spacing w:val="20"/>
          <w:highlight w:val="none"/>
        </w:rPr>
        <w:t>5</w:t>
      </w:r>
      <w:r>
        <w:rPr>
          <w:rFonts w:ascii="Times New Roman" w:hAnsi="Times New Roman" w:cs="Times New Roman"/>
          <w:b/>
          <w:bCs/>
          <w:color w:val="auto"/>
          <w:spacing w:val="20"/>
          <w:highlight w:val="none"/>
        </w:rPr>
        <w:t>年</w:t>
      </w:r>
      <w:r>
        <w:rPr>
          <w:rFonts w:hint="eastAsia" w:ascii="Times New Roman" w:hAnsi="Times New Roman" w:cs="Times New Roman"/>
          <w:b/>
          <w:bCs/>
          <w:color w:val="auto"/>
          <w:spacing w:val="20"/>
          <w:highlight w:val="none"/>
        </w:rPr>
        <w:t>4</w:t>
      </w:r>
      <w:r>
        <w:rPr>
          <w:rFonts w:ascii="Times New Roman" w:hAnsi="Times New Roman" w:cs="Times New Roman"/>
          <w:b/>
          <w:bCs/>
          <w:color w:val="auto"/>
          <w:spacing w:val="20"/>
          <w:highlight w:val="none"/>
        </w:rPr>
        <w:t>月</w:t>
      </w:r>
      <w:r>
        <w:rPr>
          <w:rFonts w:hint="eastAsia" w:ascii="Times New Roman" w:hAnsi="Times New Roman" w:cs="Times New Roman"/>
          <w:b/>
          <w:bCs/>
          <w:color w:val="auto"/>
          <w:spacing w:val="20"/>
          <w:highlight w:val="none"/>
        </w:rPr>
        <w:t>25</w:t>
      </w:r>
      <w:r>
        <w:rPr>
          <w:rFonts w:ascii="Times New Roman" w:hAnsi="Times New Roman" w:cs="Times New Roman"/>
          <w:b/>
          <w:bCs/>
          <w:color w:val="auto"/>
          <w:spacing w:val="20"/>
          <w:highlight w:val="none"/>
        </w:rPr>
        <w:t>日</w:t>
      </w:r>
    </w:p>
    <w:p>
      <w:pPr>
        <w:adjustRightInd w:val="0"/>
        <w:snapToGrid w:val="0"/>
        <w:ind w:firstLine="567"/>
        <w:jc w:val="both"/>
        <w:rPr>
          <w:rFonts w:ascii="Times New Roman" w:hAnsi="Times New Roman" w:eastAsia="宋体" w:cs="Times New Roman"/>
          <w:color w:val="auto"/>
          <w:sz w:val="28"/>
          <w:highlight w:val="none"/>
        </w:rPr>
      </w:pPr>
    </w:p>
    <w:p>
      <w:pPr>
        <w:rPr>
          <w:color w:val="auto"/>
          <w:highlight w:val="none"/>
        </w:rPr>
      </w:pPr>
    </w:p>
    <w:p>
      <w:pPr>
        <w:pStyle w:val="6"/>
        <w:spacing w:before="120"/>
        <w:ind w:left="0"/>
        <w:jc w:val="center"/>
        <w:outlineLvl w:val="0"/>
        <w:rPr>
          <w:rFonts w:hint="eastAsia" w:cs="宋体"/>
          <w:b/>
          <w:bCs/>
          <w:color w:val="auto"/>
          <w:highlight w:val="none"/>
          <w:lang w:val="en-US" w:eastAsia="zh-CN"/>
        </w:rPr>
      </w:pPr>
    </w:p>
    <w:p>
      <w:pPr>
        <w:rPr>
          <w:rFonts w:hint="eastAsia" w:cs="宋体"/>
          <w:b/>
          <w:bCs/>
          <w:color w:val="auto"/>
          <w:highlight w:val="none"/>
          <w:lang w:val="en-US" w:eastAsia="zh-CN"/>
        </w:rPr>
      </w:pPr>
    </w:p>
    <w:p>
      <w:pPr>
        <w:pStyle w:val="15"/>
        <w:rPr>
          <w:rFonts w:hint="eastAsia" w:cs="宋体"/>
          <w:b/>
          <w:bCs/>
          <w:color w:val="auto"/>
          <w:highlight w:val="none"/>
          <w:lang w:val="en-US" w:eastAsia="zh-CN"/>
        </w:rPr>
      </w:pPr>
    </w:p>
    <w:p>
      <w:pPr>
        <w:pStyle w:val="15"/>
        <w:rPr>
          <w:rFonts w:hint="eastAsia" w:cs="宋体"/>
          <w:b/>
          <w:bCs/>
          <w:color w:val="auto"/>
          <w:highlight w:val="none"/>
          <w:lang w:val="en-US" w:eastAsia="zh-CN"/>
        </w:rPr>
      </w:pPr>
    </w:p>
    <w:p>
      <w:pPr>
        <w:pStyle w:val="15"/>
        <w:rPr>
          <w:rFonts w:hint="eastAsia" w:cs="宋体"/>
          <w:b/>
          <w:bCs/>
          <w:color w:val="auto"/>
          <w:highlight w:val="none"/>
          <w:lang w:val="en-US" w:eastAsia="zh-CN"/>
        </w:rPr>
      </w:pPr>
    </w:p>
    <w:p>
      <w:pPr>
        <w:pStyle w:val="15"/>
        <w:rPr>
          <w:rFonts w:hint="eastAsia" w:cs="宋体"/>
          <w:b/>
          <w:bCs/>
          <w:color w:val="auto"/>
          <w:highlight w:val="none"/>
          <w:lang w:val="en-US" w:eastAsia="zh-CN"/>
        </w:rPr>
      </w:pPr>
    </w:p>
    <w:p>
      <w:pPr>
        <w:pStyle w:val="15"/>
        <w:rPr>
          <w:rFonts w:hint="eastAsia" w:cs="宋体"/>
          <w:b/>
          <w:bCs/>
          <w:color w:val="auto"/>
          <w:highlight w:val="none"/>
          <w:lang w:val="en-US" w:eastAsia="zh-CN"/>
        </w:rPr>
      </w:pPr>
    </w:p>
    <w:p>
      <w:pPr>
        <w:pStyle w:val="15"/>
        <w:rPr>
          <w:rFonts w:hint="eastAsia" w:cs="宋体"/>
          <w:b/>
          <w:bCs/>
          <w:color w:val="auto"/>
          <w:highlight w:val="none"/>
          <w:lang w:val="en-US" w:eastAsia="zh-CN"/>
        </w:rPr>
      </w:pPr>
    </w:p>
    <w:p>
      <w:pPr>
        <w:pStyle w:val="15"/>
        <w:rPr>
          <w:rFonts w:hint="eastAsia" w:cs="宋体"/>
          <w:b/>
          <w:bCs/>
          <w:color w:val="auto"/>
          <w:highlight w:val="none"/>
          <w:lang w:val="en-US" w:eastAsia="zh-CN"/>
        </w:rPr>
      </w:pPr>
    </w:p>
    <w:p>
      <w:pPr>
        <w:pStyle w:val="15"/>
        <w:rPr>
          <w:rFonts w:hint="eastAsia" w:cs="宋体"/>
          <w:b/>
          <w:bCs/>
          <w:color w:val="auto"/>
          <w:highlight w:val="none"/>
          <w:lang w:val="en-US" w:eastAsia="zh-CN"/>
        </w:rPr>
      </w:pPr>
    </w:p>
    <w:p>
      <w:pPr>
        <w:pStyle w:val="15"/>
        <w:rPr>
          <w:rFonts w:hint="eastAsia" w:cs="宋体"/>
          <w:b/>
          <w:bCs/>
          <w:color w:val="auto"/>
          <w:highlight w:val="none"/>
          <w:lang w:val="en-US" w:eastAsia="zh-CN"/>
        </w:rPr>
      </w:pPr>
    </w:p>
    <w:p>
      <w:pPr>
        <w:pStyle w:val="15"/>
        <w:rPr>
          <w:rFonts w:hint="eastAsia" w:cs="宋体"/>
          <w:b/>
          <w:bCs/>
          <w:color w:val="auto"/>
          <w:highlight w:val="none"/>
          <w:lang w:val="en-US" w:eastAsia="zh-CN"/>
        </w:rPr>
      </w:pPr>
    </w:p>
    <w:p>
      <w:pPr>
        <w:pStyle w:val="15"/>
        <w:rPr>
          <w:rFonts w:hint="eastAsia" w:cs="宋体"/>
          <w:b/>
          <w:bCs/>
          <w:color w:val="auto"/>
          <w:highlight w:val="none"/>
          <w:lang w:val="en-US" w:eastAsia="zh-CN"/>
        </w:rPr>
      </w:pPr>
    </w:p>
    <w:p>
      <w:pPr>
        <w:pStyle w:val="15"/>
        <w:rPr>
          <w:rFonts w:hint="eastAsia" w:cs="宋体"/>
          <w:b/>
          <w:bCs/>
          <w:color w:val="auto"/>
          <w:highlight w:val="none"/>
          <w:lang w:val="en-US" w:eastAsia="zh-CN"/>
        </w:rPr>
      </w:pPr>
    </w:p>
    <w:p>
      <w:pPr>
        <w:pStyle w:val="15"/>
        <w:rPr>
          <w:rFonts w:hint="eastAsia" w:cs="宋体"/>
          <w:b/>
          <w:bCs/>
          <w:color w:val="auto"/>
          <w:highlight w:val="none"/>
          <w:lang w:val="en-US" w:eastAsia="zh-CN"/>
        </w:rPr>
      </w:pPr>
    </w:p>
    <w:p>
      <w:pPr>
        <w:pStyle w:val="15"/>
        <w:rPr>
          <w:rFonts w:hint="eastAsia" w:cs="宋体"/>
          <w:b/>
          <w:bCs/>
          <w:color w:val="auto"/>
          <w:highlight w:val="none"/>
          <w:lang w:val="en-US" w:eastAsia="zh-CN"/>
        </w:rPr>
      </w:pPr>
    </w:p>
    <w:p>
      <w:pPr>
        <w:pStyle w:val="15"/>
        <w:rPr>
          <w:rFonts w:hint="eastAsia" w:cs="宋体"/>
          <w:b/>
          <w:bCs/>
          <w:color w:val="auto"/>
          <w:highlight w:val="none"/>
          <w:lang w:val="en-US" w:eastAsia="zh-CN"/>
        </w:rPr>
      </w:pPr>
    </w:p>
    <w:p>
      <w:pPr>
        <w:pStyle w:val="15"/>
        <w:rPr>
          <w:rFonts w:hint="eastAsia" w:cs="宋体"/>
          <w:b/>
          <w:bCs/>
          <w:color w:val="auto"/>
          <w:highlight w:val="none"/>
          <w:lang w:val="en-US" w:eastAsia="zh-CN"/>
        </w:rPr>
      </w:pPr>
    </w:p>
    <w:p>
      <w:pPr>
        <w:pStyle w:val="15"/>
        <w:rPr>
          <w:rFonts w:hint="eastAsia" w:cs="宋体"/>
          <w:b/>
          <w:bCs/>
          <w:color w:val="auto"/>
          <w:highlight w:val="none"/>
          <w:lang w:val="en-US" w:eastAsia="zh-CN"/>
        </w:rPr>
      </w:pPr>
    </w:p>
    <w:p>
      <w:pPr>
        <w:pStyle w:val="15"/>
        <w:rPr>
          <w:rFonts w:hint="eastAsia" w:cs="宋体"/>
          <w:b/>
          <w:bCs/>
          <w:color w:val="auto"/>
          <w:highlight w:val="none"/>
          <w:lang w:val="en-US" w:eastAsia="zh-CN"/>
        </w:rPr>
      </w:pPr>
    </w:p>
    <w:p>
      <w:pPr>
        <w:pStyle w:val="15"/>
        <w:rPr>
          <w:rFonts w:hint="eastAsia" w:cs="宋体"/>
          <w:b/>
          <w:bCs/>
          <w:color w:val="auto"/>
          <w:highlight w:val="none"/>
          <w:lang w:val="en-US" w:eastAsia="zh-CN"/>
        </w:rPr>
      </w:pPr>
    </w:p>
    <w:p>
      <w:pPr>
        <w:pStyle w:val="15"/>
        <w:rPr>
          <w:rFonts w:hint="eastAsia" w:cs="宋体"/>
          <w:b/>
          <w:bCs/>
          <w:color w:val="auto"/>
          <w:highlight w:val="none"/>
          <w:lang w:val="en-US" w:eastAsia="zh-CN"/>
        </w:rPr>
      </w:pPr>
    </w:p>
    <w:p>
      <w:pPr>
        <w:pStyle w:val="15"/>
        <w:rPr>
          <w:rFonts w:hint="eastAsia" w:cs="宋体"/>
          <w:b/>
          <w:bCs/>
          <w:color w:val="auto"/>
          <w:highlight w:val="none"/>
          <w:lang w:val="en-US" w:eastAsia="zh-CN"/>
        </w:rPr>
      </w:pPr>
    </w:p>
    <w:p>
      <w:pPr>
        <w:pStyle w:val="17"/>
        <w:rPr>
          <w:rFonts w:hint="eastAsia" w:cs="宋体"/>
          <w:b/>
          <w:bCs/>
          <w:color w:val="auto"/>
          <w:highlight w:val="none"/>
          <w:lang w:val="en-US" w:eastAsia="zh-CN"/>
        </w:rPr>
      </w:pPr>
    </w:p>
    <w:p>
      <w:pPr>
        <w:rPr>
          <w:rFonts w:hint="eastAsia" w:cs="宋体"/>
          <w:b/>
          <w:bCs/>
          <w:color w:val="auto"/>
          <w:highlight w:val="none"/>
          <w:lang w:val="en-US" w:eastAsia="zh-CN"/>
        </w:rPr>
      </w:pPr>
    </w:p>
    <w:p>
      <w:pPr>
        <w:pStyle w:val="17"/>
        <w:rPr>
          <w:rFonts w:hint="eastAsia" w:cs="宋体"/>
          <w:b/>
          <w:bCs/>
          <w:color w:val="auto"/>
          <w:highlight w:val="none"/>
          <w:lang w:val="en-US" w:eastAsia="zh-CN"/>
        </w:rPr>
      </w:pPr>
    </w:p>
    <w:p>
      <w:pPr>
        <w:pStyle w:val="33"/>
        <w:spacing w:line="360" w:lineRule="auto"/>
        <w:jc w:val="both"/>
        <w:rPr>
          <w:rFonts w:hint="eastAsia" w:ascii="黑体" w:hAnsi="黑体" w:eastAsia="黑体"/>
          <w:color w:val="auto"/>
          <w:sz w:val="32"/>
          <w:szCs w:val="32"/>
          <w:highlight w:val="none"/>
          <w:lang w:val="en-US" w:eastAsia="zh-CN"/>
        </w:rPr>
        <w:sectPr>
          <w:headerReference r:id="rId26" w:type="default"/>
          <w:footerReference r:id="rId27" w:type="default"/>
          <w:pgSz w:w="11910" w:h="16840"/>
          <w:pgMar w:top="1418" w:right="1678" w:bottom="278" w:left="1678" w:header="720" w:footer="720" w:gutter="0"/>
          <w:pgNumType w:fmt="decimal" w:start="1"/>
          <w:cols w:space="720" w:num="1"/>
        </w:sectPr>
      </w:pPr>
    </w:p>
    <w:p>
      <w:pPr>
        <w:jc w:val="center"/>
        <w:outlineLvl w:val="2"/>
        <w:rPr>
          <w:rFonts w:ascii="黑体" w:hAnsi="黑体" w:eastAsia="黑体" w:cs="黑体"/>
          <w:color w:val="auto"/>
          <w:sz w:val="50"/>
          <w:szCs w:val="50"/>
          <w:highlight w:val="none"/>
        </w:rPr>
      </w:pPr>
      <w:bookmarkStart w:id="84" w:name="_GoBack"/>
      <w:bookmarkEnd w:id="84"/>
    </w:p>
    <w:p>
      <w:pPr>
        <w:jc w:val="center"/>
        <w:outlineLvl w:val="2"/>
        <w:rPr>
          <w:rFonts w:ascii="黑体" w:hAnsi="黑体" w:eastAsia="黑体" w:cs="黑体"/>
          <w:color w:val="auto"/>
          <w:sz w:val="50"/>
          <w:szCs w:val="50"/>
          <w:highlight w:val="none"/>
        </w:rPr>
      </w:pPr>
    </w:p>
    <w:p>
      <w:pPr>
        <w:jc w:val="center"/>
        <w:outlineLvl w:val="2"/>
        <w:rPr>
          <w:rFonts w:ascii="黑体" w:hAnsi="黑体" w:eastAsia="黑体" w:cs="黑体"/>
          <w:color w:val="auto"/>
          <w:sz w:val="50"/>
          <w:szCs w:val="50"/>
          <w:highlight w:val="none"/>
        </w:rPr>
      </w:pPr>
    </w:p>
    <w:p>
      <w:pPr>
        <w:jc w:val="center"/>
        <w:outlineLvl w:val="2"/>
        <w:rPr>
          <w:rFonts w:ascii="黑体" w:hAnsi="黑体" w:eastAsia="黑体" w:cs="黑体"/>
          <w:color w:val="auto"/>
          <w:sz w:val="50"/>
          <w:szCs w:val="50"/>
          <w:highlight w:val="none"/>
        </w:rPr>
      </w:pPr>
      <w:r>
        <w:rPr>
          <w:rFonts w:ascii="黑体" w:hAnsi="黑体" w:eastAsia="黑体" w:cs="黑体"/>
          <w:color w:val="auto"/>
          <w:sz w:val="50"/>
          <w:szCs w:val="50"/>
          <w:highlight w:val="none"/>
        </w:rPr>
        <w:t>国家电投集团贵州金元股份有限</w:t>
      </w:r>
      <w:r>
        <w:rPr>
          <w:rFonts w:hint="eastAsia" w:ascii="黑体" w:hAnsi="黑体" w:eastAsia="黑体" w:cs="黑体"/>
          <w:color w:val="auto"/>
          <w:sz w:val="50"/>
          <w:szCs w:val="50"/>
          <w:highlight w:val="none"/>
        </w:rPr>
        <w:t>公</w:t>
      </w:r>
      <w:r>
        <w:rPr>
          <w:rFonts w:ascii="黑体" w:hAnsi="黑体" w:eastAsia="黑体" w:cs="黑体"/>
          <w:color w:val="auto"/>
          <w:sz w:val="50"/>
          <w:szCs w:val="50"/>
          <w:highlight w:val="none"/>
        </w:rPr>
        <w:t>司</w:t>
      </w:r>
    </w:p>
    <w:p>
      <w:pPr>
        <w:jc w:val="center"/>
        <w:outlineLvl w:val="2"/>
        <w:rPr>
          <w:rFonts w:hint="eastAsia" w:ascii="黑体" w:hAnsi="黑体" w:eastAsia="黑体" w:cs="黑体"/>
          <w:color w:val="auto"/>
          <w:sz w:val="50"/>
          <w:szCs w:val="50"/>
          <w:highlight w:val="none"/>
          <w:lang w:val="en-US" w:eastAsia="zh-CN"/>
        </w:rPr>
      </w:pPr>
      <w:r>
        <w:rPr>
          <w:rFonts w:hint="eastAsia" w:ascii="黑体" w:hAnsi="黑体" w:eastAsia="黑体" w:cs="黑体"/>
          <w:color w:val="auto"/>
          <w:sz w:val="50"/>
          <w:szCs w:val="50"/>
          <w:highlight w:val="none"/>
        </w:rPr>
        <w:t>202</w:t>
      </w:r>
      <w:r>
        <w:rPr>
          <w:rFonts w:hint="eastAsia" w:ascii="黑体" w:hAnsi="黑体" w:eastAsia="黑体" w:cs="黑体"/>
          <w:color w:val="auto"/>
          <w:sz w:val="50"/>
          <w:szCs w:val="50"/>
          <w:highlight w:val="none"/>
          <w:lang w:val="en-US" w:eastAsia="zh-CN"/>
        </w:rPr>
        <w:t>4</w:t>
      </w:r>
      <w:r>
        <w:rPr>
          <w:rFonts w:hint="eastAsia" w:ascii="黑体" w:hAnsi="黑体" w:eastAsia="黑体" w:cs="黑体"/>
          <w:color w:val="auto"/>
          <w:sz w:val="50"/>
          <w:szCs w:val="50"/>
          <w:highlight w:val="none"/>
        </w:rPr>
        <w:t>年</w:t>
      </w:r>
      <w:r>
        <w:rPr>
          <w:rFonts w:hint="eastAsia" w:ascii="黑体" w:hAnsi="黑体" w:eastAsia="黑体" w:cs="黑体"/>
          <w:color w:val="auto"/>
          <w:sz w:val="50"/>
          <w:szCs w:val="50"/>
          <w:highlight w:val="none"/>
          <w:lang w:eastAsia="zh-CN"/>
        </w:rPr>
        <w:t>年</w:t>
      </w:r>
      <w:r>
        <w:rPr>
          <w:rFonts w:hint="eastAsia" w:ascii="黑体" w:hAnsi="黑体" w:eastAsia="黑体" w:cs="黑体"/>
          <w:color w:val="auto"/>
          <w:sz w:val="50"/>
          <w:szCs w:val="50"/>
          <w:highlight w:val="none"/>
        </w:rPr>
        <w:t>度报告</w:t>
      </w:r>
      <w:r>
        <w:rPr>
          <w:rFonts w:hint="eastAsia" w:ascii="黑体" w:hAnsi="黑体" w:eastAsia="黑体" w:cs="黑体"/>
          <w:color w:val="auto"/>
          <w:sz w:val="50"/>
          <w:szCs w:val="50"/>
          <w:highlight w:val="none"/>
          <w:lang w:val="en-US" w:eastAsia="zh-CN"/>
        </w:rPr>
        <w:t>摘要</w:t>
      </w:r>
    </w:p>
    <w:p>
      <w:pPr>
        <w:jc w:val="center"/>
        <w:rPr>
          <w:rFonts w:eastAsia="黑体"/>
          <w:color w:val="auto"/>
          <w:sz w:val="44"/>
          <w:szCs w:val="44"/>
          <w:highlight w:val="none"/>
        </w:rPr>
      </w:pPr>
    </w:p>
    <w:p>
      <w:pPr>
        <w:jc w:val="center"/>
        <w:rPr>
          <w:rFonts w:eastAsia="黑体"/>
          <w:color w:val="auto"/>
          <w:sz w:val="44"/>
          <w:szCs w:val="44"/>
          <w:highlight w:val="none"/>
        </w:rPr>
      </w:pPr>
    </w:p>
    <w:p>
      <w:pPr>
        <w:jc w:val="center"/>
        <w:rPr>
          <w:rFonts w:eastAsia="黑体"/>
          <w:color w:val="auto"/>
          <w:sz w:val="44"/>
          <w:szCs w:val="44"/>
          <w:highlight w:val="none"/>
        </w:rPr>
      </w:pPr>
    </w:p>
    <w:p>
      <w:pPr>
        <w:jc w:val="center"/>
        <w:rPr>
          <w:rFonts w:eastAsia="黑体"/>
          <w:color w:val="auto"/>
          <w:sz w:val="44"/>
          <w:szCs w:val="44"/>
          <w:highlight w:val="none"/>
        </w:rPr>
      </w:pPr>
    </w:p>
    <w:p>
      <w:pPr>
        <w:jc w:val="center"/>
        <w:rPr>
          <w:rFonts w:eastAsia="黑体"/>
          <w:color w:val="auto"/>
          <w:sz w:val="44"/>
          <w:szCs w:val="44"/>
          <w:highlight w:val="none"/>
        </w:rPr>
      </w:pPr>
    </w:p>
    <w:p>
      <w:pPr>
        <w:jc w:val="center"/>
        <w:rPr>
          <w:rFonts w:eastAsia="黑体"/>
          <w:color w:val="auto"/>
          <w:sz w:val="44"/>
          <w:szCs w:val="44"/>
          <w:highlight w:val="none"/>
        </w:rPr>
      </w:pPr>
    </w:p>
    <w:p>
      <w:pPr>
        <w:jc w:val="center"/>
        <w:rPr>
          <w:rFonts w:eastAsia="黑体"/>
          <w:color w:val="auto"/>
          <w:sz w:val="44"/>
          <w:szCs w:val="44"/>
          <w:highlight w:val="none"/>
        </w:rPr>
      </w:pPr>
    </w:p>
    <w:p>
      <w:pPr>
        <w:jc w:val="center"/>
        <w:rPr>
          <w:rFonts w:eastAsia="黑体"/>
          <w:color w:val="auto"/>
          <w:sz w:val="44"/>
          <w:szCs w:val="44"/>
          <w:highlight w:val="none"/>
        </w:rPr>
      </w:pPr>
    </w:p>
    <w:p>
      <w:pPr>
        <w:jc w:val="center"/>
        <w:rPr>
          <w:rFonts w:eastAsia="黑体"/>
          <w:color w:val="auto"/>
          <w:sz w:val="44"/>
          <w:szCs w:val="44"/>
          <w:highlight w:val="none"/>
        </w:rPr>
      </w:pPr>
    </w:p>
    <w:p>
      <w:pPr>
        <w:jc w:val="center"/>
        <w:rPr>
          <w:rFonts w:eastAsia="黑体"/>
          <w:color w:val="auto"/>
          <w:sz w:val="44"/>
          <w:szCs w:val="44"/>
          <w:highlight w:val="none"/>
        </w:rPr>
      </w:pPr>
    </w:p>
    <w:p>
      <w:pPr>
        <w:jc w:val="center"/>
        <w:rPr>
          <w:rFonts w:eastAsia="黑体"/>
          <w:color w:val="auto"/>
          <w:sz w:val="44"/>
          <w:szCs w:val="44"/>
          <w:highlight w:val="none"/>
        </w:rPr>
      </w:pPr>
    </w:p>
    <w:p>
      <w:pPr>
        <w:jc w:val="center"/>
        <w:rPr>
          <w:rFonts w:eastAsia="黑体"/>
          <w:color w:val="auto"/>
          <w:sz w:val="44"/>
          <w:szCs w:val="44"/>
          <w:highlight w:val="none"/>
        </w:rPr>
      </w:pPr>
    </w:p>
    <w:p>
      <w:pPr>
        <w:jc w:val="center"/>
        <w:rPr>
          <w:rFonts w:eastAsia="黑体"/>
          <w:color w:val="auto"/>
          <w:sz w:val="44"/>
          <w:szCs w:val="44"/>
          <w:highlight w:val="none"/>
        </w:rPr>
      </w:pPr>
    </w:p>
    <w:p>
      <w:pPr>
        <w:jc w:val="center"/>
        <w:rPr>
          <w:rFonts w:eastAsia="黑体"/>
          <w:color w:val="auto"/>
          <w:sz w:val="44"/>
          <w:szCs w:val="44"/>
          <w:highlight w:val="none"/>
        </w:rPr>
      </w:pPr>
    </w:p>
    <w:p>
      <w:pPr>
        <w:jc w:val="center"/>
        <w:rPr>
          <w:rFonts w:eastAsia="黑体"/>
          <w:color w:val="auto"/>
          <w:sz w:val="44"/>
          <w:szCs w:val="44"/>
          <w:highlight w:val="none"/>
        </w:rPr>
      </w:pPr>
    </w:p>
    <w:p>
      <w:pPr>
        <w:pStyle w:val="33"/>
        <w:spacing w:line="360" w:lineRule="auto"/>
        <w:jc w:val="center"/>
        <w:rPr>
          <w:rFonts w:hint="eastAsia" w:ascii="仿宋" w:hAnsi="仿宋" w:eastAsia="仿宋" w:cs="仿宋"/>
          <w:color w:val="auto"/>
          <w:sz w:val="36"/>
          <w:szCs w:val="36"/>
          <w:highlight w:val="none"/>
        </w:rPr>
      </w:pPr>
      <w:bookmarkStart w:id="66" w:name="_Toc27772"/>
      <w:bookmarkStart w:id="67" w:name="_Toc3165"/>
      <w:r>
        <w:rPr>
          <w:rFonts w:hint="eastAsia" w:ascii="仿宋" w:hAnsi="仿宋" w:eastAsia="仿宋" w:cs="仿宋"/>
          <w:color w:val="auto"/>
          <w:sz w:val="36"/>
          <w:szCs w:val="36"/>
          <w:highlight w:val="none"/>
        </w:rPr>
        <w:t>国家电投集团贵州金元股份有限公司</w:t>
      </w:r>
      <w:bookmarkEnd w:id="66"/>
      <w:bookmarkEnd w:id="67"/>
    </w:p>
    <w:p>
      <w:pPr>
        <w:pStyle w:val="33"/>
        <w:spacing w:line="360" w:lineRule="auto"/>
        <w:jc w:val="center"/>
        <w:rPr>
          <w:rFonts w:hint="eastAsia" w:ascii="仿宋" w:hAnsi="仿宋" w:eastAsia="仿宋" w:cs="仿宋"/>
          <w:color w:val="auto"/>
          <w:sz w:val="36"/>
          <w:szCs w:val="36"/>
          <w:highlight w:val="none"/>
          <w:lang w:val="zh-CN"/>
        </w:rPr>
      </w:pPr>
      <w:bookmarkStart w:id="68" w:name="_Toc20383"/>
      <w:bookmarkStart w:id="69" w:name="_Toc14559"/>
      <w:r>
        <w:rPr>
          <w:rFonts w:hint="eastAsia" w:ascii="仿宋" w:hAnsi="仿宋" w:eastAsia="仿宋" w:cs="仿宋"/>
          <w:color w:val="auto"/>
          <w:sz w:val="36"/>
          <w:szCs w:val="36"/>
          <w:highlight w:val="none"/>
          <w:lang w:val="zh-CN"/>
        </w:rPr>
        <w:t>202</w:t>
      </w:r>
      <w:r>
        <w:rPr>
          <w:rFonts w:hint="eastAsia" w:ascii="仿宋" w:hAnsi="仿宋" w:eastAsia="仿宋" w:cs="仿宋"/>
          <w:color w:val="auto"/>
          <w:sz w:val="36"/>
          <w:szCs w:val="36"/>
          <w:highlight w:val="none"/>
          <w:lang w:val="en-US" w:eastAsia="zh-CN"/>
        </w:rPr>
        <w:t>5</w:t>
      </w:r>
      <w:r>
        <w:rPr>
          <w:rFonts w:hint="eastAsia" w:ascii="仿宋" w:hAnsi="仿宋" w:eastAsia="仿宋" w:cs="仿宋"/>
          <w:color w:val="auto"/>
          <w:sz w:val="36"/>
          <w:szCs w:val="36"/>
          <w:highlight w:val="none"/>
          <w:lang w:val="zh-CN"/>
        </w:rPr>
        <w:t>年</w:t>
      </w:r>
      <w:r>
        <w:rPr>
          <w:rFonts w:hint="eastAsia" w:ascii="仿宋" w:hAnsi="仿宋" w:eastAsia="仿宋" w:cs="仿宋"/>
          <w:color w:val="auto"/>
          <w:sz w:val="36"/>
          <w:szCs w:val="36"/>
          <w:highlight w:val="none"/>
          <w:lang w:val="en-US" w:eastAsia="zh-CN"/>
        </w:rPr>
        <w:t>5</w:t>
      </w:r>
      <w:r>
        <w:rPr>
          <w:rFonts w:hint="eastAsia" w:ascii="仿宋" w:hAnsi="仿宋" w:eastAsia="仿宋" w:cs="仿宋"/>
          <w:color w:val="auto"/>
          <w:sz w:val="36"/>
          <w:szCs w:val="36"/>
          <w:highlight w:val="none"/>
          <w:lang w:val="zh-CN"/>
        </w:rPr>
        <w:t>月</w:t>
      </w:r>
      <w:bookmarkEnd w:id="68"/>
      <w:bookmarkEnd w:id="69"/>
    </w:p>
    <w:p>
      <w:pPr>
        <w:rPr>
          <w:rFonts w:ascii="黑体" w:hAnsi="黑体" w:eastAsia="黑体"/>
          <w:color w:val="auto"/>
          <w:sz w:val="36"/>
          <w:szCs w:val="36"/>
          <w:highlight w:val="none"/>
          <w:lang w:val="zh-CN"/>
        </w:rPr>
      </w:pPr>
    </w:p>
    <w:p>
      <w:pPr>
        <w:rPr>
          <w:rFonts w:ascii="黑体" w:hAnsi="黑体" w:eastAsia="黑体"/>
          <w:color w:val="auto"/>
          <w:sz w:val="36"/>
          <w:szCs w:val="36"/>
          <w:highlight w:val="none"/>
          <w:lang w:val="zh-CN"/>
        </w:rPr>
      </w:pPr>
    </w:p>
    <w:p>
      <w:pPr>
        <w:rPr>
          <w:rFonts w:ascii="黑体" w:hAnsi="黑体" w:eastAsia="黑体"/>
          <w:color w:val="auto"/>
          <w:sz w:val="36"/>
          <w:szCs w:val="36"/>
          <w:highlight w:val="none"/>
          <w:lang w:val="zh-CN"/>
        </w:rPr>
      </w:pPr>
    </w:p>
    <w:p>
      <w:pPr>
        <w:pStyle w:val="33"/>
        <w:spacing w:line="360" w:lineRule="auto"/>
        <w:jc w:val="center"/>
        <w:rPr>
          <w:rFonts w:ascii="黑体" w:hAnsi="黑体" w:eastAsia="黑体"/>
          <w:color w:val="auto"/>
          <w:sz w:val="36"/>
          <w:szCs w:val="36"/>
          <w:highlight w:val="none"/>
          <w:lang w:val="zh-CN"/>
        </w:rPr>
      </w:pPr>
    </w:p>
    <w:p>
      <w:pPr>
        <w:pStyle w:val="33"/>
        <w:spacing w:line="360" w:lineRule="auto"/>
        <w:jc w:val="center"/>
        <w:rPr>
          <w:rFonts w:ascii="黑体" w:hAnsi="黑体" w:eastAsia="黑体"/>
          <w:color w:val="auto"/>
          <w:sz w:val="36"/>
          <w:szCs w:val="36"/>
          <w:highlight w:val="none"/>
        </w:rPr>
      </w:pPr>
      <w:bookmarkStart w:id="70" w:name="_Toc6798"/>
      <w:bookmarkStart w:id="71" w:name="_Toc17157"/>
      <w:r>
        <w:rPr>
          <w:rFonts w:ascii="黑体" w:hAnsi="黑体" w:eastAsia="黑体"/>
          <w:color w:val="auto"/>
          <w:sz w:val="36"/>
          <w:szCs w:val="36"/>
          <w:highlight w:val="none"/>
          <w:lang w:val="zh-CN"/>
        </w:rPr>
        <w:t>目录</w:t>
      </w:r>
      <w:bookmarkEnd w:id="70"/>
      <w:bookmarkEnd w:id="71"/>
    </w:p>
    <w:p>
      <w:pPr>
        <w:pStyle w:val="14"/>
        <w:tabs>
          <w:tab w:val="right" w:leader="dot" w:pos="8554"/>
        </w:tabs>
        <w:rPr>
          <w:color w:val="auto"/>
          <w:highlight w:val="none"/>
        </w:rPr>
      </w:pPr>
      <w:r>
        <w:rPr>
          <w:color w:val="auto"/>
          <w:sz w:val="28"/>
          <w:highlight w:val="none"/>
        </w:rPr>
        <w:fldChar w:fldCharType="begin"/>
      </w:r>
      <w:r>
        <w:rPr>
          <w:color w:val="auto"/>
          <w:sz w:val="28"/>
          <w:highlight w:val="none"/>
        </w:rPr>
        <w:instrText xml:space="preserve">TOC \o "1-1" \h \u </w:instrText>
      </w:r>
      <w:r>
        <w:rPr>
          <w:color w:val="auto"/>
          <w:sz w:val="28"/>
          <w:highlight w:val="none"/>
        </w:rPr>
        <w:fldChar w:fldCharType="separate"/>
      </w:r>
    </w:p>
    <w:p>
      <w:pPr>
        <w:pStyle w:val="14"/>
        <w:tabs>
          <w:tab w:val="right" w:leader="dot" w:pos="8554"/>
        </w:tabs>
        <w:rPr>
          <w:rFonts w:hint="eastAsia" w:ascii="宋体" w:hAnsi="宋体" w:eastAsia="宋体" w:cs="宋体"/>
          <w:color w:val="auto"/>
          <w:sz w:val="28"/>
          <w:szCs w:val="28"/>
          <w:highlight w:val="none"/>
        </w:rPr>
      </w:pPr>
    </w:p>
    <w:p>
      <w:pPr>
        <w:pStyle w:val="14"/>
        <w:keepNext w:val="0"/>
        <w:keepLines w:val="0"/>
        <w:pageBreakBefore w:val="0"/>
        <w:widowControl w:val="0"/>
        <w:tabs>
          <w:tab w:val="right" w:pos="2800"/>
          <w:tab w:val="right" w:leader="dot" w:pos="8554"/>
        </w:tabs>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_Toc29779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第一节</w:t>
      </w:r>
      <w:r>
        <w:rPr>
          <w:rFonts w:hint="eastAsia" w:ascii="宋体" w:hAnsi="宋体" w:eastAsia="宋体" w:cs="宋体"/>
          <w:bCs/>
          <w:color w:val="auto"/>
          <w:sz w:val="28"/>
          <w:szCs w:val="28"/>
          <w:highlight w:val="none"/>
        </w:rPr>
        <w:tab/>
      </w:r>
      <w:r>
        <w:rPr>
          <w:rFonts w:hint="eastAsia" w:ascii="宋体" w:hAnsi="宋体" w:eastAsia="宋体" w:cs="宋体"/>
          <w:bCs/>
          <w:color w:val="auto"/>
          <w:sz w:val="28"/>
          <w:szCs w:val="28"/>
          <w:highlight w:val="none"/>
          <w:lang w:val="en-US" w:eastAsia="zh-CN"/>
        </w:rPr>
        <w:t xml:space="preserve"> </w:t>
      </w:r>
      <w:r>
        <w:rPr>
          <w:rFonts w:hint="eastAsia" w:ascii="宋体" w:hAnsi="宋体" w:eastAsia="宋体" w:cs="宋体"/>
          <w:bCs/>
          <w:color w:val="auto"/>
          <w:sz w:val="28"/>
          <w:szCs w:val="28"/>
          <w:highlight w:val="none"/>
        </w:rPr>
        <w:t>重要提示、目录和释义</w:t>
      </w:r>
      <w:r>
        <w:rPr>
          <w:rFonts w:hint="eastAsia" w:ascii="宋体" w:hAnsi="宋体" w:eastAsia="宋体" w:cs="宋体"/>
          <w:color w:val="auto"/>
          <w:sz w:val="28"/>
          <w:szCs w:val="28"/>
          <w:highlight w:val="none"/>
        </w:rPr>
        <w:tab/>
      </w:r>
      <w:r>
        <w:rPr>
          <w:rFonts w:hint="eastAsia" w:ascii="宋体" w:hAnsi="宋体" w:cs="宋体"/>
          <w:color w:val="auto"/>
          <w:sz w:val="28"/>
          <w:szCs w:val="28"/>
          <w:highlight w:val="none"/>
          <w:lang w:val="en-US" w:eastAsia="zh-CN"/>
        </w:rPr>
        <w:t>1</w:t>
      </w:r>
      <w:r>
        <w:rPr>
          <w:rFonts w:hint="eastAsia" w:ascii="宋体" w:hAnsi="宋体" w:eastAsia="宋体" w:cs="宋体"/>
          <w:color w:val="auto"/>
          <w:sz w:val="28"/>
          <w:szCs w:val="28"/>
          <w:highlight w:val="none"/>
        </w:rPr>
        <w:fldChar w:fldCharType="end"/>
      </w:r>
    </w:p>
    <w:p>
      <w:pPr>
        <w:pStyle w:val="14"/>
        <w:keepNext w:val="0"/>
        <w:keepLines w:val="0"/>
        <w:pageBreakBefore w:val="0"/>
        <w:widowControl w:val="0"/>
        <w:tabs>
          <w:tab w:val="right" w:leader="dot" w:pos="8554"/>
        </w:tabs>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_Toc22552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第二节 基本情况简介</w:t>
      </w:r>
      <w:r>
        <w:rPr>
          <w:rFonts w:hint="eastAsia" w:ascii="宋体" w:hAnsi="宋体" w:eastAsia="宋体" w:cs="宋体"/>
          <w:color w:val="auto"/>
          <w:sz w:val="28"/>
          <w:szCs w:val="28"/>
          <w:highlight w:val="none"/>
        </w:rPr>
        <w:tab/>
      </w:r>
      <w:r>
        <w:rPr>
          <w:rFonts w:hint="eastAsia" w:ascii="宋体" w:hAnsi="宋体" w:cs="宋体"/>
          <w:color w:val="auto"/>
          <w:sz w:val="28"/>
          <w:szCs w:val="28"/>
          <w:highlight w:val="none"/>
          <w:lang w:val="en-US" w:eastAsia="zh-CN"/>
        </w:rPr>
        <w:t>1</w:t>
      </w:r>
      <w:r>
        <w:rPr>
          <w:rFonts w:hint="eastAsia" w:ascii="宋体" w:hAnsi="宋体" w:eastAsia="宋体" w:cs="宋体"/>
          <w:color w:val="auto"/>
          <w:sz w:val="28"/>
          <w:szCs w:val="28"/>
          <w:highlight w:val="none"/>
        </w:rPr>
        <w:fldChar w:fldCharType="end"/>
      </w:r>
    </w:p>
    <w:p>
      <w:pPr>
        <w:pStyle w:val="14"/>
        <w:keepNext w:val="0"/>
        <w:keepLines w:val="0"/>
        <w:pageBreakBefore w:val="0"/>
        <w:widowControl w:val="0"/>
        <w:tabs>
          <w:tab w:val="right" w:leader="dot" w:pos="8554"/>
        </w:tabs>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_Toc14127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第三节 会计数据、经营情况和管理层分析</w:t>
      </w:r>
      <w:r>
        <w:rPr>
          <w:rFonts w:hint="eastAsia" w:ascii="宋体" w:hAnsi="宋体" w:eastAsia="宋体" w:cs="宋体"/>
          <w:color w:val="auto"/>
          <w:sz w:val="28"/>
          <w:szCs w:val="28"/>
          <w:highlight w:val="none"/>
        </w:rPr>
        <w:tab/>
      </w:r>
      <w:r>
        <w:rPr>
          <w:rFonts w:hint="eastAsia" w:ascii="宋体" w:hAnsi="宋体" w:cs="宋体"/>
          <w:color w:val="auto"/>
          <w:sz w:val="28"/>
          <w:szCs w:val="28"/>
          <w:highlight w:val="none"/>
          <w:lang w:val="en-US" w:eastAsia="zh-CN"/>
        </w:rPr>
        <w:t>1</w:t>
      </w:r>
      <w:r>
        <w:rPr>
          <w:rFonts w:hint="eastAsia" w:ascii="宋体" w:hAnsi="宋体" w:eastAsia="宋体" w:cs="宋体"/>
          <w:color w:val="auto"/>
          <w:sz w:val="28"/>
          <w:szCs w:val="28"/>
          <w:highlight w:val="none"/>
        </w:rPr>
        <w:fldChar w:fldCharType="end"/>
      </w:r>
    </w:p>
    <w:p>
      <w:pPr>
        <w:pStyle w:val="14"/>
        <w:keepNext w:val="0"/>
        <w:keepLines w:val="0"/>
        <w:pageBreakBefore w:val="0"/>
        <w:widowControl w:val="0"/>
        <w:tabs>
          <w:tab w:val="right" w:leader="dot" w:pos="8554"/>
        </w:tabs>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_Toc26211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lang w:eastAsia="zh-CN"/>
        </w:rPr>
        <w:t>第四节 董事、监事、高级管理人员情况</w:t>
      </w:r>
      <w:r>
        <w:rPr>
          <w:rFonts w:hint="eastAsia" w:ascii="宋体" w:hAnsi="宋体" w:eastAsia="宋体" w:cs="宋体"/>
          <w:color w:val="auto"/>
          <w:sz w:val="28"/>
          <w:szCs w:val="28"/>
          <w:highlight w:val="none"/>
        </w:rPr>
        <w:tab/>
      </w:r>
      <w:r>
        <w:rPr>
          <w:rFonts w:hint="eastAsia" w:ascii="宋体" w:hAnsi="宋体" w:cs="宋体"/>
          <w:color w:val="auto"/>
          <w:sz w:val="28"/>
          <w:szCs w:val="28"/>
          <w:highlight w:val="none"/>
          <w:lang w:val="en-US" w:eastAsia="zh-CN"/>
        </w:rPr>
        <w:t>7</w:t>
      </w:r>
      <w:r>
        <w:rPr>
          <w:rFonts w:hint="eastAsia" w:ascii="宋体" w:hAnsi="宋体" w:eastAsia="宋体" w:cs="宋体"/>
          <w:color w:val="auto"/>
          <w:sz w:val="28"/>
          <w:szCs w:val="28"/>
          <w:highlight w:val="none"/>
        </w:rPr>
        <w:fldChar w:fldCharType="end"/>
      </w:r>
    </w:p>
    <w:p>
      <w:pPr>
        <w:pStyle w:val="14"/>
        <w:keepNext w:val="0"/>
        <w:keepLines w:val="0"/>
        <w:pageBreakBefore w:val="0"/>
        <w:widowControl w:val="0"/>
        <w:tabs>
          <w:tab w:val="right" w:leader="dot" w:pos="8554"/>
        </w:tabs>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_Toc28744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lang w:eastAsia="zh-CN"/>
        </w:rPr>
        <w:t>第五节 公司治理、内部控制和投资者保护</w:t>
      </w:r>
      <w:r>
        <w:rPr>
          <w:rFonts w:hint="eastAsia" w:ascii="宋体" w:hAnsi="宋体" w:eastAsia="宋体" w:cs="宋体"/>
          <w:color w:val="auto"/>
          <w:sz w:val="28"/>
          <w:szCs w:val="28"/>
          <w:highlight w:val="none"/>
        </w:rPr>
        <w:tab/>
      </w:r>
      <w:r>
        <w:rPr>
          <w:rFonts w:hint="eastAsia" w:ascii="宋体" w:hAnsi="宋体" w:cs="宋体"/>
          <w:color w:val="auto"/>
          <w:sz w:val="28"/>
          <w:szCs w:val="28"/>
          <w:highlight w:val="none"/>
          <w:lang w:val="en-US" w:eastAsia="zh-CN"/>
        </w:rPr>
        <w:t>7</w:t>
      </w:r>
      <w:r>
        <w:rPr>
          <w:rFonts w:hint="eastAsia" w:ascii="宋体" w:hAnsi="宋体" w:eastAsia="宋体" w:cs="宋体"/>
          <w:color w:val="auto"/>
          <w:sz w:val="28"/>
          <w:szCs w:val="28"/>
          <w:highlight w:val="none"/>
        </w:rPr>
        <w:fldChar w:fldCharType="end"/>
      </w:r>
    </w:p>
    <w:p>
      <w:pPr>
        <w:pStyle w:val="14"/>
        <w:keepNext w:val="0"/>
        <w:keepLines w:val="0"/>
        <w:pageBreakBefore w:val="0"/>
        <w:widowControl w:val="0"/>
        <w:tabs>
          <w:tab w:val="right" w:leader="dot" w:pos="8554"/>
        </w:tabs>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_Toc21832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lang w:eastAsia="zh-CN"/>
        </w:rPr>
        <w:t>第六节 重要事项</w:t>
      </w:r>
      <w:r>
        <w:rPr>
          <w:rFonts w:hint="eastAsia" w:ascii="宋体" w:hAnsi="宋体" w:eastAsia="宋体" w:cs="宋体"/>
          <w:color w:val="auto"/>
          <w:sz w:val="28"/>
          <w:szCs w:val="28"/>
          <w:highlight w:val="none"/>
        </w:rPr>
        <w:tab/>
      </w:r>
      <w:r>
        <w:rPr>
          <w:rFonts w:hint="eastAsia" w:ascii="宋体" w:hAnsi="宋体" w:cs="宋体"/>
          <w:color w:val="auto"/>
          <w:sz w:val="28"/>
          <w:szCs w:val="28"/>
          <w:highlight w:val="none"/>
          <w:lang w:val="en-US" w:eastAsia="zh-CN"/>
        </w:rPr>
        <w:t>7</w:t>
      </w:r>
      <w:r>
        <w:rPr>
          <w:rFonts w:hint="eastAsia" w:ascii="宋体" w:hAnsi="宋体" w:eastAsia="宋体" w:cs="宋体"/>
          <w:color w:val="auto"/>
          <w:sz w:val="28"/>
          <w:szCs w:val="28"/>
          <w:highlight w:val="none"/>
        </w:rPr>
        <w:fldChar w:fldCharType="end"/>
      </w:r>
    </w:p>
    <w:p>
      <w:pPr>
        <w:pStyle w:val="14"/>
        <w:keepNext w:val="0"/>
        <w:keepLines w:val="0"/>
        <w:pageBreakBefore w:val="0"/>
        <w:widowControl w:val="0"/>
        <w:tabs>
          <w:tab w:val="right" w:leader="dot" w:pos="8554"/>
        </w:tabs>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_Toc30720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lang w:eastAsia="zh-CN"/>
        </w:rPr>
        <w:t>第七节 会计财务报告</w:t>
      </w:r>
      <w:r>
        <w:rPr>
          <w:rFonts w:hint="eastAsia" w:ascii="宋体" w:hAnsi="宋体" w:eastAsia="宋体" w:cs="宋体"/>
          <w:color w:val="auto"/>
          <w:sz w:val="28"/>
          <w:szCs w:val="28"/>
          <w:highlight w:val="none"/>
        </w:rPr>
        <w:tab/>
      </w:r>
      <w:r>
        <w:rPr>
          <w:rFonts w:hint="eastAsia" w:ascii="宋体" w:hAnsi="宋体" w:cs="宋体"/>
          <w:color w:val="auto"/>
          <w:sz w:val="28"/>
          <w:szCs w:val="28"/>
          <w:highlight w:val="none"/>
          <w:lang w:val="en-US" w:eastAsia="zh-CN"/>
        </w:rPr>
        <w:t>1</w:t>
      </w:r>
      <w:r>
        <w:rPr>
          <w:rFonts w:hint="eastAsia" w:ascii="宋体" w:hAnsi="宋体" w:eastAsia="宋体" w:cs="宋体"/>
          <w:color w:val="auto"/>
          <w:sz w:val="28"/>
          <w:szCs w:val="28"/>
          <w:highlight w:val="none"/>
        </w:rPr>
        <w:fldChar w:fldCharType="end"/>
      </w:r>
      <w:r>
        <w:rPr>
          <w:rFonts w:hint="eastAsia" w:ascii="宋体" w:hAnsi="宋体" w:cs="宋体"/>
          <w:color w:val="auto"/>
          <w:sz w:val="28"/>
          <w:szCs w:val="28"/>
          <w:highlight w:val="none"/>
          <w:lang w:val="en-US" w:eastAsia="zh-CN"/>
        </w:rPr>
        <w:t>0</w:t>
      </w:r>
    </w:p>
    <w:p>
      <w:pPr>
        <w:pStyle w:val="14"/>
        <w:tabs>
          <w:tab w:val="right" w:leader="dot" w:pos="8554"/>
        </w:tabs>
        <w:rPr>
          <w:rFonts w:hint="eastAsia" w:ascii="宋体" w:hAnsi="宋体" w:eastAsia="宋体" w:cs="宋体"/>
          <w:color w:val="auto"/>
          <w:sz w:val="28"/>
          <w:szCs w:val="28"/>
          <w:highlight w:val="none"/>
        </w:rPr>
      </w:pPr>
    </w:p>
    <w:p>
      <w:pPr>
        <w:spacing w:line="360" w:lineRule="auto"/>
        <w:rPr>
          <w:color w:val="auto"/>
          <w:sz w:val="28"/>
          <w:highlight w:val="none"/>
        </w:rPr>
      </w:pPr>
      <w:r>
        <w:rPr>
          <w:color w:val="auto"/>
          <w:highlight w:val="none"/>
        </w:rPr>
        <w:fldChar w:fldCharType="end"/>
      </w:r>
    </w:p>
    <w:p>
      <w:pPr>
        <w:spacing w:line="360" w:lineRule="auto"/>
        <w:jc w:val="center"/>
        <w:rPr>
          <w:b/>
          <w:bCs/>
          <w:color w:val="auto"/>
          <w:sz w:val="36"/>
          <w:szCs w:val="36"/>
          <w:highlight w:val="none"/>
        </w:rPr>
      </w:pPr>
    </w:p>
    <w:p>
      <w:pPr>
        <w:spacing w:line="360" w:lineRule="auto"/>
        <w:jc w:val="center"/>
        <w:rPr>
          <w:b/>
          <w:bCs/>
          <w:color w:val="auto"/>
          <w:sz w:val="36"/>
          <w:szCs w:val="36"/>
          <w:highlight w:val="none"/>
        </w:rPr>
      </w:pPr>
    </w:p>
    <w:p>
      <w:pPr>
        <w:spacing w:line="360" w:lineRule="auto"/>
        <w:jc w:val="center"/>
        <w:rPr>
          <w:b/>
          <w:bCs/>
          <w:color w:val="auto"/>
          <w:sz w:val="36"/>
          <w:szCs w:val="36"/>
          <w:highlight w:val="none"/>
        </w:rPr>
      </w:pPr>
    </w:p>
    <w:p>
      <w:pPr>
        <w:spacing w:line="360" w:lineRule="auto"/>
        <w:jc w:val="center"/>
        <w:rPr>
          <w:b/>
          <w:bCs/>
          <w:color w:val="auto"/>
          <w:sz w:val="36"/>
          <w:szCs w:val="36"/>
          <w:highlight w:val="none"/>
        </w:rPr>
      </w:pPr>
    </w:p>
    <w:p>
      <w:pPr>
        <w:spacing w:line="360" w:lineRule="auto"/>
        <w:jc w:val="center"/>
        <w:rPr>
          <w:b/>
          <w:bCs/>
          <w:color w:val="auto"/>
          <w:sz w:val="36"/>
          <w:szCs w:val="36"/>
          <w:highlight w:val="none"/>
        </w:rPr>
      </w:pPr>
    </w:p>
    <w:p>
      <w:pPr>
        <w:spacing w:line="360" w:lineRule="auto"/>
        <w:jc w:val="center"/>
        <w:rPr>
          <w:b/>
          <w:bCs/>
          <w:color w:val="auto"/>
          <w:sz w:val="36"/>
          <w:szCs w:val="36"/>
          <w:highlight w:val="none"/>
        </w:rPr>
      </w:pPr>
    </w:p>
    <w:p>
      <w:pPr>
        <w:spacing w:line="360" w:lineRule="auto"/>
        <w:jc w:val="center"/>
        <w:rPr>
          <w:b/>
          <w:bCs/>
          <w:color w:val="auto"/>
          <w:sz w:val="36"/>
          <w:szCs w:val="36"/>
          <w:highlight w:val="none"/>
        </w:rPr>
      </w:pPr>
    </w:p>
    <w:p>
      <w:pPr>
        <w:spacing w:line="360" w:lineRule="auto"/>
        <w:jc w:val="both"/>
        <w:rPr>
          <w:b/>
          <w:bCs/>
          <w:color w:val="auto"/>
          <w:sz w:val="36"/>
          <w:szCs w:val="36"/>
          <w:highlight w:val="none"/>
        </w:rPr>
      </w:pPr>
    </w:p>
    <w:p>
      <w:pPr>
        <w:spacing w:line="360" w:lineRule="auto"/>
        <w:jc w:val="center"/>
        <w:outlineLvl w:val="0"/>
        <w:rPr>
          <w:b/>
          <w:bCs/>
          <w:color w:val="auto"/>
          <w:sz w:val="36"/>
          <w:szCs w:val="36"/>
          <w:highlight w:val="none"/>
        </w:rPr>
        <w:sectPr>
          <w:footerReference r:id="rId28" w:type="default"/>
          <w:pgSz w:w="11910" w:h="16840"/>
          <w:pgMar w:top="1418" w:right="1678" w:bottom="278" w:left="1678" w:header="720" w:footer="720" w:gutter="0"/>
          <w:pgNumType w:fmt="decimal" w:start="1"/>
          <w:cols w:space="720" w:num="1"/>
        </w:sectPr>
      </w:pPr>
      <w:bookmarkStart w:id="72" w:name="_Toc29779"/>
    </w:p>
    <w:p>
      <w:pPr>
        <w:keepNext w:val="0"/>
        <w:keepLines w:val="0"/>
        <w:pageBreakBefore w:val="0"/>
        <w:kinsoku/>
        <w:overflowPunct/>
        <w:topLinePunct w:val="0"/>
        <w:bidi w:val="0"/>
        <w:spacing w:line="400" w:lineRule="exact"/>
        <w:jc w:val="center"/>
        <w:outlineLvl w:val="0"/>
        <w:rPr>
          <w:rFonts w:ascii="Times New Roman" w:eastAsia="宋体"/>
          <w:color w:val="auto"/>
          <w:spacing w:val="-5"/>
          <w:sz w:val="21"/>
          <w:szCs w:val="21"/>
          <w:highlight w:val="none"/>
        </w:rPr>
      </w:pPr>
      <w:r>
        <w:rPr>
          <w:rFonts w:hint="eastAsia" w:ascii="黑体" w:hAnsi="黑体" w:eastAsia="黑体" w:cs="黑体"/>
          <w:b/>
          <w:bCs/>
          <w:color w:val="auto"/>
          <w:sz w:val="28"/>
          <w:szCs w:val="28"/>
          <w:highlight w:val="none"/>
        </w:rPr>
        <w:t>第一节</w:t>
      </w:r>
      <w:r>
        <w:rPr>
          <w:rFonts w:hint="eastAsia" w:ascii="黑体" w:hAnsi="黑体" w:eastAsia="黑体" w:cs="黑体"/>
          <w:b/>
          <w:bCs/>
          <w:color w:val="auto"/>
          <w:sz w:val="28"/>
          <w:szCs w:val="28"/>
          <w:highlight w:val="none"/>
        </w:rPr>
        <w:tab/>
      </w:r>
      <w:r>
        <w:rPr>
          <w:rFonts w:hint="eastAsia" w:ascii="黑体" w:hAnsi="黑体" w:eastAsia="黑体" w:cs="黑体"/>
          <w:b/>
          <w:bCs/>
          <w:color w:val="auto"/>
          <w:sz w:val="28"/>
          <w:szCs w:val="28"/>
          <w:highlight w:val="none"/>
        </w:rPr>
        <w:t>重要提示、目录和释义</w:t>
      </w:r>
      <w:bookmarkEnd w:id="72"/>
    </w:p>
    <w:p>
      <w:pPr>
        <w:pStyle w:val="34"/>
        <w:keepNext w:val="0"/>
        <w:keepLines w:val="0"/>
        <w:pageBreakBefore w:val="0"/>
        <w:widowControl w:val="0"/>
        <w:kinsoku/>
        <w:wordWrap/>
        <w:overflowPunct/>
        <w:topLinePunct w:val="0"/>
        <w:autoSpaceDE w:val="0"/>
        <w:autoSpaceDN w:val="0"/>
        <w:bidi w:val="0"/>
        <w:adjustRightInd w:val="0"/>
        <w:snapToGrid/>
        <w:spacing w:line="400" w:lineRule="exact"/>
        <w:ind w:firstLine="462" w:firstLineChars="200"/>
        <w:jc w:val="left"/>
        <w:textAlignment w:val="center"/>
        <w:rPr>
          <w:rFonts w:ascii="Times New Roman" w:eastAsia="宋体"/>
          <w:b/>
          <w:bCs/>
          <w:color w:val="auto"/>
          <w:spacing w:val="-5"/>
          <w:szCs w:val="21"/>
          <w:highlight w:val="none"/>
        </w:rPr>
      </w:pPr>
      <w:r>
        <w:rPr>
          <w:rFonts w:hint="eastAsia" w:ascii="Times New Roman" w:eastAsia="宋体"/>
          <w:b/>
          <w:bCs/>
          <w:color w:val="auto"/>
          <w:spacing w:val="-5"/>
          <w:szCs w:val="21"/>
          <w:highlight w:val="none"/>
        </w:rPr>
        <w:t>【重大风险提示表】</w:t>
      </w:r>
    </w:p>
    <w:tbl>
      <w:tblPr>
        <w:tblStyle w:val="22"/>
        <w:tblW w:w="5000"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3262"/>
        <w:gridCol w:w="526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1912" w:type="pct"/>
            <w:noWrap w:val="0"/>
            <w:vAlign w:val="center"/>
          </w:tcPr>
          <w:p>
            <w:pPr>
              <w:keepNext w:val="0"/>
              <w:keepLines w:val="0"/>
              <w:pageBreakBefore w:val="0"/>
              <w:kinsoku/>
              <w:overflowPunct/>
              <w:topLinePunct w:val="0"/>
              <w:bidi w:val="0"/>
              <w:spacing w:line="400" w:lineRule="exact"/>
              <w:jc w:val="left"/>
              <w:rPr>
                <w:color w:val="auto"/>
                <w:kern w:val="0"/>
                <w:highlight w:val="none"/>
              </w:rPr>
            </w:pPr>
            <w:r>
              <w:rPr>
                <w:rFonts w:hint="eastAsia"/>
                <w:color w:val="auto"/>
                <w:kern w:val="0"/>
                <w:highlight w:val="none"/>
              </w:rPr>
              <w:t>重大风险事项名称</w:t>
            </w:r>
          </w:p>
        </w:tc>
        <w:tc>
          <w:tcPr>
            <w:tcW w:w="3087" w:type="pct"/>
            <w:noWrap w:val="0"/>
            <w:vAlign w:val="center"/>
          </w:tcPr>
          <w:p>
            <w:pPr>
              <w:keepNext w:val="0"/>
              <w:keepLines w:val="0"/>
              <w:pageBreakBefore w:val="0"/>
              <w:kinsoku/>
              <w:overflowPunct/>
              <w:topLinePunct w:val="0"/>
              <w:bidi w:val="0"/>
              <w:spacing w:line="400" w:lineRule="exact"/>
              <w:jc w:val="left"/>
              <w:rPr>
                <w:color w:val="auto"/>
                <w:kern w:val="0"/>
                <w:highlight w:val="none"/>
              </w:rPr>
            </w:pPr>
            <w:r>
              <w:rPr>
                <w:rFonts w:hint="eastAsia"/>
                <w:color w:val="auto"/>
                <w:kern w:val="0"/>
                <w:highlight w:val="none"/>
              </w:rPr>
              <w:t>重大风险事项描述及分析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1912" w:type="pct"/>
            <w:noWrap w:val="0"/>
            <w:vAlign w:val="center"/>
          </w:tcPr>
          <w:p>
            <w:pPr>
              <w:keepNext w:val="0"/>
              <w:keepLines w:val="0"/>
              <w:pageBreakBefore w:val="0"/>
              <w:kinsoku/>
              <w:overflowPunct/>
              <w:topLinePunct w:val="0"/>
              <w:bidi w:val="0"/>
              <w:spacing w:line="400" w:lineRule="exact"/>
              <w:jc w:val="left"/>
              <w:rPr>
                <w:color w:val="auto"/>
                <w:kern w:val="0"/>
                <w:highlight w:val="none"/>
              </w:rPr>
            </w:pPr>
            <w:r>
              <w:rPr>
                <w:rFonts w:hint="eastAsia"/>
                <w:color w:val="auto"/>
                <w:kern w:val="0"/>
                <w:highlight w:val="none"/>
              </w:rPr>
              <w:t>本期</w:t>
            </w:r>
            <w:r>
              <w:rPr>
                <w:color w:val="auto"/>
                <w:kern w:val="0"/>
                <w:highlight w:val="none"/>
              </w:rPr>
              <w:t>重大风险是否发生重大变化</w:t>
            </w:r>
          </w:p>
        </w:tc>
        <w:tc>
          <w:tcPr>
            <w:tcW w:w="3087" w:type="pct"/>
            <w:noWrap w:val="0"/>
            <w:vAlign w:val="center"/>
          </w:tcPr>
          <w:p>
            <w:pPr>
              <w:keepNext w:val="0"/>
              <w:keepLines w:val="0"/>
              <w:pageBreakBefore w:val="0"/>
              <w:kinsoku/>
              <w:overflowPunct/>
              <w:topLinePunct w:val="0"/>
              <w:bidi w:val="0"/>
              <w:spacing w:line="400" w:lineRule="exact"/>
              <w:jc w:val="left"/>
              <w:rPr>
                <w:rFonts w:hint="eastAsia" w:eastAsia="宋体"/>
                <w:color w:val="auto"/>
                <w:kern w:val="0"/>
                <w:highlight w:val="none"/>
                <w:lang w:eastAsia="zh-CN"/>
              </w:rPr>
            </w:pPr>
            <w:r>
              <w:rPr>
                <w:rFonts w:hint="eastAsia" w:ascii="宋体" w:hAnsi="宋体" w:cs="宋体"/>
                <w:color w:val="auto"/>
                <w:kern w:val="0"/>
                <w:highlight w:val="none"/>
              </w:rPr>
              <w:t>本期重大风险未发生重大变化</w:t>
            </w:r>
          </w:p>
        </w:tc>
      </w:tr>
    </w:tbl>
    <w:p>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0"/>
        <w:rPr>
          <w:rFonts w:ascii="Times New Roman" w:hAnsi="Times New Roman" w:eastAsia="宋体" w:cs="Times New Roman"/>
          <w:b/>
          <w:bCs/>
          <w:color w:val="auto"/>
          <w:sz w:val="36"/>
          <w:szCs w:val="36"/>
          <w:highlight w:val="none"/>
        </w:rPr>
      </w:pPr>
    </w:p>
    <w:p>
      <w:pPr>
        <w:keepNext w:val="0"/>
        <w:keepLines w:val="0"/>
        <w:pageBreakBefore w:val="0"/>
        <w:kinsoku/>
        <w:overflowPunct/>
        <w:topLinePunct w:val="0"/>
        <w:bidi w:val="0"/>
        <w:spacing w:line="400" w:lineRule="exact"/>
        <w:jc w:val="center"/>
        <w:outlineLvl w:val="0"/>
        <w:rPr>
          <w:rFonts w:hint="eastAsia" w:ascii="黑体" w:hAnsi="黑体" w:eastAsia="黑体" w:cs="黑体"/>
          <w:b/>
          <w:bCs/>
          <w:color w:val="auto"/>
          <w:sz w:val="28"/>
          <w:szCs w:val="28"/>
          <w:highlight w:val="none"/>
        </w:rPr>
      </w:pPr>
      <w:bookmarkStart w:id="73" w:name="_Toc22552"/>
      <w:r>
        <w:rPr>
          <w:rFonts w:hint="eastAsia" w:ascii="黑体" w:hAnsi="黑体" w:eastAsia="黑体" w:cs="黑体"/>
          <w:b/>
          <w:bCs/>
          <w:color w:val="auto"/>
          <w:sz w:val="28"/>
          <w:szCs w:val="28"/>
          <w:highlight w:val="none"/>
        </w:rPr>
        <w:t>第二节 基本情况简介</w:t>
      </w:r>
      <w:bookmarkEnd w:id="73"/>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center"/>
        <w:textAlignment w:val="auto"/>
        <w:rPr>
          <w:rFonts w:hint="eastAsia"/>
          <w:b w:val="0"/>
          <w:bCs w:val="0"/>
          <w:color w:val="auto"/>
          <w:sz w:val="24"/>
          <w:szCs w:val="24"/>
          <w:highlight w:val="none"/>
          <w:lang w:eastAsia="zh-CN"/>
        </w:rPr>
      </w:pPr>
      <w:r>
        <w:rPr>
          <w:rFonts w:hint="eastAsia"/>
          <w:b w:val="0"/>
          <w:bCs w:val="0"/>
          <w:color w:val="auto"/>
          <w:sz w:val="24"/>
          <w:szCs w:val="24"/>
          <w:highlight w:val="none"/>
          <w:lang w:eastAsia="zh-CN"/>
        </w:rPr>
        <w:t>略。</w:t>
      </w:r>
    </w:p>
    <w:p>
      <w:pPr>
        <w:pStyle w:val="15"/>
        <w:keepNext w:val="0"/>
        <w:keepLines w:val="0"/>
        <w:pageBreakBefore w:val="0"/>
        <w:kinsoku/>
        <w:overflowPunct/>
        <w:topLinePunct w:val="0"/>
        <w:bidi w:val="0"/>
        <w:spacing w:line="400" w:lineRule="exact"/>
        <w:jc w:val="left"/>
        <w:rPr>
          <w:rFonts w:hint="eastAsia"/>
          <w:color w:val="auto"/>
          <w:highlight w:val="none"/>
          <w:lang w:eastAsia="zh-CN"/>
        </w:rPr>
      </w:pPr>
    </w:p>
    <w:p>
      <w:pPr>
        <w:keepNext w:val="0"/>
        <w:keepLines w:val="0"/>
        <w:pageBreakBefore w:val="0"/>
        <w:kinsoku/>
        <w:overflowPunct/>
        <w:topLinePunct w:val="0"/>
        <w:bidi w:val="0"/>
        <w:spacing w:line="400" w:lineRule="exact"/>
        <w:jc w:val="center"/>
        <w:outlineLvl w:val="0"/>
        <w:rPr>
          <w:rFonts w:hint="eastAsia" w:ascii="黑体" w:hAnsi="黑体" w:eastAsia="黑体" w:cs="黑体"/>
          <w:b/>
          <w:bCs/>
          <w:color w:val="auto"/>
          <w:sz w:val="28"/>
          <w:szCs w:val="28"/>
          <w:highlight w:val="none"/>
          <w:lang w:eastAsia="zh-CN"/>
        </w:rPr>
      </w:pPr>
      <w:bookmarkStart w:id="74" w:name="_Toc14127"/>
      <w:r>
        <w:rPr>
          <w:rFonts w:hint="eastAsia" w:ascii="黑体" w:hAnsi="黑体" w:eastAsia="黑体" w:cs="黑体"/>
          <w:b/>
          <w:bCs/>
          <w:color w:val="auto"/>
          <w:sz w:val="28"/>
          <w:szCs w:val="28"/>
          <w:highlight w:val="none"/>
        </w:rPr>
        <w:t>第三节 会计数据、经营情况和管理层分析</w:t>
      </w:r>
      <w:bookmarkEnd w:id="74"/>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b/>
          <w:bCs/>
          <w:color w:val="auto"/>
          <w:sz w:val="24"/>
          <w:szCs w:val="24"/>
          <w:highlight w:val="none"/>
        </w:rPr>
      </w:pPr>
      <w:bookmarkStart w:id="75" w:name="_Toc26211"/>
      <w:r>
        <w:rPr>
          <w:rFonts w:hint="eastAsia"/>
          <w:b/>
          <w:bCs/>
          <w:color w:val="auto"/>
          <w:sz w:val="24"/>
          <w:szCs w:val="24"/>
          <w:highlight w:val="none"/>
        </w:rPr>
        <w:t>一、</w:t>
      </w:r>
      <w:r>
        <w:rPr>
          <w:b/>
          <w:bCs/>
          <w:color w:val="auto"/>
          <w:sz w:val="24"/>
          <w:szCs w:val="24"/>
          <w:highlight w:val="none"/>
        </w:rPr>
        <w:t>主要会计数据和财务指标</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b/>
          <w:bCs/>
          <w:color w:val="auto"/>
          <w:sz w:val="24"/>
          <w:szCs w:val="24"/>
          <w:highlight w:val="none"/>
        </w:rPr>
      </w:pPr>
      <w:r>
        <w:rPr>
          <w:rFonts w:hint="eastAsia"/>
          <w:b/>
          <w:bCs/>
          <w:color w:val="auto"/>
          <w:sz w:val="24"/>
          <w:szCs w:val="24"/>
          <w:highlight w:val="none"/>
        </w:rPr>
        <w:t>（一）</w:t>
      </w:r>
      <w:r>
        <w:rPr>
          <w:b/>
          <w:bCs/>
          <w:color w:val="auto"/>
          <w:sz w:val="24"/>
          <w:szCs w:val="24"/>
          <w:highlight w:val="none"/>
        </w:rPr>
        <w:t>盈利能力</w:t>
      </w:r>
    </w:p>
    <w:tbl>
      <w:tblPr>
        <w:tblStyle w:val="22"/>
        <w:tblW w:w="5227" w:type="pct"/>
        <w:tblInd w:w="-2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3364"/>
        <w:gridCol w:w="1961"/>
        <w:gridCol w:w="1971"/>
        <w:gridCol w:w="14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928" w:type="pct"/>
            <w:tcBorders>
              <w:top w:val="nil"/>
              <w:left w:val="nil"/>
              <w:bottom w:val="single" w:color="auto" w:sz="4" w:space="0"/>
              <w:right w:val="nil"/>
            </w:tcBorders>
            <w:shd w:val="clear" w:color="auto" w:fill="auto"/>
            <w:tcMar>
              <w:top w:w="15" w:type="dxa"/>
              <w:left w:w="15" w:type="dxa"/>
              <w:right w:w="15" w:type="dxa"/>
            </w:tcMar>
            <w:vAlign w:val="center"/>
          </w:tcPr>
          <w:p>
            <w:pPr>
              <w:keepNext w:val="0"/>
              <w:keepLines w:val="0"/>
              <w:pageBreakBefore w:val="0"/>
              <w:kinsoku/>
              <w:overflowPunct/>
              <w:topLinePunct w:val="0"/>
              <w:bidi w:val="0"/>
              <w:spacing w:line="400" w:lineRule="exact"/>
              <w:jc w:val="left"/>
              <w:rPr>
                <w:rFonts w:hint="eastAsia" w:ascii="宋体" w:hAnsi="宋体" w:eastAsia="宋体" w:cs="宋体"/>
                <w:i w:val="0"/>
                <w:color w:val="auto"/>
                <w:sz w:val="24"/>
                <w:szCs w:val="24"/>
                <w:highlight w:val="none"/>
                <w:u w:val="none"/>
              </w:rPr>
            </w:pPr>
          </w:p>
        </w:tc>
        <w:tc>
          <w:tcPr>
            <w:tcW w:w="1124" w:type="pct"/>
            <w:tcBorders>
              <w:top w:val="nil"/>
              <w:left w:val="nil"/>
              <w:bottom w:val="single" w:color="auto" w:sz="4" w:space="0"/>
              <w:right w:val="nil"/>
            </w:tcBorders>
            <w:shd w:val="clear" w:color="auto" w:fill="auto"/>
            <w:noWrap/>
            <w:tcMar>
              <w:top w:w="15" w:type="dxa"/>
              <w:left w:w="15" w:type="dxa"/>
              <w:right w:w="15" w:type="dxa"/>
            </w:tcMar>
            <w:vAlign w:val="center"/>
          </w:tcPr>
          <w:p>
            <w:pPr>
              <w:keepNext w:val="0"/>
              <w:keepLines w:val="0"/>
              <w:pageBreakBefore w:val="0"/>
              <w:kinsoku/>
              <w:overflowPunct/>
              <w:topLinePunct w:val="0"/>
              <w:bidi w:val="0"/>
              <w:spacing w:line="400" w:lineRule="exact"/>
              <w:jc w:val="left"/>
              <w:rPr>
                <w:rFonts w:hint="eastAsia" w:ascii="宋体" w:hAnsi="宋体" w:eastAsia="宋体" w:cs="宋体"/>
                <w:i w:val="0"/>
                <w:color w:val="auto"/>
                <w:sz w:val="24"/>
                <w:szCs w:val="24"/>
                <w:highlight w:val="none"/>
                <w:u w:val="none"/>
              </w:rPr>
            </w:pPr>
          </w:p>
        </w:tc>
        <w:tc>
          <w:tcPr>
            <w:tcW w:w="1129" w:type="pct"/>
            <w:tcBorders>
              <w:top w:val="nil"/>
              <w:left w:val="nil"/>
              <w:bottom w:val="single" w:color="auto" w:sz="4" w:space="0"/>
              <w:right w:val="nil"/>
            </w:tcBorders>
            <w:shd w:val="clear" w:color="auto" w:fill="auto"/>
            <w:noWrap/>
            <w:tcMar>
              <w:top w:w="15" w:type="dxa"/>
              <w:left w:w="15" w:type="dxa"/>
              <w:right w:w="15" w:type="dxa"/>
            </w:tcMar>
            <w:vAlign w:val="center"/>
          </w:tcPr>
          <w:p>
            <w:pPr>
              <w:keepNext w:val="0"/>
              <w:keepLines w:val="0"/>
              <w:pageBreakBefore w:val="0"/>
              <w:kinsoku/>
              <w:overflowPunct/>
              <w:topLinePunct w:val="0"/>
              <w:bidi w:val="0"/>
              <w:spacing w:line="400" w:lineRule="exact"/>
              <w:jc w:val="left"/>
              <w:rPr>
                <w:rFonts w:hint="eastAsia" w:ascii="宋体" w:hAnsi="宋体" w:eastAsia="宋体" w:cs="宋体"/>
                <w:i w:val="0"/>
                <w:color w:val="auto"/>
                <w:sz w:val="24"/>
                <w:szCs w:val="24"/>
                <w:highlight w:val="none"/>
                <w:u w:val="none"/>
              </w:rPr>
            </w:pPr>
          </w:p>
        </w:tc>
        <w:tc>
          <w:tcPr>
            <w:tcW w:w="817" w:type="pct"/>
            <w:tcBorders>
              <w:top w:val="nil"/>
              <w:left w:val="nil"/>
              <w:bottom w:val="single" w:color="auto" w:sz="4" w:space="0"/>
              <w:right w:val="nil"/>
            </w:tcBorders>
            <w:shd w:val="clear" w:color="auto" w:fill="auto"/>
            <w:noWrap/>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单位：元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92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overflowPunct/>
              <w:topLinePunct w:val="0"/>
              <w:bidi w:val="0"/>
              <w:spacing w:line="400" w:lineRule="exact"/>
              <w:jc w:val="left"/>
              <w:rPr>
                <w:rFonts w:hint="eastAsia" w:ascii="宋体" w:hAnsi="宋体" w:eastAsia="宋体" w:cs="宋体"/>
                <w:i w:val="0"/>
                <w:color w:val="auto"/>
                <w:sz w:val="24"/>
                <w:szCs w:val="24"/>
                <w:highlight w:val="none"/>
                <w:u w:val="none"/>
              </w:rPr>
            </w:pPr>
          </w:p>
        </w:tc>
        <w:tc>
          <w:tcPr>
            <w:tcW w:w="1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本期</w:t>
            </w:r>
          </w:p>
        </w:tc>
        <w:tc>
          <w:tcPr>
            <w:tcW w:w="112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上年同期</w:t>
            </w:r>
          </w:p>
        </w:tc>
        <w:tc>
          <w:tcPr>
            <w:tcW w:w="81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增减变动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9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营业收入</w:t>
            </w:r>
          </w:p>
        </w:tc>
        <w:tc>
          <w:tcPr>
            <w:tcW w:w="1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16,321,005,879.66</w:t>
            </w:r>
          </w:p>
        </w:tc>
        <w:tc>
          <w:tcPr>
            <w:tcW w:w="112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17,221,240,926.74</w:t>
            </w:r>
          </w:p>
        </w:tc>
        <w:tc>
          <w:tcPr>
            <w:tcW w:w="81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0"/>
                <w:szCs w:val="20"/>
                <w:highlight w:val="none"/>
                <w:u w:val="none"/>
                <w:lang w:val="en-US" w:eastAsia="zh-CN" w:bidi="ar"/>
              </w:rPr>
              <w:t>-5.23</w:t>
            </w:r>
            <w:r>
              <w:rPr>
                <w:rFonts w:hint="eastAsia" w:ascii="宋体" w:hAnsi="宋体" w:eastAsia="宋体" w:cs="宋体"/>
                <w:i w:val="0"/>
                <w:color w:val="auto"/>
                <w:kern w:val="0"/>
                <w:sz w:val="20"/>
                <w:szCs w:val="20"/>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9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毛利率</w:t>
            </w:r>
          </w:p>
        </w:tc>
        <w:tc>
          <w:tcPr>
            <w:tcW w:w="1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0"/>
                <w:szCs w:val="20"/>
                <w:highlight w:val="none"/>
                <w:u w:val="none"/>
                <w:lang w:val="en-US" w:eastAsia="zh-CN" w:bidi="ar"/>
              </w:rPr>
              <w:t>9.41</w:t>
            </w:r>
            <w:r>
              <w:rPr>
                <w:rFonts w:hint="eastAsia" w:ascii="宋体" w:hAnsi="宋体" w:eastAsia="宋体" w:cs="宋体"/>
                <w:i w:val="0"/>
                <w:color w:val="auto"/>
                <w:kern w:val="0"/>
                <w:sz w:val="20"/>
                <w:szCs w:val="20"/>
                <w:highlight w:val="none"/>
                <w:u w:val="none"/>
                <w:lang w:val="en-US" w:eastAsia="zh-CN" w:bidi="ar"/>
              </w:rPr>
              <w:t>%</w:t>
            </w:r>
          </w:p>
        </w:tc>
        <w:tc>
          <w:tcPr>
            <w:tcW w:w="112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15.72%</w:t>
            </w:r>
          </w:p>
        </w:tc>
        <w:tc>
          <w:tcPr>
            <w:tcW w:w="81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-6.</w:t>
            </w:r>
            <w:r>
              <w:rPr>
                <w:rFonts w:hint="eastAsia" w:ascii="宋体" w:hAnsi="宋体" w:cs="宋体"/>
                <w:i w:val="0"/>
                <w:color w:val="auto"/>
                <w:kern w:val="0"/>
                <w:sz w:val="20"/>
                <w:szCs w:val="20"/>
                <w:highlight w:val="none"/>
                <w:u w:val="none"/>
                <w:lang w:val="en-US" w:eastAsia="zh-CN" w:bidi="ar"/>
              </w:rPr>
              <w:t>31</w:t>
            </w:r>
            <w:r>
              <w:rPr>
                <w:rFonts w:hint="eastAsia" w:ascii="宋体" w:hAnsi="宋体" w:eastAsia="宋体" w:cs="宋体"/>
                <w:i w:val="0"/>
                <w:color w:val="auto"/>
                <w:kern w:val="0"/>
                <w:sz w:val="20"/>
                <w:szCs w:val="20"/>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19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归属于母公司股东的净利润</w:t>
            </w:r>
          </w:p>
        </w:tc>
        <w:tc>
          <w:tcPr>
            <w:tcW w:w="1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-543,673,983.84</w:t>
            </w:r>
          </w:p>
        </w:tc>
        <w:tc>
          <w:tcPr>
            <w:tcW w:w="112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-2,591,168,934.88 </w:t>
            </w:r>
          </w:p>
        </w:tc>
        <w:tc>
          <w:tcPr>
            <w:tcW w:w="81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cs="宋体"/>
                <w:i w:val="0"/>
                <w:iCs w:val="0"/>
                <w:color w:val="auto"/>
                <w:kern w:val="0"/>
                <w:sz w:val="20"/>
                <w:szCs w:val="20"/>
                <w:highlight w:val="none"/>
                <w:u w:val="none"/>
                <w:lang w:val="en-US" w:eastAsia="zh-CN" w:bidi="ar"/>
              </w:rPr>
              <w:t>79.02</w:t>
            </w:r>
            <w:r>
              <w:rPr>
                <w:rFonts w:hint="eastAsia" w:ascii="宋体" w:hAnsi="宋体" w:eastAsia="宋体" w:cs="宋体"/>
                <w:i w:val="0"/>
                <w:iCs w:val="0"/>
                <w:color w:val="auto"/>
                <w:kern w:val="0"/>
                <w:sz w:val="20"/>
                <w:szCs w:val="20"/>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trPr>
        <w:tc>
          <w:tcPr>
            <w:tcW w:w="19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归属于母公司股东的扣除非经常性损益后的净利润</w:t>
            </w:r>
          </w:p>
        </w:tc>
        <w:tc>
          <w:tcPr>
            <w:tcW w:w="1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-1,776,537,039.04</w:t>
            </w:r>
          </w:p>
        </w:tc>
        <w:tc>
          <w:tcPr>
            <w:tcW w:w="112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-4,957,722,856.41</w:t>
            </w:r>
          </w:p>
        </w:tc>
        <w:tc>
          <w:tcPr>
            <w:tcW w:w="81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cs="宋体"/>
                <w:i w:val="0"/>
                <w:iCs w:val="0"/>
                <w:color w:val="auto"/>
                <w:kern w:val="0"/>
                <w:sz w:val="20"/>
                <w:szCs w:val="20"/>
                <w:highlight w:val="none"/>
                <w:u w:val="none"/>
                <w:lang w:val="en-US" w:eastAsia="zh-CN" w:bidi="ar"/>
              </w:rPr>
              <w:t>64.17%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19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加权平均净资产收益率（依据归属于母公司股东的净利润计算）</w:t>
            </w:r>
          </w:p>
        </w:tc>
        <w:tc>
          <w:tcPr>
            <w:tcW w:w="1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0"/>
                <w:szCs w:val="20"/>
                <w:highlight w:val="none"/>
                <w:u w:val="none"/>
                <w:lang w:val="en-US" w:eastAsia="zh-CN" w:bidi="ar"/>
              </w:rPr>
              <w:t>-3.89%</w:t>
            </w:r>
          </w:p>
        </w:tc>
        <w:tc>
          <w:tcPr>
            <w:tcW w:w="112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-1</w:t>
            </w:r>
            <w:r>
              <w:rPr>
                <w:rFonts w:hint="eastAsia" w:ascii="宋体" w:hAnsi="宋体" w:cs="宋体"/>
                <w:i w:val="0"/>
                <w:color w:val="auto"/>
                <w:kern w:val="0"/>
                <w:sz w:val="20"/>
                <w:szCs w:val="20"/>
                <w:highlight w:val="none"/>
                <w:u w:val="none"/>
                <w:lang w:val="en-US" w:eastAsia="zh-CN" w:bidi="ar"/>
              </w:rPr>
              <w:t>9.81</w:t>
            </w:r>
            <w:r>
              <w:rPr>
                <w:rFonts w:hint="eastAsia" w:ascii="宋体" w:hAnsi="宋体" w:eastAsia="宋体" w:cs="宋体"/>
                <w:i w:val="0"/>
                <w:color w:val="auto"/>
                <w:kern w:val="0"/>
                <w:sz w:val="20"/>
                <w:szCs w:val="20"/>
                <w:highlight w:val="none"/>
                <w:u w:val="none"/>
                <w:lang w:val="en-US" w:eastAsia="zh-CN" w:bidi="ar"/>
              </w:rPr>
              <w:t>%</w:t>
            </w:r>
          </w:p>
        </w:tc>
        <w:tc>
          <w:tcPr>
            <w:tcW w:w="81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0"/>
                <w:szCs w:val="20"/>
                <w:highlight w:val="none"/>
                <w:u w:val="none"/>
                <w:lang w:val="en-US" w:eastAsia="zh-CN" w:bidi="ar"/>
              </w:rPr>
              <w:t>15.92%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80" w:hRule="atLeast"/>
        </w:trPr>
        <w:tc>
          <w:tcPr>
            <w:tcW w:w="19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加权平均净资产收益率（依据归属于母公司股东的扣除非经常性损益后的净利润计算）</w:t>
            </w:r>
          </w:p>
        </w:tc>
        <w:tc>
          <w:tcPr>
            <w:tcW w:w="1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overflowPunct/>
              <w:topLinePunct w:val="0"/>
              <w:bidi w:val="0"/>
              <w:spacing w:line="400" w:lineRule="exact"/>
              <w:jc w:val="left"/>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0"/>
                <w:szCs w:val="20"/>
                <w:highlight w:val="none"/>
                <w:u w:val="none"/>
                <w:lang w:val="en-US" w:eastAsia="zh-CN"/>
              </w:rPr>
              <w:t>-12.72%</w:t>
            </w:r>
          </w:p>
        </w:tc>
        <w:tc>
          <w:tcPr>
            <w:tcW w:w="112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overflowPunct/>
              <w:topLinePunct w:val="0"/>
              <w:bidi w:val="0"/>
              <w:spacing w:line="400" w:lineRule="exact"/>
              <w:jc w:val="left"/>
              <w:rPr>
                <w:rFonts w:hint="eastAsia" w:ascii="宋体" w:hAnsi="宋体" w:eastAsia="宋体" w:cs="宋体"/>
                <w:i w:val="0"/>
                <w:color w:val="auto"/>
                <w:sz w:val="21"/>
                <w:szCs w:val="21"/>
                <w:highlight w:val="none"/>
                <w:u w:val="none"/>
              </w:rPr>
            </w:pPr>
            <w:r>
              <w:rPr>
                <w:rFonts w:hint="eastAsia" w:ascii="宋体" w:hAnsi="宋体" w:cs="宋体"/>
                <w:i w:val="0"/>
                <w:color w:val="auto"/>
                <w:sz w:val="20"/>
                <w:szCs w:val="20"/>
                <w:highlight w:val="none"/>
                <w:u w:val="none"/>
                <w:lang w:val="en-US" w:eastAsia="zh-CN"/>
              </w:rPr>
              <w:t>-37.9%</w:t>
            </w:r>
          </w:p>
        </w:tc>
        <w:tc>
          <w:tcPr>
            <w:tcW w:w="81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kern w:val="2"/>
                <w:sz w:val="21"/>
                <w:szCs w:val="21"/>
                <w:highlight w:val="none"/>
                <w:u w:val="none"/>
                <w:lang w:val="en-US" w:eastAsia="zh-CN" w:bidi="ar-SA"/>
              </w:rPr>
            </w:pPr>
            <w:r>
              <w:rPr>
                <w:rFonts w:hint="eastAsia" w:ascii="宋体" w:hAnsi="宋体" w:cs="宋体"/>
                <w:i w:val="0"/>
                <w:color w:val="auto"/>
                <w:kern w:val="0"/>
                <w:sz w:val="20"/>
                <w:szCs w:val="20"/>
                <w:highlight w:val="none"/>
                <w:u w:val="none"/>
                <w:lang w:val="en-US" w:eastAsia="zh-CN" w:bidi="ar"/>
              </w:rPr>
              <w:t>25.18%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92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基本每股收益</w:t>
            </w:r>
          </w:p>
        </w:tc>
        <w:tc>
          <w:tcPr>
            <w:tcW w:w="11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default" w:ascii="宋体" w:hAnsi="宋体" w:eastAsia="宋体" w:cs="宋体"/>
                <w:i w:val="0"/>
                <w:color w:val="auto"/>
                <w:sz w:val="21"/>
                <w:szCs w:val="21"/>
                <w:highlight w:val="none"/>
                <w:u w:val="none"/>
                <w:lang w:val="en-US" w:eastAsia="zh-CN"/>
              </w:rPr>
            </w:pPr>
            <w:r>
              <w:rPr>
                <w:rFonts w:hint="eastAsia" w:ascii="宋体" w:hAnsi="宋体" w:cs="宋体"/>
                <w:i w:val="0"/>
                <w:iCs w:val="0"/>
                <w:color w:val="auto"/>
                <w:kern w:val="0"/>
                <w:sz w:val="20"/>
                <w:szCs w:val="20"/>
                <w:highlight w:val="none"/>
                <w:u w:val="none"/>
                <w:lang w:val="en-US" w:eastAsia="zh-CN" w:bidi="ar"/>
              </w:rPr>
              <w:t>0.0149</w:t>
            </w:r>
          </w:p>
        </w:tc>
        <w:tc>
          <w:tcPr>
            <w:tcW w:w="112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default" w:ascii="宋体" w:hAnsi="宋体" w:eastAsia="宋体" w:cs="宋体"/>
                <w:i w:val="0"/>
                <w:color w:val="auto"/>
                <w:sz w:val="21"/>
                <w:szCs w:val="21"/>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-0.4038</w:t>
            </w:r>
          </w:p>
        </w:tc>
        <w:tc>
          <w:tcPr>
            <w:tcW w:w="81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cs="宋体"/>
                <w:i w:val="0"/>
                <w:iCs w:val="0"/>
                <w:color w:val="auto"/>
                <w:kern w:val="0"/>
                <w:sz w:val="20"/>
                <w:szCs w:val="20"/>
                <w:highlight w:val="none"/>
                <w:u w:val="none"/>
                <w:lang w:val="en-US" w:eastAsia="zh-CN" w:bidi="ar"/>
              </w:rPr>
              <w:t>103.69%</w:t>
            </w:r>
          </w:p>
        </w:tc>
      </w:tr>
    </w:tbl>
    <w:p>
      <w:pPr>
        <w:keepNext w:val="0"/>
        <w:keepLines w:val="0"/>
        <w:pageBreakBefore w:val="0"/>
        <w:kinsoku/>
        <w:overflowPunct/>
        <w:topLinePunct w:val="0"/>
        <w:bidi w:val="0"/>
        <w:spacing w:line="400" w:lineRule="exact"/>
        <w:jc w:val="left"/>
        <w:rPr>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b/>
          <w:bCs/>
          <w:color w:val="auto"/>
          <w:sz w:val="24"/>
          <w:szCs w:val="24"/>
          <w:highlight w:val="none"/>
        </w:rPr>
      </w:pPr>
      <w:r>
        <w:rPr>
          <w:rFonts w:hint="eastAsia"/>
          <w:b/>
          <w:bCs/>
          <w:color w:val="auto"/>
          <w:sz w:val="24"/>
          <w:szCs w:val="24"/>
          <w:highlight w:val="none"/>
        </w:rPr>
        <w:t>（二）</w:t>
      </w:r>
      <w:r>
        <w:rPr>
          <w:b/>
          <w:bCs/>
          <w:color w:val="auto"/>
          <w:sz w:val="24"/>
          <w:szCs w:val="24"/>
          <w:highlight w:val="none"/>
        </w:rPr>
        <w:t>偿债能力</w:t>
      </w:r>
    </w:p>
    <w:tbl>
      <w:tblPr>
        <w:tblStyle w:val="22"/>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2572"/>
        <w:gridCol w:w="1815"/>
        <w:gridCol w:w="2030"/>
        <w:gridCol w:w="19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542" w:type="pct"/>
            <w:tcBorders>
              <w:top w:val="nil"/>
              <w:left w:val="nil"/>
              <w:bottom w:val="single" w:color="auto" w:sz="4" w:space="0"/>
              <w:right w:val="nil"/>
            </w:tcBorders>
            <w:shd w:val="clear" w:color="auto" w:fill="auto"/>
            <w:tcMar>
              <w:top w:w="15" w:type="dxa"/>
              <w:left w:w="15" w:type="dxa"/>
              <w:right w:w="15" w:type="dxa"/>
            </w:tcMar>
            <w:vAlign w:val="center"/>
          </w:tcPr>
          <w:p>
            <w:pPr>
              <w:keepNext w:val="0"/>
              <w:keepLines w:val="0"/>
              <w:pageBreakBefore w:val="0"/>
              <w:kinsoku/>
              <w:overflowPunct/>
              <w:topLinePunct w:val="0"/>
              <w:bidi w:val="0"/>
              <w:spacing w:line="400" w:lineRule="exact"/>
              <w:jc w:val="left"/>
              <w:rPr>
                <w:rFonts w:hint="eastAsia" w:ascii="宋体" w:hAnsi="宋体" w:eastAsia="宋体" w:cs="宋体"/>
                <w:i w:val="0"/>
                <w:color w:val="auto"/>
                <w:sz w:val="24"/>
                <w:szCs w:val="24"/>
                <w:highlight w:val="none"/>
                <w:u w:val="none"/>
              </w:rPr>
            </w:pPr>
          </w:p>
        </w:tc>
        <w:tc>
          <w:tcPr>
            <w:tcW w:w="1088" w:type="pct"/>
            <w:tcBorders>
              <w:top w:val="nil"/>
              <w:left w:val="nil"/>
              <w:bottom w:val="single" w:color="auto" w:sz="4" w:space="0"/>
              <w:right w:val="nil"/>
            </w:tcBorders>
            <w:shd w:val="clear" w:color="auto" w:fill="auto"/>
            <w:noWrap/>
            <w:tcMar>
              <w:top w:w="15" w:type="dxa"/>
              <w:left w:w="15" w:type="dxa"/>
              <w:right w:w="15" w:type="dxa"/>
            </w:tcMar>
            <w:vAlign w:val="center"/>
          </w:tcPr>
          <w:p>
            <w:pPr>
              <w:keepNext w:val="0"/>
              <w:keepLines w:val="0"/>
              <w:pageBreakBefore w:val="0"/>
              <w:kinsoku/>
              <w:overflowPunct/>
              <w:topLinePunct w:val="0"/>
              <w:bidi w:val="0"/>
              <w:spacing w:line="400" w:lineRule="exact"/>
              <w:jc w:val="left"/>
              <w:rPr>
                <w:rFonts w:hint="eastAsia" w:ascii="宋体" w:hAnsi="宋体" w:eastAsia="宋体" w:cs="宋体"/>
                <w:i w:val="0"/>
                <w:color w:val="auto"/>
                <w:sz w:val="24"/>
                <w:szCs w:val="24"/>
                <w:highlight w:val="none"/>
                <w:u w:val="none"/>
              </w:rPr>
            </w:pPr>
          </w:p>
        </w:tc>
        <w:tc>
          <w:tcPr>
            <w:tcW w:w="1217" w:type="pct"/>
            <w:tcBorders>
              <w:top w:val="nil"/>
              <w:left w:val="nil"/>
              <w:bottom w:val="single" w:color="auto" w:sz="4" w:space="0"/>
              <w:right w:val="nil"/>
            </w:tcBorders>
            <w:shd w:val="clear" w:color="auto" w:fill="auto"/>
            <w:noWrap/>
            <w:tcMar>
              <w:top w:w="15" w:type="dxa"/>
              <w:left w:w="15" w:type="dxa"/>
              <w:right w:w="15" w:type="dxa"/>
            </w:tcMar>
            <w:vAlign w:val="center"/>
          </w:tcPr>
          <w:p>
            <w:pPr>
              <w:keepNext w:val="0"/>
              <w:keepLines w:val="0"/>
              <w:pageBreakBefore w:val="0"/>
              <w:kinsoku/>
              <w:overflowPunct/>
              <w:topLinePunct w:val="0"/>
              <w:bidi w:val="0"/>
              <w:spacing w:line="400" w:lineRule="exact"/>
              <w:jc w:val="left"/>
              <w:rPr>
                <w:rFonts w:hint="eastAsia" w:ascii="宋体" w:hAnsi="宋体" w:eastAsia="宋体" w:cs="宋体"/>
                <w:i w:val="0"/>
                <w:color w:val="auto"/>
                <w:sz w:val="24"/>
                <w:szCs w:val="24"/>
                <w:highlight w:val="none"/>
                <w:u w:val="none"/>
              </w:rPr>
            </w:pPr>
          </w:p>
        </w:tc>
        <w:tc>
          <w:tcPr>
            <w:tcW w:w="1151" w:type="pct"/>
            <w:tcBorders>
              <w:top w:val="nil"/>
              <w:left w:val="nil"/>
              <w:bottom w:val="single" w:color="auto" w:sz="4" w:space="0"/>
              <w:right w:val="nil"/>
            </w:tcBorders>
            <w:shd w:val="clear" w:color="auto" w:fill="auto"/>
            <w:noWrap/>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542" w:type="pct"/>
            <w:tcBorders>
              <w:top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项目</w:t>
            </w:r>
          </w:p>
        </w:tc>
        <w:tc>
          <w:tcPr>
            <w:tcW w:w="1088" w:type="pct"/>
            <w:tcBorders>
              <w:top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本期期末</w:t>
            </w:r>
          </w:p>
        </w:tc>
        <w:tc>
          <w:tcPr>
            <w:tcW w:w="1217" w:type="pct"/>
            <w:tcBorders>
              <w:top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上年期末</w:t>
            </w:r>
          </w:p>
        </w:tc>
        <w:tc>
          <w:tcPr>
            <w:tcW w:w="1151" w:type="pct"/>
            <w:tcBorders>
              <w:top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增减变动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00" w:hRule="atLeast"/>
        </w:trPr>
        <w:tc>
          <w:tcPr>
            <w:tcW w:w="1542" w:type="pct"/>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资产总计</w:t>
            </w:r>
          </w:p>
        </w:tc>
        <w:tc>
          <w:tcPr>
            <w:tcW w:w="1088" w:type="pct"/>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73,992,875,461.15</w:t>
            </w:r>
          </w:p>
        </w:tc>
        <w:tc>
          <w:tcPr>
            <w:tcW w:w="1217" w:type="pct"/>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70,704,234,711.23</w:t>
            </w:r>
          </w:p>
        </w:tc>
        <w:tc>
          <w:tcPr>
            <w:tcW w:w="1151" w:type="pct"/>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4.65%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00" w:hRule="atLeast"/>
        </w:trPr>
        <w:tc>
          <w:tcPr>
            <w:tcW w:w="1542" w:type="pct"/>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负债总计</w:t>
            </w:r>
          </w:p>
        </w:tc>
        <w:tc>
          <w:tcPr>
            <w:tcW w:w="1088" w:type="pct"/>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58,854,779,523.36</w:t>
            </w:r>
          </w:p>
        </w:tc>
        <w:tc>
          <w:tcPr>
            <w:tcW w:w="1217" w:type="pct"/>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57,909,640,547.22</w:t>
            </w:r>
          </w:p>
        </w:tc>
        <w:tc>
          <w:tcPr>
            <w:tcW w:w="1151" w:type="pct"/>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1.63%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00" w:hRule="atLeast"/>
        </w:trPr>
        <w:tc>
          <w:tcPr>
            <w:tcW w:w="1542" w:type="pct"/>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归属于母公司股东的净资产</w:t>
            </w:r>
          </w:p>
        </w:tc>
        <w:tc>
          <w:tcPr>
            <w:tcW w:w="1088" w:type="pct"/>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-736,770,819.87</w:t>
            </w:r>
          </w:p>
        </w:tc>
        <w:tc>
          <w:tcPr>
            <w:tcW w:w="1217" w:type="pct"/>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-388,936,873.19</w:t>
            </w:r>
          </w:p>
        </w:tc>
        <w:tc>
          <w:tcPr>
            <w:tcW w:w="1151" w:type="pct"/>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89.43%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00" w:hRule="atLeast"/>
        </w:trPr>
        <w:tc>
          <w:tcPr>
            <w:tcW w:w="1542" w:type="pct"/>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归属于母公司股东的每股净资产</w:t>
            </w:r>
          </w:p>
        </w:tc>
        <w:tc>
          <w:tcPr>
            <w:tcW w:w="1088" w:type="pct"/>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eastAsia="宋体" w:cs="宋体"/>
                <w:i w:val="0"/>
                <w:iCs w:val="0"/>
                <w:color w:val="auto"/>
                <w:kern w:val="2"/>
                <w:sz w:val="20"/>
                <w:szCs w:val="20"/>
                <w:highlight w:val="none"/>
                <w:u w:val="none"/>
                <w:lang w:val="en-US" w:eastAsia="zh-CN" w:bidi="ar"/>
              </w:rPr>
              <w:t xml:space="preserve">-0.16 </w:t>
            </w:r>
          </w:p>
        </w:tc>
        <w:tc>
          <w:tcPr>
            <w:tcW w:w="1217" w:type="pct"/>
            <w:shd w:val="clear" w:color="auto" w:fill="auto"/>
            <w:tcMar>
              <w:top w:w="15" w:type="dxa"/>
              <w:left w:w="15" w:type="dxa"/>
              <w:right w:w="15" w:type="dxa"/>
            </w:tcMar>
            <w:vAlign w:val="center"/>
          </w:tcPr>
          <w:p>
            <w:pPr>
              <w:keepNext w:val="0"/>
              <w:keepLines w:val="0"/>
              <w:pageBreakBefore w:val="0"/>
              <w:kinsoku/>
              <w:overflowPunct/>
              <w:topLinePunct w:val="0"/>
              <w:bidi w:val="0"/>
              <w:spacing w:line="400" w:lineRule="exact"/>
              <w:jc w:val="left"/>
              <w:rPr>
                <w:rFonts w:hint="eastAsia" w:ascii="宋体" w:hAnsi="宋体" w:eastAsia="宋体" w:cs="宋体"/>
                <w:i w:val="0"/>
                <w:color w:val="auto"/>
                <w:sz w:val="21"/>
                <w:szCs w:val="21"/>
                <w:highlight w:val="none"/>
                <w:u w:val="none"/>
              </w:rPr>
            </w:pPr>
            <w:r>
              <w:rPr>
                <w:rFonts w:hint="eastAsia" w:ascii="宋体" w:hAnsi="宋体" w:cs="宋体"/>
                <w:i w:val="0"/>
                <w:color w:val="auto"/>
                <w:sz w:val="20"/>
                <w:szCs w:val="20"/>
                <w:highlight w:val="none"/>
                <w:u w:val="none"/>
                <w:lang w:val="en-US" w:eastAsia="zh-CN"/>
              </w:rPr>
              <w:t>-0.34</w:t>
            </w:r>
          </w:p>
        </w:tc>
        <w:tc>
          <w:tcPr>
            <w:tcW w:w="1151" w:type="pct"/>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52.94%</w:t>
            </w:r>
          </w:p>
        </w:tc>
      </w:tr>
    </w:tbl>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kern w:val="0"/>
          <w:sz w:val="21"/>
          <w:szCs w:val="21"/>
          <w:highlight w:val="none"/>
          <w:u w:val="none"/>
          <w:lang w:val="en-US" w:eastAsia="zh-CN" w:bidi="ar"/>
        </w:rPr>
        <w:sectPr>
          <w:footerReference r:id="rId29" w:type="default"/>
          <w:pgSz w:w="11907" w:h="16839"/>
          <w:pgMar w:top="1440" w:right="1797" w:bottom="1440" w:left="1797" w:header="680" w:footer="992" w:gutter="0"/>
          <w:cols w:space="425" w:num="1"/>
          <w:docGrid w:linePitch="312" w:charSpace="0"/>
        </w:sectPr>
      </w:pPr>
    </w:p>
    <w:tbl>
      <w:tblPr>
        <w:tblStyle w:val="22"/>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2572"/>
        <w:gridCol w:w="1815"/>
        <w:gridCol w:w="2030"/>
        <w:gridCol w:w="19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00" w:hRule="atLeast"/>
        </w:trPr>
        <w:tc>
          <w:tcPr>
            <w:tcW w:w="1542" w:type="pct"/>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资产负债率（母公司）</w:t>
            </w:r>
          </w:p>
        </w:tc>
        <w:tc>
          <w:tcPr>
            <w:tcW w:w="1088" w:type="pct"/>
            <w:shd w:val="clear" w:color="auto" w:fill="auto"/>
            <w:noWrap/>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88.50%</w:t>
            </w:r>
          </w:p>
        </w:tc>
        <w:tc>
          <w:tcPr>
            <w:tcW w:w="1217" w:type="pct"/>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8</w:t>
            </w:r>
            <w:r>
              <w:rPr>
                <w:rFonts w:hint="eastAsia" w:ascii="宋体" w:hAnsi="宋体" w:cs="宋体"/>
                <w:i w:val="0"/>
                <w:color w:val="auto"/>
                <w:kern w:val="0"/>
                <w:sz w:val="20"/>
                <w:szCs w:val="20"/>
                <w:highlight w:val="none"/>
                <w:u w:val="none"/>
                <w:lang w:val="en-US" w:eastAsia="zh-CN" w:bidi="ar"/>
              </w:rPr>
              <w:t>6.57</w:t>
            </w:r>
            <w:r>
              <w:rPr>
                <w:rFonts w:hint="eastAsia" w:ascii="宋体" w:hAnsi="宋体" w:eastAsia="宋体" w:cs="宋体"/>
                <w:i w:val="0"/>
                <w:color w:val="auto"/>
                <w:kern w:val="0"/>
                <w:sz w:val="20"/>
                <w:szCs w:val="20"/>
                <w:highlight w:val="none"/>
                <w:u w:val="none"/>
                <w:lang w:val="en-US" w:eastAsia="zh-CN" w:bidi="ar"/>
              </w:rPr>
              <w:t>%</w:t>
            </w:r>
          </w:p>
        </w:tc>
        <w:tc>
          <w:tcPr>
            <w:tcW w:w="1151" w:type="pct"/>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1.93%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00" w:hRule="atLeast"/>
        </w:trPr>
        <w:tc>
          <w:tcPr>
            <w:tcW w:w="1542" w:type="pct"/>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资产负债率（合并）</w:t>
            </w:r>
          </w:p>
        </w:tc>
        <w:tc>
          <w:tcPr>
            <w:tcW w:w="1088" w:type="pct"/>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79.54%</w:t>
            </w:r>
          </w:p>
        </w:tc>
        <w:tc>
          <w:tcPr>
            <w:tcW w:w="1217" w:type="pct"/>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81.90%</w:t>
            </w:r>
          </w:p>
        </w:tc>
        <w:tc>
          <w:tcPr>
            <w:tcW w:w="1151" w:type="pct"/>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00" w:hRule="atLeast"/>
        </w:trPr>
        <w:tc>
          <w:tcPr>
            <w:tcW w:w="1542" w:type="pct"/>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流动比率</w:t>
            </w:r>
          </w:p>
        </w:tc>
        <w:tc>
          <w:tcPr>
            <w:tcW w:w="1088" w:type="pct"/>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41.77%</w:t>
            </w:r>
          </w:p>
        </w:tc>
        <w:tc>
          <w:tcPr>
            <w:tcW w:w="1217" w:type="pct"/>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39.83%</w:t>
            </w:r>
          </w:p>
        </w:tc>
        <w:tc>
          <w:tcPr>
            <w:tcW w:w="1151" w:type="pct"/>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1.94%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00" w:hRule="atLeast"/>
        </w:trPr>
        <w:tc>
          <w:tcPr>
            <w:tcW w:w="1542" w:type="pct"/>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利息保障倍数</w:t>
            </w:r>
          </w:p>
        </w:tc>
        <w:tc>
          <w:tcPr>
            <w:tcW w:w="1088" w:type="pct"/>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0"/>
                <w:szCs w:val="20"/>
                <w:highlight w:val="none"/>
                <w:u w:val="none"/>
                <w:lang w:val="en-US" w:eastAsia="zh-CN" w:bidi="ar"/>
              </w:rPr>
              <w:t>1.13</w:t>
            </w:r>
          </w:p>
        </w:tc>
        <w:tc>
          <w:tcPr>
            <w:tcW w:w="1217" w:type="pct"/>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-0.03</w:t>
            </w:r>
          </w:p>
        </w:tc>
        <w:tc>
          <w:tcPr>
            <w:tcW w:w="1151" w:type="pct"/>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3866.67%</w:t>
            </w:r>
          </w:p>
        </w:tc>
      </w:tr>
    </w:tbl>
    <w:p>
      <w:pPr>
        <w:keepNext w:val="0"/>
        <w:keepLines w:val="0"/>
        <w:pageBreakBefore w:val="0"/>
        <w:kinsoku/>
        <w:overflowPunct/>
        <w:topLinePunct w:val="0"/>
        <w:bidi w:val="0"/>
        <w:spacing w:line="400" w:lineRule="exact"/>
        <w:jc w:val="left"/>
        <w:rPr>
          <w:color w:val="auto"/>
          <w:highlight w:val="none"/>
        </w:rPr>
      </w:pPr>
    </w:p>
    <w:p>
      <w:pPr>
        <w:keepNext w:val="0"/>
        <w:keepLines w:val="0"/>
        <w:pageBreakBefore w:val="0"/>
        <w:kinsoku/>
        <w:overflowPunct/>
        <w:topLinePunct w:val="0"/>
        <w:bidi w:val="0"/>
        <w:spacing w:line="400" w:lineRule="exact"/>
        <w:ind w:firstLine="482" w:firstLineChars="200"/>
        <w:jc w:val="left"/>
        <w:rPr>
          <w:color w:val="auto"/>
          <w:highlight w:val="none"/>
        </w:rPr>
      </w:pPr>
      <w:r>
        <w:rPr>
          <w:rFonts w:hint="eastAsia"/>
          <w:b/>
          <w:bCs/>
          <w:color w:val="auto"/>
          <w:sz w:val="24"/>
          <w:szCs w:val="24"/>
          <w:highlight w:val="none"/>
        </w:rPr>
        <w:t>（三）</w:t>
      </w:r>
      <w:r>
        <w:rPr>
          <w:b/>
          <w:bCs/>
          <w:color w:val="auto"/>
          <w:sz w:val="24"/>
          <w:szCs w:val="24"/>
          <w:highlight w:val="none"/>
        </w:rPr>
        <w:t>营运情况</w:t>
      </w:r>
    </w:p>
    <w:tbl>
      <w:tblPr>
        <w:tblStyle w:val="2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821"/>
        <w:gridCol w:w="2037"/>
        <w:gridCol w:w="1799"/>
        <w:gridCol w:w="16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691" w:type="pct"/>
            <w:tcBorders>
              <w:top w:val="nil"/>
              <w:left w:val="nil"/>
              <w:bottom w:val="single" w:color="auto" w:sz="4" w:space="0"/>
              <w:right w:val="nil"/>
            </w:tcBorders>
            <w:shd w:val="clear" w:color="auto" w:fill="auto"/>
            <w:tcMar>
              <w:top w:w="15" w:type="dxa"/>
              <w:left w:w="15" w:type="dxa"/>
              <w:right w:w="15" w:type="dxa"/>
            </w:tcMar>
            <w:vAlign w:val="center"/>
          </w:tcPr>
          <w:p>
            <w:pPr>
              <w:keepNext w:val="0"/>
              <w:keepLines w:val="0"/>
              <w:pageBreakBefore w:val="0"/>
              <w:kinsoku/>
              <w:overflowPunct/>
              <w:topLinePunct w:val="0"/>
              <w:bidi w:val="0"/>
              <w:spacing w:line="400" w:lineRule="exact"/>
              <w:jc w:val="left"/>
              <w:rPr>
                <w:rFonts w:hint="eastAsia" w:ascii="宋体" w:hAnsi="宋体" w:eastAsia="宋体" w:cs="宋体"/>
                <w:i w:val="0"/>
                <w:color w:val="auto"/>
                <w:sz w:val="24"/>
                <w:szCs w:val="24"/>
                <w:highlight w:val="none"/>
                <w:u w:val="none"/>
              </w:rPr>
            </w:pPr>
          </w:p>
        </w:tc>
        <w:tc>
          <w:tcPr>
            <w:tcW w:w="1221" w:type="pct"/>
            <w:tcBorders>
              <w:top w:val="nil"/>
              <w:left w:val="nil"/>
              <w:bottom w:val="single" w:color="auto" w:sz="4" w:space="0"/>
              <w:right w:val="nil"/>
            </w:tcBorders>
            <w:shd w:val="clear" w:color="auto" w:fill="auto"/>
            <w:noWrap/>
            <w:tcMar>
              <w:top w:w="15" w:type="dxa"/>
              <w:left w:w="15" w:type="dxa"/>
              <w:right w:w="15" w:type="dxa"/>
            </w:tcMar>
            <w:vAlign w:val="center"/>
          </w:tcPr>
          <w:p>
            <w:pPr>
              <w:keepNext w:val="0"/>
              <w:keepLines w:val="0"/>
              <w:pageBreakBefore w:val="0"/>
              <w:kinsoku/>
              <w:overflowPunct/>
              <w:topLinePunct w:val="0"/>
              <w:bidi w:val="0"/>
              <w:spacing w:line="400" w:lineRule="exact"/>
              <w:jc w:val="left"/>
              <w:rPr>
                <w:rFonts w:hint="eastAsia" w:ascii="宋体" w:hAnsi="宋体" w:eastAsia="宋体" w:cs="宋体"/>
                <w:i w:val="0"/>
                <w:color w:val="auto"/>
                <w:sz w:val="24"/>
                <w:szCs w:val="24"/>
                <w:highlight w:val="none"/>
                <w:u w:val="none"/>
              </w:rPr>
            </w:pPr>
          </w:p>
        </w:tc>
        <w:tc>
          <w:tcPr>
            <w:tcW w:w="1078" w:type="pct"/>
            <w:tcBorders>
              <w:top w:val="nil"/>
              <w:left w:val="nil"/>
              <w:bottom w:val="single" w:color="auto" w:sz="4" w:space="0"/>
              <w:right w:val="nil"/>
            </w:tcBorders>
            <w:shd w:val="clear" w:color="auto" w:fill="auto"/>
            <w:noWrap/>
            <w:tcMar>
              <w:top w:w="15" w:type="dxa"/>
              <w:left w:w="15" w:type="dxa"/>
              <w:right w:w="15" w:type="dxa"/>
            </w:tcMar>
            <w:vAlign w:val="center"/>
          </w:tcPr>
          <w:p>
            <w:pPr>
              <w:keepNext w:val="0"/>
              <w:keepLines w:val="0"/>
              <w:pageBreakBefore w:val="0"/>
              <w:kinsoku/>
              <w:overflowPunct/>
              <w:topLinePunct w:val="0"/>
              <w:bidi w:val="0"/>
              <w:spacing w:line="400" w:lineRule="exact"/>
              <w:jc w:val="left"/>
              <w:rPr>
                <w:rFonts w:hint="eastAsia" w:ascii="宋体" w:hAnsi="宋体" w:eastAsia="宋体" w:cs="宋体"/>
                <w:i w:val="0"/>
                <w:color w:val="auto"/>
                <w:sz w:val="24"/>
                <w:szCs w:val="24"/>
                <w:highlight w:val="none"/>
                <w:u w:val="none"/>
              </w:rPr>
            </w:pPr>
          </w:p>
        </w:tc>
        <w:tc>
          <w:tcPr>
            <w:tcW w:w="1009" w:type="pct"/>
            <w:tcBorders>
              <w:top w:val="nil"/>
              <w:left w:val="nil"/>
              <w:bottom w:val="single" w:color="auto" w:sz="4" w:space="0"/>
              <w:right w:val="nil"/>
            </w:tcBorders>
            <w:shd w:val="clear" w:color="auto" w:fill="auto"/>
            <w:noWrap/>
            <w:tcMar>
              <w:top w:w="15" w:type="dxa"/>
              <w:left w:w="15" w:type="dxa"/>
              <w:right w:w="15" w:type="dxa"/>
            </w:tcMar>
            <w:vAlign w:val="bottom"/>
          </w:tcPr>
          <w:p>
            <w:pPr>
              <w:keepNext w:val="0"/>
              <w:keepLines w:val="0"/>
              <w:pageBreakBefore w:val="0"/>
              <w:widowControl/>
              <w:suppressLineNumbers w:val="0"/>
              <w:kinsoku/>
              <w:overflowPunct/>
              <w:topLinePunct w:val="0"/>
              <w:bidi w:val="0"/>
              <w:spacing w:line="400" w:lineRule="exact"/>
              <w:jc w:val="left"/>
              <w:textAlignment w:val="bottom"/>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单位：元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6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项目</w:t>
            </w:r>
          </w:p>
        </w:tc>
        <w:tc>
          <w:tcPr>
            <w:tcW w:w="122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本期</w:t>
            </w:r>
          </w:p>
        </w:tc>
        <w:tc>
          <w:tcPr>
            <w:tcW w:w="10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上年同期</w:t>
            </w:r>
          </w:p>
        </w:tc>
        <w:tc>
          <w:tcPr>
            <w:tcW w:w="100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增减变动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6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经营活动产生的现金流量净额</w:t>
            </w:r>
          </w:p>
        </w:tc>
        <w:tc>
          <w:tcPr>
            <w:tcW w:w="2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5,190,784,702.52</w:t>
            </w:r>
          </w:p>
        </w:tc>
        <w:tc>
          <w:tcPr>
            <w:tcW w:w="179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3,523,385,554.48</w:t>
            </w:r>
          </w:p>
        </w:tc>
        <w:tc>
          <w:tcPr>
            <w:tcW w:w="168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47.32%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6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应收账款周转率</w:t>
            </w:r>
          </w:p>
        </w:tc>
        <w:tc>
          <w:tcPr>
            <w:tcW w:w="2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cs="宋体"/>
                <w:color w:val="auto"/>
                <w:kern w:val="0"/>
                <w:sz w:val="20"/>
                <w:szCs w:val="20"/>
                <w:highlight w:val="none"/>
                <w:u w:val="none"/>
                <w:lang w:bidi="ar"/>
              </w:rPr>
              <w:t>3.05</w:t>
            </w:r>
          </w:p>
        </w:tc>
        <w:tc>
          <w:tcPr>
            <w:tcW w:w="179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cs="宋体"/>
                <w:color w:val="auto"/>
                <w:kern w:val="0"/>
                <w:sz w:val="20"/>
                <w:szCs w:val="20"/>
                <w:highlight w:val="none"/>
                <w:u w:val="none"/>
                <w:lang w:bidi="ar"/>
              </w:rPr>
              <w:t>3.64</w:t>
            </w:r>
          </w:p>
        </w:tc>
        <w:tc>
          <w:tcPr>
            <w:tcW w:w="168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-16.21%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69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存货周转率</w:t>
            </w:r>
          </w:p>
        </w:tc>
        <w:tc>
          <w:tcPr>
            <w:tcW w:w="2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cs="宋体"/>
                <w:color w:val="auto"/>
                <w:kern w:val="0"/>
                <w:sz w:val="20"/>
                <w:szCs w:val="20"/>
                <w:highlight w:val="none"/>
                <w:u w:val="none"/>
                <w:lang w:bidi="ar"/>
              </w:rPr>
              <w:t>10.36</w:t>
            </w:r>
          </w:p>
        </w:tc>
        <w:tc>
          <w:tcPr>
            <w:tcW w:w="179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cs="宋体"/>
                <w:color w:val="auto"/>
                <w:kern w:val="0"/>
                <w:sz w:val="20"/>
                <w:szCs w:val="20"/>
                <w:highlight w:val="none"/>
                <w:u w:val="none"/>
                <w:lang w:bidi="ar"/>
              </w:rPr>
              <w:t>12.28</w:t>
            </w:r>
          </w:p>
        </w:tc>
        <w:tc>
          <w:tcPr>
            <w:tcW w:w="168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-15.64%</w:t>
            </w:r>
          </w:p>
        </w:tc>
      </w:tr>
    </w:tbl>
    <w:p>
      <w:pPr>
        <w:keepNext w:val="0"/>
        <w:keepLines w:val="0"/>
        <w:pageBreakBefore w:val="0"/>
        <w:kinsoku/>
        <w:overflowPunct/>
        <w:topLinePunct w:val="0"/>
        <w:bidi w:val="0"/>
        <w:spacing w:line="400" w:lineRule="exact"/>
        <w:jc w:val="left"/>
        <w:rPr>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b/>
          <w:bCs/>
          <w:color w:val="auto"/>
          <w:sz w:val="24"/>
          <w:szCs w:val="24"/>
          <w:highlight w:val="none"/>
        </w:rPr>
      </w:pPr>
      <w:r>
        <w:rPr>
          <w:rFonts w:hint="eastAsia"/>
          <w:b/>
          <w:bCs/>
          <w:color w:val="auto"/>
          <w:sz w:val="24"/>
          <w:szCs w:val="24"/>
          <w:highlight w:val="none"/>
        </w:rPr>
        <w:t>（四）</w:t>
      </w:r>
      <w:r>
        <w:rPr>
          <w:b/>
          <w:bCs/>
          <w:color w:val="auto"/>
          <w:sz w:val="24"/>
          <w:szCs w:val="24"/>
          <w:highlight w:val="none"/>
        </w:rPr>
        <w:t>成长情况</w:t>
      </w:r>
    </w:p>
    <w:tbl>
      <w:tblPr>
        <w:tblStyle w:val="2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629"/>
        <w:gridCol w:w="1562"/>
        <w:gridCol w:w="1965"/>
        <w:gridCol w:w="21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57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项目</w:t>
            </w:r>
          </w:p>
        </w:tc>
        <w:tc>
          <w:tcPr>
            <w:tcW w:w="93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本期</w:t>
            </w:r>
          </w:p>
        </w:tc>
        <w:tc>
          <w:tcPr>
            <w:tcW w:w="117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上年同期</w:t>
            </w:r>
          </w:p>
        </w:tc>
        <w:tc>
          <w:tcPr>
            <w:tcW w:w="130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增减变动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57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总资产增长率</w:t>
            </w:r>
          </w:p>
        </w:tc>
        <w:tc>
          <w:tcPr>
            <w:tcW w:w="15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kern w:val="2"/>
                <w:sz w:val="21"/>
                <w:szCs w:val="21"/>
                <w:highlight w:val="none"/>
                <w:u w:val="none"/>
                <w:lang w:val="en-US" w:eastAsia="zh-CN" w:bidi="ar-SA"/>
              </w:rPr>
            </w:pPr>
            <w:r>
              <w:rPr>
                <w:rFonts w:hint="eastAsia" w:ascii="宋体" w:hAnsi="宋体" w:cs="宋体"/>
                <w:i w:val="0"/>
                <w:color w:val="auto"/>
                <w:kern w:val="0"/>
                <w:sz w:val="20"/>
                <w:szCs w:val="20"/>
                <w:highlight w:val="none"/>
                <w:u w:val="none"/>
                <w:lang w:val="en-US" w:eastAsia="zh-CN" w:bidi="ar"/>
              </w:rPr>
              <w:t>4.65%</w:t>
            </w:r>
          </w:p>
        </w:tc>
        <w:tc>
          <w:tcPr>
            <w:tcW w:w="19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7.48%</w:t>
            </w:r>
          </w:p>
        </w:tc>
        <w:tc>
          <w:tcPr>
            <w:tcW w:w="218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57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营业收入增长率</w:t>
            </w:r>
          </w:p>
        </w:tc>
        <w:tc>
          <w:tcPr>
            <w:tcW w:w="15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-5.23%</w:t>
            </w:r>
          </w:p>
        </w:tc>
        <w:tc>
          <w:tcPr>
            <w:tcW w:w="19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13.36%</w:t>
            </w:r>
          </w:p>
        </w:tc>
        <w:tc>
          <w:tcPr>
            <w:tcW w:w="218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-18.59%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57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营业利润增长率</w:t>
            </w:r>
          </w:p>
        </w:tc>
        <w:tc>
          <w:tcPr>
            <w:tcW w:w="15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-125.30%</w:t>
            </w:r>
          </w:p>
        </w:tc>
        <w:tc>
          <w:tcPr>
            <w:tcW w:w="19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-1377.67%</w:t>
            </w:r>
          </w:p>
        </w:tc>
        <w:tc>
          <w:tcPr>
            <w:tcW w:w="218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top"/>
              <w:rPr>
                <w:rFonts w:hint="default" w:ascii="宋体" w:hAnsi="宋体" w:eastAsia="宋体" w:cs="宋体"/>
                <w:i w:val="0"/>
                <w:color w:val="auto"/>
                <w:sz w:val="21"/>
                <w:szCs w:val="21"/>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1252.37%</w:t>
            </w:r>
          </w:p>
        </w:tc>
      </w:tr>
    </w:tbl>
    <w:p>
      <w:pPr>
        <w:keepNext w:val="0"/>
        <w:keepLines w:val="0"/>
        <w:pageBreakBefore w:val="0"/>
        <w:kinsoku/>
        <w:overflowPunct/>
        <w:topLinePunct w:val="0"/>
        <w:bidi w:val="0"/>
        <w:spacing w:line="400" w:lineRule="exact"/>
        <w:jc w:val="left"/>
        <w:rPr>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b/>
          <w:bCs/>
          <w:color w:val="auto"/>
          <w:sz w:val="24"/>
          <w:szCs w:val="24"/>
          <w:highlight w:val="none"/>
        </w:rPr>
      </w:pPr>
      <w:r>
        <w:rPr>
          <w:rFonts w:hint="eastAsia"/>
          <w:b/>
          <w:bCs/>
          <w:color w:val="auto"/>
          <w:sz w:val="24"/>
          <w:szCs w:val="24"/>
          <w:highlight w:val="none"/>
        </w:rPr>
        <w:t>（五）</w:t>
      </w:r>
      <w:r>
        <w:rPr>
          <w:b/>
          <w:bCs/>
          <w:color w:val="auto"/>
          <w:sz w:val="24"/>
          <w:szCs w:val="24"/>
          <w:highlight w:val="none"/>
        </w:rPr>
        <w:t>股本情况</w:t>
      </w:r>
    </w:p>
    <w:p>
      <w:pPr>
        <w:keepNext w:val="0"/>
        <w:keepLines w:val="0"/>
        <w:pageBreakBefore w:val="0"/>
        <w:kinsoku/>
        <w:overflowPunct/>
        <w:topLinePunct w:val="0"/>
        <w:bidi w:val="0"/>
        <w:spacing w:line="400" w:lineRule="exact"/>
        <w:jc w:val="left"/>
        <w:rPr>
          <w:color w:val="auto"/>
          <w:sz w:val="22"/>
          <w:szCs w:val="44"/>
          <w:highlight w:val="none"/>
        </w:rPr>
      </w:pPr>
      <w:r>
        <w:rPr>
          <w:rFonts w:hint="eastAsia"/>
          <w:color w:val="auto"/>
          <w:highlight w:val="none"/>
        </w:rPr>
        <w:t>单位：股</w:t>
      </w:r>
    </w:p>
    <w:tbl>
      <w:tblPr>
        <w:tblStyle w:val="22"/>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37"/>
        <w:gridCol w:w="1989"/>
        <w:gridCol w:w="1964"/>
        <w:gridCol w:w="15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37" w:type="dxa"/>
            <w:noWrap w:val="0"/>
            <w:vAlign w:val="center"/>
          </w:tcPr>
          <w:p>
            <w:pPr>
              <w:keepNext w:val="0"/>
              <w:keepLines w:val="0"/>
              <w:pageBreakBefore w:val="0"/>
              <w:kinsoku/>
              <w:overflowPunct/>
              <w:topLinePunct w:val="0"/>
              <w:bidi w:val="0"/>
              <w:spacing w:line="400" w:lineRule="exact"/>
              <w:jc w:val="left"/>
              <w:rPr>
                <w:rFonts w:hint="eastAsia" w:ascii="宋体" w:hAnsi="宋体" w:cs="宋体"/>
                <w:color w:val="auto"/>
                <w:kern w:val="0"/>
                <w:highlight w:val="none"/>
              </w:rPr>
            </w:pPr>
            <w:r>
              <w:rPr>
                <w:rFonts w:hint="eastAsia" w:ascii="宋体" w:hAnsi="宋体" w:cs="宋体"/>
                <w:color w:val="auto"/>
                <w:kern w:val="0"/>
                <w:highlight w:val="none"/>
              </w:rPr>
              <w:t>项目</w:t>
            </w:r>
          </w:p>
        </w:tc>
        <w:tc>
          <w:tcPr>
            <w:tcW w:w="1989" w:type="dxa"/>
            <w:noWrap w:val="0"/>
            <w:vAlign w:val="center"/>
          </w:tcPr>
          <w:p>
            <w:pPr>
              <w:keepNext w:val="0"/>
              <w:keepLines w:val="0"/>
              <w:pageBreakBefore w:val="0"/>
              <w:kinsoku/>
              <w:overflowPunct/>
              <w:topLinePunct w:val="0"/>
              <w:bidi w:val="0"/>
              <w:spacing w:line="400" w:lineRule="exact"/>
              <w:jc w:val="left"/>
              <w:rPr>
                <w:rFonts w:hint="eastAsia" w:ascii="宋体" w:hAnsi="宋体" w:cs="宋体"/>
                <w:color w:val="auto"/>
                <w:kern w:val="0"/>
                <w:highlight w:val="none"/>
              </w:rPr>
            </w:pPr>
            <w:r>
              <w:rPr>
                <w:rFonts w:hint="eastAsia" w:ascii="宋体" w:hAnsi="宋体" w:cs="宋体"/>
                <w:color w:val="auto"/>
                <w:kern w:val="0"/>
                <w:highlight w:val="none"/>
              </w:rPr>
              <w:t>本期期末</w:t>
            </w:r>
          </w:p>
        </w:tc>
        <w:tc>
          <w:tcPr>
            <w:tcW w:w="1964" w:type="dxa"/>
            <w:noWrap w:val="0"/>
            <w:vAlign w:val="center"/>
          </w:tcPr>
          <w:p>
            <w:pPr>
              <w:keepNext w:val="0"/>
              <w:keepLines w:val="0"/>
              <w:pageBreakBefore w:val="0"/>
              <w:kinsoku/>
              <w:overflowPunct/>
              <w:topLinePunct w:val="0"/>
              <w:bidi w:val="0"/>
              <w:spacing w:line="400" w:lineRule="exact"/>
              <w:jc w:val="left"/>
              <w:rPr>
                <w:rFonts w:hint="eastAsia" w:ascii="宋体" w:hAnsi="宋体" w:cs="宋体"/>
                <w:color w:val="auto"/>
                <w:kern w:val="0"/>
                <w:highlight w:val="none"/>
              </w:rPr>
            </w:pPr>
            <w:r>
              <w:rPr>
                <w:rFonts w:hint="eastAsia" w:ascii="宋体" w:hAnsi="宋体" w:cs="宋体"/>
                <w:color w:val="auto"/>
                <w:kern w:val="0"/>
                <w:highlight w:val="none"/>
              </w:rPr>
              <w:t>本期期初</w:t>
            </w:r>
          </w:p>
        </w:tc>
        <w:tc>
          <w:tcPr>
            <w:tcW w:w="1510" w:type="dxa"/>
            <w:noWrap w:val="0"/>
            <w:vAlign w:val="center"/>
          </w:tcPr>
          <w:p>
            <w:pPr>
              <w:keepNext w:val="0"/>
              <w:keepLines w:val="0"/>
              <w:pageBreakBefore w:val="0"/>
              <w:kinsoku/>
              <w:overflowPunct/>
              <w:topLinePunct w:val="0"/>
              <w:bidi w:val="0"/>
              <w:spacing w:line="400" w:lineRule="exact"/>
              <w:jc w:val="left"/>
              <w:rPr>
                <w:rFonts w:hint="eastAsia" w:ascii="宋体" w:hAnsi="宋体" w:cs="宋体"/>
                <w:color w:val="auto"/>
                <w:kern w:val="0"/>
                <w:highlight w:val="none"/>
              </w:rPr>
            </w:pPr>
            <w:r>
              <w:rPr>
                <w:rFonts w:hint="eastAsia" w:ascii="宋体" w:hAnsi="宋体" w:cs="宋体"/>
                <w:color w:val="auto"/>
                <w:kern w:val="0"/>
                <w:highlight w:val="none"/>
              </w:rPr>
              <w:t>增减</w:t>
            </w:r>
            <w:r>
              <w:rPr>
                <w:rFonts w:hint="eastAsia" w:ascii="宋体" w:hAnsi="宋体" w:cs="宋体"/>
                <w:color w:val="auto"/>
                <w:kern w:val="0"/>
                <w:highlight w:val="none"/>
                <w:lang w:eastAsia="zh-CN"/>
              </w:rPr>
              <w:t>变动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3137" w:type="dxa"/>
            <w:noWrap w:val="0"/>
            <w:vAlign w:val="center"/>
          </w:tcPr>
          <w:p>
            <w:pPr>
              <w:keepNext w:val="0"/>
              <w:keepLines w:val="0"/>
              <w:pageBreakBefore w:val="0"/>
              <w:kinsoku/>
              <w:overflowPunct/>
              <w:topLinePunct w:val="0"/>
              <w:bidi w:val="0"/>
              <w:spacing w:line="400" w:lineRule="exact"/>
              <w:jc w:val="left"/>
              <w:rPr>
                <w:rFonts w:hint="eastAsia" w:ascii="宋体" w:hAnsi="宋体" w:cs="宋体"/>
                <w:color w:val="auto"/>
                <w:kern w:val="0"/>
                <w:highlight w:val="none"/>
              </w:rPr>
            </w:pPr>
            <w:r>
              <w:rPr>
                <w:rFonts w:hint="eastAsia" w:ascii="宋体" w:hAnsi="宋体" w:cs="宋体"/>
                <w:color w:val="auto"/>
                <w:kern w:val="0"/>
                <w:highlight w:val="none"/>
              </w:rPr>
              <w:t>普通股总股本</w:t>
            </w:r>
          </w:p>
        </w:tc>
        <w:tc>
          <w:tcPr>
            <w:tcW w:w="1989" w:type="dxa"/>
            <w:noWrap w:val="0"/>
            <w:vAlign w:val="top"/>
          </w:tcPr>
          <w:p>
            <w:pPr>
              <w:keepNext w:val="0"/>
              <w:keepLines w:val="0"/>
              <w:pageBreakBefore w:val="0"/>
              <w:kinsoku/>
              <w:overflowPunct/>
              <w:topLinePunct w:val="0"/>
              <w:bidi w:val="0"/>
              <w:spacing w:line="400" w:lineRule="exact"/>
              <w:jc w:val="left"/>
              <w:rPr>
                <w:rFonts w:hint="eastAsia" w:ascii="宋体" w:hAnsi="宋体" w:cs="宋体"/>
                <w:color w:val="auto"/>
                <w:kern w:val="0"/>
                <w:highlight w:val="none"/>
              </w:rPr>
            </w:pPr>
            <w:r>
              <w:rPr>
                <w:rFonts w:hint="eastAsia" w:ascii="宋体" w:hAnsi="宋体" w:cs="宋体"/>
                <w:color w:val="auto"/>
                <w:kern w:val="0"/>
                <w:highlight w:val="none"/>
              </w:rPr>
              <w:t>4,692,315,400.00</w:t>
            </w:r>
          </w:p>
        </w:tc>
        <w:tc>
          <w:tcPr>
            <w:tcW w:w="1964" w:type="dxa"/>
            <w:noWrap w:val="0"/>
            <w:vAlign w:val="top"/>
          </w:tcPr>
          <w:p>
            <w:pPr>
              <w:keepNext w:val="0"/>
              <w:keepLines w:val="0"/>
              <w:pageBreakBefore w:val="0"/>
              <w:kinsoku/>
              <w:overflowPunct/>
              <w:topLinePunct w:val="0"/>
              <w:bidi w:val="0"/>
              <w:spacing w:line="400" w:lineRule="exact"/>
              <w:jc w:val="left"/>
              <w:rPr>
                <w:rFonts w:hint="eastAsia" w:ascii="宋体" w:hAnsi="宋体" w:cs="宋体"/>
                <w:color w:val="auto"/>
                <w:kern w:val="0"/>
                <w:highlight w:val="none"/>
              </w:rPr>
            </w:pPr>
            <w:r>
              <w:rPr>
                <w:rFonts w:hint="eastAsia" w:ascii="宋体" w:hAnsi="宋体" w:cs="宋体"/>
                <w:color w:val="auto"/>
                <w:kern w:val="0"/>
                <w:highlight w:val="none"/>
              </w:rPr>
              <w:t>4,692,315,400.00</w:t>
            </w:r>
          </w:p>
        </w:tc>
        <w:tc>
          <w:tcPr>
            <w:tcW w:w="1510" w:type="dxa"/>
            <w:noWrap w:val="0"/>
            <w:vAlign w:val="top"/>
          </w:tcPr>
          <w:p>
            <w:pPr>
              <w:keepNext w:val="0"/>
              <w:keepLines w:val="0"/>
              <w:pageBreakBefore w:val="0"/>
              <w:kinsoku/>
              <w:overflowPunct/>
              <w:topLinePunct w:val="0"/>
              <w:bidi w:val="0"/>
              <w:spacing w:line="400" w:lineRule="exact"/>
              <w:jc w:val="left"/>
              <w:rPr>
                <w:rFonts w:hint="eastAsia" w:ascii="宋体" w:hAnsi="宋体" w:cs="宋体"/>
                <w:color w:val="auto"/>
                <w:kern w:val="0"/>
                <w:highlight w:val="none"/>
              </w:rPr>
            </w:pPr>
            <w:r>
              <w:rPr>
                <w:rFonts w:hint="eastAsia" w:ascii="宋体" w:hAnsi="宋体" w:cs="宋体"/>
                <w:color w:val="auto"/>
                <w:kern w:val="0"/>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3137" w:type="dxa"/>
            <w:noWrap w:val="0"/>
            <w:vAlign w:val="center"/>
          </w:tcPr>
          <w:p>
            <w:pPr>
              <w:keepNext w:val="0"/>
              <w:keepLines w:val="0"/>
              <w:pageBreakBefore w:val="0"/>
              <w:kinsoku/>
              <w:overflowPunct/>
              <w:topLinePunct w:val="0"/>
              <w:bidi w:val="0"/>
              <w:spacing w:line="400" w:lineRule="exact"/>
              <w:jc w:val="left"/>
              <w:rPr>
                <w:rFonts w:hint="eastAsia" w:ascii="宋体" w:hAnsi="宋体" w:cs="宋体"/>
                <w:color w:val="auto"/>
                <w:kern w:val="0"/>
                <w:highlight w:val="none"/>
              </w:rPr>
            </w:pPr>
            <w:r>
              <w:rPr>
                <w:rFonts w:hint="eastAsia" w:ascii="宋体" w:hAnsi="宋体" w:cs="宋体"/>
                <w:color w:val="auto"/>
                <w:kern w:val="0"/>
                <w:highlight w:val="none"/>
              </w:rPr>
              <w:t>计入权益的优先股数量</w:t>
            </w:r>
          </w:p>
        </w:tc>
        <w:tc>
          <w:tcPr>
            <w:tcW w:w="1989" w:type="dxa"/>
            <w:noWrap w:val="0"/>
            <w:vAlign w:val="top"/>
          </w:tcPr>
          <w:p>
            <w:pPr>
              <w:keepNext w:val="0"/>
              <w:keepLines w:val="0"/>
              <w:pageBreakBefore w:val="0"/>
              <w:kinsoku/>
              <w:overflowPunct/>
              <w:topLinePunct w:val="0"/>
              <w:bidi w:val="0"/>
              <w:spacing w:line="400" w:lineRule="exact"/>
              <w:jc w:val="left"/>
              <w:rPr>
                <w:rFonts w:hint="eastAsia" w:ascii="宋体" w:hAnsi="宋体" w:cs="宋体"/>
                <w:color w:val="auto"/>
                <w:kern w:val="0"/>
                <w:highlight w:val="none"/>
              </w:rPr>
            </w:pPr>
            <w:r>
              <w:rPr>
                <w:rFonts w:hint="eastAsia" w:ascii="宋体" w:hAnsi="宋体" w:cs="宋体"/>
                <w:color w:val="auto"/>
                <w:kern w:val="0"/>
                <w:highlight w:val="none"/>
              </w:rPr>
              <w:t>0</w:t>
            </w:r>
          </w:p>
        </w:tc>
        <w:tc>
          <w:tcPr>
            <w:tcW w:w="1964" w:type="dxa"/>
            <w:noWrap w:val="0"/>
            <w:vAlign w:val="top"/>
          </w:tcPr>
          <w:p>
            <w:pPr>
              <w:keepNext w:val="0"/>
              <w:keepLines w:val="0"/>
              <w:pageBreakBefore w:val="0"/>
              <w:kinsoku/>
              <w:overflowPunct/>
              <w:topLinePunct w:val="0"/>
              <w:bidi w:val="0"/>
              <w:spacing w:line="400" w:lineRule="exact"/>
              <w:jc w:val="left"/>
              <w:rPr>
                <w:rFonts w:hint="eastAsia" w:ascii="宋体" w:hAnsi="宋体" w:cs="宋体"/>
                <w:color w:val="auto"/>
                <w:kern w:val="0"/>
                <w:highlight w:val="none"/>
              </w:rPr>
            </w:pPr>
            <w:r>
              <w:rPr>
                <w:rFonts w:hint="eastAsia" w:ascii="宋体" w:hAnsi="宋体" w:cs="宋体"/>
                <w:color w:val="auto"/>
                <w:kern w:val="0"/>
                <w:highlight w:val="none"/>
              </w:rPr>
              <w:t>0</w:t>
            </w:r>
          </w:p>
        </w:tc>
        <w:tc>
          <w:tcPr>
            <w:tcW w:w="1510" w:type="dxa"/>
            <w:noWrap w:val="0"/>
            <w:vAlign w:val="top"/>
          </w:tcPr>
          <w:p>
            <w:pPr>
              <w:keepNext w:val="0"/>
              <w:keepLines w:val="0"/>
              <w:pageBreakBefore w:val="0"/>
              <w:kinsoku/>
              <w:overflowPunct/>
              <w:topLinePunct w:val="0"/>
              <w:bidi w:val="0"/>
              <w:spacing w:line="400" w:lineRule="exact"/>
              <w:jc w:val="left"/>
              <w:rPr>
                <w:rFonts w:hint="eastAsia" w:ascii="宋体" w:hAnsi="宋体" w:cs="宋体"/>
                <w:color w:val="auto"/>
                <w:kern w:val="0"/>
                <w:highlight w:val="none"/>
              </w:rPr>
            </w:pPr>
            <w:r>
              <w:rPr>
                <w:rFonts w:hint="eastAsia" w:ascii="宋体" w:hAnsi="宋体" w:cs="宋体"/>
                <w:color w:val="auto"/>
                <w:kern w:val="0"/>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trPr>
        <w:tc>
          <w:tcPr>
            <w:tcW w:w="3137" w:type="dxa"/>
            <w:noWrap w:val="0"/>
            <w:vAlign w:val="center"/>
          </w:tcPr>
          <w:p>
            <w:pPr>
              <w:keepNext w:val="0"/>
              <w:keepLines w:val="0"/>
              <w:pageBreakBefore w:val="0"/>
              <w:kinsoku/>
              <w:overflowPunct/>
              <w:topLinePunct w:val="0"/>
              <w:bidi w:val="0"/>
              <w:spacing w:line="400" w:lineRule="exact"/>
              <w:jc w:val="left"/>
              <w:rPr>
                <w:rFonts w:hint="eastAsia" w:ascii="宋体" w:hAnsi="宋体" w:cs="宋体"/>
                <w:color w:val="auto"/>
                <w:kern w:val="0"/>
                <w:highlight w:val="none"/>
              </w:rPr>
            </w:pPr>
            <w:r>
              <w:rPr>
                <w:rFonts w:hint="eastAsia" w:ascii="宋体" w:hAnsi="宋体" w:cs="宋体"/>
                <w:color w:val="auto"/>
                <w:kern w:val="0"/>
                <w:highlight w:val="none"/>
              </w:rPr>
              <w:t>计入负债的优先股数量</w:t>
            </w:r>
          </w:p>
        </w:tc>
        <w:tc>
          <w:tcPr>
            <w:tcW w:w="1989" w:type="dxa"/>
            <w:noWrap w:val="0"/>
            <w:vAlign w:val="top"/>
          </w:tcPr>
          <w:p>
            <w:pPr>
              <w:keepNext w:val="0"/>
              <w:keepLines w:val="0"/>
              <w:pageBreakBefore w:val="0"/>
              <w:kinsoku/>
              <w:overflowPunct/>
              <w:topLinePunct w:val="0"/>
              <w:bidi w:val="0"/>
              <w:spacing w:line="400" w:lineRule="exact"/>
              <w:jc w:val="left"/>
              <w:rPr>
                <w:rFonts w:hint="eastAsia" w:ascii="宋体" w:hAnsi="宋体" w:cs="宋体"/>
                <w:color w:val="auto"/>
                <w:kern w:val="0"/>
                <w:highlight w:val="none"/>
              </w:rPr>
            </w:pPr>
            <w:r>
              <w:rPr>
                <w:rFonts w:hint="eastAsia" w:ascii="宋体" w:hAnsi="宋体" w:cs="宋体"/>
                <w:color w:val="auto"/>
                <w:kern w:val="0"/>
                <w:highlight w:val="none"/>
              </w:rPr>
              <w:t>0</w:t>
            </w:r>
          </w:p>
        </w:tc>
        <w:tc>
          <w:tcPr>
            <w:tcW w:w="1964" w:type="dxa"/>
            <w:noWrap w:val="0"/>
            <w:vAlign w:val="top"/>
          </w:tcPr>
          <w:p>
            <w:pPr>
              <w:keepNext w:val="0"/>
              <w:keepLines w:val="0"/>
              <w:pageBreakBefore w:val="0"/>
              <w:kinsoku/>
              <w:overflowPunct/>
              <w:topLinePunct w:val="0"/>
              <w:bidi w:val="0"/>
              <w:spacing w:line="400" w:lineRule="exact"/>
              <w:jc w:val="left"/>
              <w:rPr>
                <w:rFonts w:hint="eastAsia" w:ascii="宋体" w:hAnsi="宋体" w:cs="宋体"/>
                <w:color w:val="auto"/>
                <w:kern w:val="0"/>
                <w:highlight w:val="none"/>
              </w:rPr>
            </w:pPr>
            <w:r>
              <w:rPr>
                <w:rFonts w:hint="eastAsia" w:ascii="宋体" w:hAnsi="宋体" w:cs="宋体"/>
                <w:color w:val="auto"/>
                <w:kern w:val="0"/>
                <w:highlight w:val="none"/>
              </w:rPr>
              <w:t>0</w:t>
            </w:r>
          </w:p>
        </w:tc>
        <w:tc>
          <w:tcPr>
            <w:tcW w:w="1510" w:type="dxa"/>
            <w:noWrap w:val="0"/>
            <w:vAlign w:val="top"/>
          </w:tcPr>
          <w:p>
            <w:pPr>
              <w:keepNext w:val="0"/>
              <w:keepLines w:val="0"/>
              <w:pageBreakBefore w:val="0"/>
              <w:kinsoku/>
              <w:overflowPunct/>
              <w:topLinePunct w:val="0"/>
              <w:bidi w:val="0"/>
              <w:spacing w:line="400" w:lineRule="exact"/>
              <w:jc w:val="left"/>
              <w:rPr>
                <w:rFonts w:hint="eastAsia" w:ascii="宋体" w:hAnsi="宋体" w:cs="宋体"/>
                <w:color w:val="auto"/>
                <w:kern w:val="0"/>
                <w:highlight w:val="none"/>
              </w:rPr>
            </w:pPr>
            <w:r>
              <w:rPr>
                <w:rFonts w:hint="eastAsia" w:ascii="宋体" w:hAnsi="宋体" w:cs="宋体"/>
                <w:color w:val="auto"/>
                <w:kern w:val="0"/>
                <w:highlight w:val="none"/>
              </w:rPr>
              <w:t>0%</w:t>
            </w:r>
          </w:p>
        </w:tc>
      </w:tr>
    </w:tbl>
    <w:p>
      <w:pPr>
        <w:keepNext w:val="0"/>
        <w:keepLines w:val="0"/>
        <w:pageBreakBefore w:val="0"/>
        <w:kinsoku/>
        <w:overflowPunct/>
        <w:topLinePunct w:val="0"/>
        <w:bidi w:val="0"/>
        <w:spacing w:line="400" w:lineRule="exact"/>
        <w:jc w:val="left"/>
        <w:rPr>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b/>
          <w:bCs/>
          <w:color w:val="auto"/>
          <w:sz w:val="24"/>
          <w:szCs w:val="24"/>
          <w:highlight w:val="none"/>
        </w:rPr>
      </w:pPr>
      <w:r>
        <w:rPr>
          <w:rFonts w:hint="eastAsia"/>
          <w:b/>
          <w:bCs/>
          <w:color w:val="auto"/>
          <w:sz w:val="24"/>
          <w:szCs w:val="24"/>
          <w:highlight w:val="none"/>
        </w:rPr>
        <w:t>（六）</w:t>
      </w:r>
      <w:r>
        <w:rPr>
          <w:b/>
          <w:bCs/>
          <w:color w:val="auto"/>
          <w:sz w:val="24"/>
          <w:szCs w:val="24"/>
          <w:highlight w:val="none"/>
        </w:rPr>
        <w:t>境内外会计准则下会计数据差异</w:t>
      </w:r>
      <w:r>
        <w:rPr>
          <w:rFonts w:hint="eastAsia"/>
          <w:b/>
          <w:bCs/>
          <w:color w:val="auto"/>
          <w:sz w:val="24"/>
          <w:szCs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color w:val="auto"/>
          <w:highlight w:val="none"/>
        </w:rPr>
      </w:pPr>
      <w:r>
        <w:rPr>
          <w:rFonts w:hint="eastAsia"/>
          <w:color w:val="auto"/>
          <w:highlight w:val="none"/>
        </w:rPr>
        <w:t xml:space="preserve"> </w:t>
      </w:r>
      <w:r>
        <w:rPr>
          <w:color w:val="auto"/>
          <w:highlight w:val="none"/>
        </w:rPr>
        <w:t xml:space="preserve"> </w:t>
      </w:r>
      <w:r>
        <w:rPr>
          <w:rFonts w:hint="eastAsia"/>
          <w:color w:val="auto"/>
          <w:highlight w:val="none"/>
        </w:rPr>
        <w:t>不适用。</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b/>
          <w:bCs/>
          <w:color w:val="auto"/>
          <w:sz w:val="24"/>
          <w:szCs w:val="24"/>
          <w:highlight w:val="none"/>
        </w:rPr>
      </w:pPr>
      <w:r>
        <w:rPr>
          <w:rFonts w:hint="eastAsia"/>
          <w:b/>
          <w:bCs/>
          <w:color w:val="auto"/>
          <w:sz w:val="24"/>
          <w:szCs w:val="24"/>
          <w:highlight w:val="none"/>
        </w:rPr>
        <w:t>（七）</w:t>
      </w:r>
      <w:r>
        <w:rPr>
          <w:b/>
          <w:bCs/>
          <w:color w:val="auto"/>
          <w:sz w:val="24"/>
          <w:szCs w:val="24"/>
          <w:highlight w:val="none"/>
        </w:rPr>
        <w:t>非经常性损益项目及金额</w:t>
      </w:r>
    </w:p>
    <w:tbl>
      <w:tblPr>
        <w:tblStyle w:val="22"/>
        <w:tblW w:w="85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240"/>
        <w:gridCol w:w="23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6240" w:type="dxa"/>
            <w:tcBorders>
              <w:top w:val="nil"/>
              <w:left w:val="nil"/>
              <w:bottom w:val="single" w:color="auto" w:sz="4" w:space="0"/>
              <w:right w:val="nil"/>
            </w:tcBorders>
            <w:shd w:val="clear" w:color="auto" w:fill="auto"/>
            <w:tcMar>
              <w:top w:w="15" w:type="dxa"/>
              <w:left w:w="15" w:type="dxa"/>
              <w:right w:w="15" w:type="dxa"/>
            </w:tcMar>
            <w:vAlign w:val="center"/>
          </w:tcPr>
          <w:p>
            <w:pPr>
              <w:keepNext w:val="0"/>
              <w:keepLines w:val="0"/>
              <w:pageBreakBefore w:val="0"/>
              <w:kinsoku/>
              <w:overflowPunct/>
              <w:topLinePunct w:val="0"/>
              <w:bidi w:val="0"/>
              <w:spacing w:line="400" w:lineRule="exact"/>
              <w:jc w:val="left"/>
              <w:rPr>
                <w:rFonts w:hint="eastAsia" w:ascii="宋体" w:hAnsi="宋体" w:eastAsia="宋体" w:cs="宋体"/>
                <w:i w:val="0"/>
                <w:color w:val="auto"/>
                <w:sz w:val="20"/>
                <w:szCs w:val="20"/>
                <w:highlight w:val="none"/>
                <w:u w:val="none"/>
              </w:rPr>
            </w:pPr>
          </w:p>
        </w:tc>
        <w:tc>
          <w:tcPr>
            <w:tcW w:w="2310" w:type="dxa"/>
            <w:tcBorders>
              <w:top w:val="nil"/>
              <w:left w:val="nil"/>
              <w:bottom w:val="single" w:color="auto" w:sz="4" w:space="0"/>
              <w:right w:val="nil"/>
            </w:tcBorders>
            <w:shd w:val="clear" w:color="auto" w:fill="auto"/>
            <w:noWrap/>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单位：元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atLeast"/>
        </w:trPr>
        <w:tc>
          <w:tcPr>
            <w:tcW w:w="62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项目</w:t>
            </w:r>
          </w:p>
        </w:tc>
        <w:tc>
          <w:tcPr>
            <w:tcW w:w="231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62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0"/>
                <w:szCs w:val="20"/>
                <w:highlight w:val="none"/>
                <w:u w:val="none"/>
              </w:rPr>
            </w:pPr>
            <w:r>
              <w:rPr>
                <w:rFonts w:ascii="宋体" w:hAnsi="宋体" w:eastAsia="宋体" w:cs="宋体"/>
                <w:i w:val="0"/>
                <w:iCs w:val="0"/>
                <w:color w:val="auto"/>
                <w:kern w:val="0"/>
                <w:sz w:val="19"/>
                <w:szCs w:val="19"/>
                <w:highlight w:val="none"/>
                <w:u w:val="none"/>
                <w:lang w:val="en-US" w:eastAsia="zh-CN" w:bidi="ar"/>
              </w:rPr>
              <w:t>非流动性资产处置损益，包括已计提资产减值准备的冲销部分</w:t>
            </w:r>
          </w:p>
        </w:tc>
        <w:tc>
          <w:tcPr>
            <w:tcW w:w="231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0"/>
                <w:szCs w:val="20"/>
                <w:highlight w:val="none"/>
                <w:u w:val="none"/>
              </w:rPr>
            </w:pPr>
            <w:r>
              <w:rPr>
                <w:rFonts w:ascii="宋体" w:hAnsi="宋体" w:eastAsia="宋体" w:cs="宋体"/>
                <w:i w:val="0"/>
                <w:iCs w:val="0"/>
                <w:color w:val="auto"/>
                <w:kern w:val="0"/>
                <w:sz w:val="18"/>
                <w:szCs w:val="18"/>
                <w:highlight w:val="none"/>
                <w:u w:val="none"/>
                <w:lang w:val="en-US" w:eastAsia="zh-CN" w:bidi="ar"/>
              </w:rPr>
              <w:t>130,879,954.49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62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0"/>
                <w:szCs w:val="20"/>
                <w:highlight w:val="none"/>
                <w:u w:val="none"/>
              </w:rPr>
            </w:pPr>
            <w:r>
              <w:rPr>
                <w:rFonts w:ascii="宋体" w:hAnsi="宋体" w:eastAsia="宋体" w:cs="宋体"/>
                <w:i w:val="0"/>
                <w:iCs w:val="0"/>
                <w:color w:val="auto"/>
                <w:kern w:val="0"/>
                <w:sz w:val="19"/>
                <w:szCs w:val="19"/>
                <w:highlight w:val="none"/>
                <w:u w:val="none"/>
                <w:lang w:val="en-US" w:eastAsia="zh-CN" w:bidi="ar"/>
              </w:rPr>
              <w:t>计入当期损益的政府补助，但与公司正常经营业务密切相关、符合国家政策规定、按照确定的标准享有、对公司损益产生持续影响的政府补助除外</w:t>
            </w:r>
          </w:p>
        </w:tc>
        <w:tc>
          <w:tcPr>
            <w:tcW w:w="231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0"/>
                <w:szCs w:val="20"/>
                <w:highlight w:val="none"/>
                <w:u w:val="none"/>
              </w:rPr>
            </w:pPr>
            <w:r>
              <w:rPr>
                <w:rFonts w:ascii="宋体" w:hAnsi="宋体" w:eastAsia="宋体" w:cs="宋体"/>
                <w:i w:val="0"/>
                <w:iCs w:val="0"/>
                <w:color w:val="auto"/>
                <w:kern w:val="0"/>
                <w:sz w:val="18"/>
                <w:szCs w:val="18"/>
                <w:highlight w:val="none"/>
                <w:u w:val="none"/>
                <w:lang w:val="en-US" w:eastAsia="zh-CN" w:bidi="ar"/>
              </w:rPr>
              <w:t>325,473.00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atLeast"/>
        </w:trPr>
        <w:tc>
          <w:tcPr>
            <w:tcW w:w="62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0"/>
                <w:szCs w:val="20"/>
                <w:highlight w:val="none"/>
                <w:u w:val="none"/>
              </w:rPr>
            </w:pPr>
            <w:r>
              <w:rPr>
                <w:rFonts w:ascii="宋体" w:hAnsi="宋体" w:eastAsia="宋体" w:cs="宋体"/>
                <w:i w:val="0"/>
                <w:iCs w:val="0"/>
                <w:color w:val="auto"/>
                <w:kern w:val="0"/>
                <w:sz w:val="19"/>
                <w:szCs w:val="19"/>
                <w:highlight w:val="none"/>
                <w:u w:val="none"/>
                <w:lang w:val="en-US" w:eastAsia="zh-CN" w:bidi="ar"/>
              </w:rPr>
              <w:t>对外委托贷款取得的损益</w:t>
            </w:r>
          </w:p>
        </w:tc>
        <w:tc>
          <w:tcPr>
            <w:tcW w:w="231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0"/>
                <w:szCs w:val="20"/>
                <w:highlight w:val="none"/>
                <w:u w:val="none"/>
              </w:rPr>
            </w:pPr>
            <w:r>
              <w:rPr>
                <w:rFonts w:ascii="宋体" w:hAnsi="宋体" w:eastAsia="宋体" w:cs="宋体"/>
                <w:i w:val="0"/>
                <w:iCs w:val="0"/>
                <w:color w:val="auto"/>
                <w:kern w:val="0"/>
                <w:sz w:val="18"/>
                <w:szCs w:val="18"/>
                <w:highlight w:val="none"/>
                <w:u w:val="none"/>
                <w:lang w:val="en-US" w:eastAsia="zh-CN" w:bidi="ar"/>
              </w:rPr>
              <w:t>82,684,447.91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62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0"/>
                <w:szCs w:val="20"/>
                <w:highlight w:val="none"/>
                <w:u w:val="none"/>
              </w:rPr>
            </w:pPr>
            <w:r>
              <w:rPr>
                <w:rFonts w:ascii="宋体" w:hAnsi="宋体" w:eastAsia="宋体" w:cs="宋体"/>
                <w:i w:val="0"/>
                <w:iCs w:val="0"/>
                <w:color w:val="auto"/>
                <w:kern w:val="0"/>
                <w:sz w:val="19"/>
                <w:szCs w:val="19"/>
                <w:highlight w:val="none"/>
                <w:u w:val="none"/>
                <w:lang w:val="en-US" w:eastAsia="zh-CN" w:bidi="ar"/>
              </w:rPr>
              <w:t>采用公允价值模式进行后续计量的投资性房地产公允价值变动产生的损益</w:t>
            </w:r>
          </w:p>
        </w:tc>
        <w:tc>
          <w:tcPr>
            <w:tcW w:w="231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0"/>
                <w:szCs w:val="20"/>
                <w:highlight w:val="none"/>
                <w:u w:val="none"/>
              </w:rPr>
            </w:pPr>
            <w:r>
              <w:rPr>
                <w:rFonts w:ascii="宋体" w:hAnsi="宋体" w:eastAsia="宋体" w:cs="宋体"/>
                <w:i w:val="0"/>
                <w:iCs w:val="0"/>
                <w:color w:val="auto"/>
                <w:kern w:val="0"/>
                <w:sz w:val="18"/>
                <w:szCs w:val="18"/>
                <w:highlight w:val="none"/>
                <w:u w:val="none"/>
                <w:lang w:val="en-US" w:eastAsia="zh-CN" w:bidi="ar"/>
              </w:rPr>
              <w:t>-24,724,161.36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trPr>
        <w:tc>
          <w:tcPr>
            <w:tcW w:w="62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0"/>
                <w:szCs w:val="20"/>
                <w:highlight w:val="none"/>
                <w:u w:val="none"/>
              </w:rPr>
            </w:pPr>
            <w:r>
              <w:rPr>
                <w:rFonts w:ascii="宋体" w:hAnsi="宋体" w:eastAsia="宋体" w:cs="宋体"/>
                <w:i w:val="0"/>
                <w:iCs w:val="0"/>
                <w:color w:val="auto"/>
                <w:kern w:val="0"/>
                <w:sz w:val="19"/>
                <w:szCs w:val="19"/>
                <w:highlight w:val="none"/>
                <w:u w:val="none"/>
                <w:lang w:val="en-US" w:eastAsia="zh-CN" w:bidi="ar"/>
              </w:rPr>
              <w:t>除上述各项之外的其他营业外收入和支出</w:t>
            </w:r>
          </w:p>
        </w:tc>
        <w:tc>
          <w:tcPr>
            <w:tcW w:w="231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0"/>
                <w:szCs w:val="20"/>
                <w:highlight w:val="none"/>
                <w:u w:val="none"/>
              </w:rPr>
            </w:pPr>
            <w:r>
              <w:rPr>
                <w:rFonts w:ascii="宋体" w:hAnsi="宋体" w:eastAsia="宋体" w:cs="宋体"/>
                <w:i w:val="0"/>
                <w:iCs w:val="0"/>
                <w:color w:val="auto"/>
                <w:kern w:val="0"/>
                <w:sz w:val="18"/>
                <w:szCs w:val="18"/>
                <w:highlight w:val="none"/>
                <w:u w:val="none"/>
                <w:lang w:val="en-US" w:eastAsia="zh-CN" w:bidi="ar"/>
              </w:rPr>
              <w:t>-195,990,619.24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62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0"/>
                <w:szCs w:val="20"/>
                <w:highlight w:val="none"/>
                <w:u w:val="none"/>
              </w:rPr>
            </w:pPr>
            <w:r>
              <w:rPr>
                <w:rFonts w:ascii="宋体" w:hAnsi="宋体" w:eastAsia="宋体" w:cs="宋体"/>
                <w:i w:val="0"/>
                <w:iCs w:val="0"/>
                <w:color w:val="auto"/>
                <w:kern w:val="0"/>
                <w:sz w:val="19"/>
                <w:szCs w:val="19"/>
                <w:highlight w:val="none"/>
                <w:u w:val="none"/>
                <w:lang w:val="en-US" w:eastAsia="zh-CN" w:bidi="ar"/>
              </w:rPr>
              <w:t>其他符合非经常性损益定义的损益项目</w:t>
            </w:r>
          </w:p>
        </w:tc>
        <w:tc>
          <w:tcPr>
            <w:tcW w:w="231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0"/>
                <w:szCs w:val="20"/>
                <w:highlight w:val="none"/>
                <w:u w:val="none"/>
              </w:rPr>
            </w:pPr>
            <w:r>
              <w:rPr>
                <w:rFonts w:ascii="宋体" w:hAnsi="宋体" w:eastAsia="宋体" w:cs="宋体"/>
                <w:i w:val="0"/>
                <w:iCs w:val="0"/>
                <w:color w:val="auto"/>
                <w:kern w:val="0"/>
                <w:sz w:val="18"/>
                <w:szCs w:val="18"/>
                <w:highlight w:val="none"/>
                <w:u w:val="none"/>
                <w:lang w:val="en-US" w:eastAsia="zh-CN" w:bidi="ar"/>
              </w:rPr>
              <w:t>1,650,642,312.20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62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0"/>
                <w:szCs w:val="20"/>
                <w:highlight w:val="none"/>
                <w:u w:val="none"/>
              </w:rPr>
            </w:pPr>
            <w:r>
              <w:rPr>
                <w:rFonts w:ascii="宋体" w:hAnsi="宋体" w:eastAsia="宋体" w:cs="宋体"/>
                <w:i w:val="0"/>
                <w:iCs w:val="0"/>
                <w:color w:val="auto"/>
                <w:kern w:val="0"/>
                <w:sz w:val="19"/>
                <w:szCs w:val="19"/>
                <w:highlight w:val="none"/>
                <w:u w:val="none"/>
                <w:lang w:val="en-US" w:eastAsia="zh-CN" w:bidi="ar"/>
              </w:rPr>
              <w:t>非经常性损益合计</w:t>
            </w:r>
          </w:p>
        </w:tc>
        <w:tc>
          <w:tcPr>
            <w:tcW w:w="231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0"/>
                <w:szCs w:val="20"/>
                <w:highlight w:val="none"/>
                <w:u w:val="none"/>
              </w:rPr>
            </w:pPr>
            <w:r>
              <w:rPr>
                <w:rFonts w:ascii="宋体" w:hAnsi="宋体" w:eastAsia="宋体" w:cs="宋体"/>
                <w:i w:val="0"/>
                <w:iCs w:val="0"/>
                <w:color w:val="auto"/>
                <w:kern w:val="0"/>
                <w:sz w:val="18"/>
                <w:szCs w:val="18"/>
                <w:highlight w:val="none"/>
                <w:u w:val="none"/>
                <w:lang w:val="en-US" w:eastAsia="zh-CN" w:bidi="ar"/>
              </w:rPr>
              <w:t>1,643,817,407.00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62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0"/>
                <w:szCs w:val="20"/>
                <w:highlight w:val="none"/>
                <w:u w:val="none"/>
              </w:rPr>
            </w:pPr>
            <w:r>
              <w:rPr>
                <w:rFonts w:ascii="宋体" w:hAnsi="宋体" w:eastAsia="宋体" w:cs="宋体"/>
                <w:i w:val="0"/>
                <w:iCs w:val="0"/>
                <w:color w:val="auto"/>
                <w:kern w:val="0"/>
                <w:sz w:val="19"/>
                <w:szCs w:val="19"/>
                <w:highlight w:val="none"/>
                <w:u w:val="none"/>
                <w:lang w:val="en-US" w:eastAsia="zh-CN" w:bidi="ar"/>
              </w:rPr>
              <w:t>减：所得税影响额</w:t>
            </w:r>
          </w:p>
        </w:tc>
        <w:tc>
          <w:tcPr>
            <w:tcW w:w="231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0"/>
                <w:szCs w:val="20"/>
                <w:highlight w:val="none"/>
                <w:u w:val="none"/>
              </w:rPr>
            </w:pPr>
            <w:r>
              <w:rPr>
                <w:rFonts w:ascii="宋体" w:hAnsi="宋体" w:eastAsia="宋体" w:cs="宋体"/>
                <w:i w:val="0"/>
                <w:iCs w:val="0"/>
                <w:color w:val="auto"/>
                <w:kern w:val="0"/>
                <w:sz w:val="18"/>
                <w:szCs w:val="18"/>
                <w:highlight w:val="none"/>
                <w:u w:val="none"/>
                <w:lang w:val="en-US" w:eastAsia="zh-CN" w:bidi="ar"/>
              </w:rPr>
              <w:t>410,954,351.80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62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0"/>
                <w:szCs w:val="20"/>
                <w:highlight w:val="none"/>
                <w:u w:val="none"/>
              </w:rPr>
            </w:pPr>
            <w:r>
              <w:rPr>
                <w:rFonts w:ascii="宋体" w:hAnsi="宋体" w:eastAsia="宋体" w:cs="宋体"/>
                <w:i w:val="0"/>
                <w:iCs w:val="0"/>
                <w:color w:val="auto"/>
                <w:kern w:val="0"/>
                <w:sz w:val="19"/>
                <w:szCs w:val="19"/>
                <w:highlight w:val="none"/>
                <w:u w:val="none"/>
                <w:lang w:val="en-US" w:eastAsia="zh-CN" w:bidi="ar"/>
              </w:rPr>
              <w:t>非经常性损益净额</w:t>
            </w:r>
          </w:p>
        </w:tc>
        <w:tc>
          <w:tcPr>
            <w:tcW w:w="231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0"/>
                <w:szCs w:val="20"/>
                <w:highlight w:val="none"/>
                <w:u w:val="none"/>
              </w:rPr>
            </w:pPr>
            <w:r>
              <w:rPr>
                <w:rFonts w:ascii="宋体" w:hAnsi="宋体" w:eastAsia="宋体" w:cs="宋体"/>
                <w:i w:val="0"/>
                <w:iCs w:val="0"/>
                <w:color w:val="auto"/>
                <w:kern w:val="0"/>
                <w:sz w:val="18"/>
                <w:szCs w:val="18"/>
                <w:highlight w:val="none"/>
                <w:u w:val="none"/>
                <w:lang w:val="en-US" w:eastAsia="zh-CN" w:bidi="ar"/>
              </w:rPr>
              <w:t>1,232,863,055.20</w:t>
            </w:r>
          </w:p>
        </w:tc>
      </w:tr>
    </w:tbl>
    <w:p>
      <w:pPr>
        <w:keepNext w:val="0"/>
        <w:keepLines w:val="0"/>
        <w:pageBreakBefore w:val="0"/>
        <w:kinsoku/>
        <w:overflowPunct/>
        <w:topLinePunct w:val="0"/>
        <w:bidi w:val="0"/>
        <w:spacing w:line="400" w:lineRule="exact"/>
        <w:jc w:val="left"/>
        <w:rPr>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b/>
          <w:bCs/>
          <w:color w:val="auto"/>
          <w:sz w:val="24"/>
          <w:szCs w:val="24"/>
          <w:highlight w:val="none"/>
        </w:rPr>
      </w:pPr>
      <w:r>
        <w:rPr>
          <w:rFonts w:hint="eastAsia"/>
          <w:b/>
          <w:bCs/>
          <w:color w:val="auto"/>
          <w:sz w:val="24"/>
          <w:szCs w:val="24"/>
          <w:highlight w:val="none"/>
        </w:rPr>
        <w:t>二、</w:t>
      </w:r>
      <w:r>
        <w:rPr>
          <w:b/>
          <w:bCs/>
          <w:color w:val="auto"/>
          <w:sz w:val="24"/>
          <w:szCs w:val="24"/>
          <w:highlight w:val="none"/>
        </w:rPr>
        <w:t>主要经营情况回顾</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b/>
          <w:bCs/>
          <w:color w:val="auto"/>
          <w:sz w:val="24"/>
          <w:szCs w:val="24"/>
          <w:highlight w:val="none"/>
        </w:rPr>
      </w:pPr>
      <w:r>
        <w:rPr>
          <w:rFonts w:hint="eastAsia"/>
          <w:b/>
          <w:bCs/>
          <w:color w:val="auto"/>
          <w:sz w:val="24"/>
          <w:szCs w:val="24"/>
          <w:highlight w:val="none"/>
        </w:rPr>
        <w:t>（一）业务概要</w:t>
      </w:r>
    </w:p>
    <w:p>
      <w:pPr>
        <w:keepNext w:val="0"/>
        <w:keepLines w:val="0"/>
        <w:pageBreakBefore w:val="0"/>
        <w:kinsoku/>
        <w:overflowPunct/>
        <w:topLinePunct w:val="0"/>
        <w:bidi w:val="0"/>
        <w:spacing w:line="400" w:lineRule="exact"/>
        <w:ind w:firstLine="480" w:firstLineChars="200"/>
        <w:jc w:val="left"/>
        <w:rPr>
          <w:rFonts w:ascii="宋体" w:hAnsi="宋体"/>
          <w:color w:val="auto"/>
          <w:sz w:val="24"/>
          <w:szCs w:val="24"/>
          <w:highlight w:val="none"/>
        </w:rPr>
      </w:pPr>
      <w:r>
        <w:rPr>
          <w:rFonts w:hint="eastAsia" w:ascii="宋体" w:hAnsi="宋体"/>
          <w:color w:val="auto"/>
          <w:sz w:val="24"/>
          <w:szCs w:val="24"/>
          <w:highlight w:val="none"/>
        </w:rPr>
        <w:t>1</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公</w:t>
      </w:r>
      <w:r>
        <w:rPr>
          <w:rFonts w:ascii="宋体" w:hAnsi="宋体"/>
          <w:color w:val="auto"/>
          <w:sz w:val="24"/>
          <w:szCs w:val="24"/>
          <w:highlight w:val="none"/>
        </w:rPr>
        <w:t>司主营业务</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jc w:val="left"/>
        <w:textAlignment w:val="center"/>
        <w:rPr>
          <w:rFonts w:ascii="宋体" w:hAnsi="宋体"/>
          <w:color w:val="auto"/>
          <w:kern w:val="0"/>
          <w:sz w:val="24"/>
          <w:szCs w:val="24"/>
          <w:highlight w:val="none"/>
        </w:rPr>
      </w:pPr>
      <w:r>
        <w:rPr>
          <w:rFonts w:hint="eastAsia" w:ascii="宋体" w:hAnsi="宋体"/>
          <w:color w:val="auto"/>
          <w:kern w:val="0"/>
          <w:sz w:val="24"/>
          <w:szCs w:val="24"/>
          <w:highlight w:val="none"/>
        </w:rPr>
        <w:t>公司主要从事火电、水电、新能源发电等电力业务的</w:t>
      </w:r>
      <w:r>
        <w:rPr>
          <w:rFonts w:hint="eastAsia" w:ascii="宋体" w:hAnsi="宋体"/>
          <w:color w:val="auto"/>
          <w:kern w:val="0"/>
          <w:sz w:val="24"/>
          <w:szCs w:val="24"/>
          <w:highlight w:val="none"/>
          <w:lang w:val="en-US" w:eastAsia="zh-CN"/>
        </w:rPr>
        <w:t>投资、</w:t>
      </w:r>
      <w:r>
        <w:rPr>
          <w:rFonts w:hint="eastAsia" w:ascii="宋体" w:hAnsi="宋体"/>
          <w:color w:val="auto"/>
          <w:kern w:val="0"/>
          <w:sz w:val="24"/>
          <w:szCs w:val="24"/>
          <w:highlight w:val="none"/>
        </w:rPr>
        <w:t>运营及销售，同时涉及煤炭开采及销售、综合智慧能源、绿色交通服务、电站服务业</w:t>
      </w:r>
      <w:r>
        <w:rPr>
          <w:rFonts w:hint="eastAsia" w:ascii="宋体" w:hAnsi="宋体"/>
          <w:color w:val="auto"/>
          <w:kern w:val="0"/>
          <w:sz w:val="24"/>
          <w:szCs w:val="24"/>
          <w:highlight w:val="none"/>
          <w:lang w:eastAsia="zh-CN"/>
        </w:rPr>
        <w:t>、</w:t>
      </w:r>
      <w:r>
        <w:rPr>
          <w:rFonts w:hint="eastAsia" w:ascii="宋体" w:hAnsi="宋体"/>
          <w:color w:val="auto"/>
          <w:kern w:val="0"/>
          <w:sz w:val="24"/>
          <w:szCs w:val="24"/>
          <w:highlight w:val="none"/>
        </w:rPr>
        <w:t>物业管理等业务。</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宋体" w:hAnsi="宋体" w:cs="宋体"/>
          <w:b/>
          <w:color w:val="auto"/>
          <w:sz w:val="24"/>
          <w:szCs w:val="24"/>
          <w:highlight w:val="none"/>
        </w:rPr>
      </w:pPr>
      <w:r>
        <w:rPr>
          <w:rFonts w:hint="eastAsia"/>
          <w:b/>
          <w:color w:val="auto"/>
          <w:sz w:val="24"/>
          <w:szCs w:val="24"/>
          <w:highlight w:val="none"/>
        </w:rPr>
        <w:t>（二）财务分析</w:t>
      </w:r>
    </w:p>
    <w:p>
      <w:pPr>
        <w:pStyle w:val="15"/>
        <w:keepNext w:val="0"/>
        <w:keepLines w:val="0"/>
        <w:pageBreakBefore w:val="0"/>
        <w:numPr>
          <w:ilvl w:val="0"/>
          <w:numId w:val="0"/>
        </w:numPr>
        <w:kinsoku/>
        <w:overflowPunct/>
        <w:topLinePunct w:val="0"/>
        <w:bidi w:val="0"/>
        <w:spacing w:line="400" w:lineRule="exact"/>
        <w:ind w:left="480" w:leftChars="0"/>
        <w:jc w:val="left"/>
        <w:rPr>
          <w:rFonts w:hint="eastAsia" w:ascii="宋体" w:hAnsi="宋体" w:cs="宋体"/>
          <w:b w:val="0"/>
          <w:color w:val="auto"/>
          <w:sz w:val="24"/>
          <w:szCs w:val="24"/>
          <w:highlight w:val="none"/>
          <w:lang w:val="en-US" w:eastAsia="zh-CN"/>
        </w:rPr>
      </w:pPr>
      <w:r>
        <w:rPr>
          <w:rFonts w:hint="eastAsia" w:ascii="宋体" w:hAnsi="宋体" w:cs="宋体"/>
          <w:b w:val="0"/>
          <w:color w:val="auto"/>
          <w:sz w:val="24"/>
          <w:szCs w:val="24"/>
          <w:highlight w:val="none"/>
          <w:lang w:val="en-US" w:eastAsia="zh-CN"/>
        </w:rPr>
        <w:t>1.资产负债结构分析</w:t>
      </w:r>
    </w:p>
    <w:tbl>
      <w:tblPr>
        <w:tblStyle w:val="22"/>
        <w:tblW w:w="5050" w:type="pct"/>
        <w:tblInd w:w="-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271"/>
        <w:gridCol w:w="1814"/>
        <w:gridCol w:w="1441"/>
        <w:gridCol w:w="1814"/>
        <w:gridCol w:w="924"/>
        <w:gridCol w:w="11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754" w:type="pct"/>
            <w:tcBorders>
              <w:top w:val="nil"/>
              <w:left w:val="nil"/>
              <w:bottom w:val="single" w:color="auto" w:sz="4" w:space="0"/>
              <w:right w:val="nil"/>
            </w:tcBorders>
            <w:shd w:val="clear" w:color="auto" w:fill="auto"/>
            <w:tcMar>
              <w:top w:w="15" w:type="dxa"/>
              <w:left w:w="15" w:type="dxa"/>
              <w:right w:w="15" w:type="dxa"/>
            </w:tcMar>
            <w:vAlign w:val="center"/>
          </w:tcPr>
          <w:p>
            <w:pPr>
              <w:keepNext w:val="0"/>
              <w:keepLines w:val="0"/>
              <w:pageBreakBefore w:val="0"/>
              <w:kinsoku/>
              <w:overflowPunct/>
              <w:topLinePunct w:val="0"/>
              <w:bidi w:val="0"/>
              <w:spacing w:line="400" w:lineRule="exact"/>
              <w:jc w:val="left"/>
              <w:rPr>
                <w:rFonts w:hint="eastAsia" w:ascii="宋体" w:hAnsi="宋体" w:eastAsia="宋体" w:cs="宋体"/>
                <w:i w:val="0"/>
                <w:color w:val="auto"/>
                <w:sz w:val="24"/>
                <w:szCs w:val="24"/>
                <w:highlight w:val="none"/>
                <w:u w:val="none"/>
              </w:rPr>
            </w:pPr>
          </w:p>
        </w:tc>
        <w:tc>
          <w:tcPr>
            <w:tcW w:w="1076" w:type="pct"/>
            <w:tcBorders>
              <w:top w:val="nil"/>
              <w:left w:val="nil"/>
              <w:bottom w:val="single" w:color="auto" w:sz="4" w:space="0"/>
              <w:right w:val="nil"/>
            </w:tcBorders>
            <w:shd w:val="clear" w:color="auto" w:fill="auto"/>
            <w:noWrap/>
            <w:tcMar>
              <w:top w:w="15" w:type="dxa"/>
              <w:left w:w="15" w:type="dxa"/>
              <w:right w:w="15" w:type="dxa"/>
            </w:tcMar>
            <w:vAlign w:val="center"/>
          </w:tcPr>
          <w:p>
            <w:pPr>
              <w:keepNext w:val="0"/>
              <w:keepLines w:val="0"/>
              <w:pageBreakBefore w:val="0"/>
              <w:kinsoku/>
              <w:overflowPunct/>
              <w:topLinePunct w:val="0"/>
              <w:bidi w:val="0"/>
              <w:spacing w:line="400" w:lineRule="exact"/>
              <w:jc w:val="left"/>
              <w:rPr>
                <w:rFonts w:hint="eastAsia" w:ascii="宋体" w:hAnsi="宋体" w:eastAsia="宋体" w:cs="宋体"/>
                <w:i w:val="0"/>
                <w:color w:val="auto"/>
                <w:sz w:val="24"/>
                <w:szCs w:val="24"/>
                <w:highlight w:val="none"/>
                <w:u w:val="none"/>
              </w:rPr>
            </w:pPr>
          </w:p>
        </w:tc>
        <w:tc>
          <w:tcPr>
            <w:tcW w:w="854" w:type="pct"/>
            <w:tcBorders>
              <w:top w:val="nil"/>
              <w:left w:val="nil"/>
              <w:bottom w:val="single" w:color="auto" w:sz="4" w:space="0"/>
              <w:right w:val="nil"/>
            </w:tcBorders>
            <w:shd w:val="clear" w:color="auto" w:fill="auto"/>
            <w:noWrap/>
            <w:tcMar>
              <w:top w:w="15" w:type="dxa"/>
              <w:left w:w="15" w:type="dxa"/>
              <w:right w:w="15" w:type="dxa"/>
            </w:tcMar>
            <w:vAlign w:val="center"/>
          </w:tcPr>
          <w:p>
            <w:pPr>
              <w:keepNext w:val="0"/>
              <w:keepLines w:val="0"/>
              <w:pageBreakBefore w:val="0"/>
              <w:kinsoku/>
              <w:overflowPunct/>
              <w:topLinePunct w:val="0"/>
              <w:bidi w:val="0"/>
              <w:spacing w:line="400" w:lineRule="exact"/>
              <w:jc w:val="left"/>
              <w:rPr>
                <w:rFonts w:hint="eastAsia" w:ascii="宋体" w:hAnsi="宋体" w:eastAsia="宋体" w:cs="宋体"/>
                <w:i w:val="0"/>
                <w:color w:val="auto"/>
                <w:sz w:val="24"/>
                <w:szCs w:val="24"/>
                <w:highlight w:val="none"/>
                <w:u w:val="none"/>
              </w:rPr>
            </w:pPr>
          </w:p>
        </w:tc>
        <w:tc>
          <w:tcPr>
            <w:tcW w:w="1076" w:type="pct"/>
            <w:tcBorders>
              <w:top w:val="nil"/>
              <w:left w:val="nil"/>
              <w:bottom w:val="single" w:color="auto" w:sz="4" w:space="0"/>
              <w:right w:val="nil"/>
            </w:tcBorders>
            <w:shd w:val="clear" w:color="auto" w:fill="auto"/>
            <w:noWrap/>
            <w:tcMar>
              <w:top w:w="15" w:type="dxa"/>
              <w:left w:w="15" w:type="dxa"/>
              <w:right w:w="15" w:type="dxa"/>
            </w:tcMar>
            <w:vAlign w:val="center"/>
          </w:tcPr>
          <w:p>
            <w:pPr>
              <w:keepNext w:val="0"/>
              <w:keepLines w:val="0"/>
              <w:pageBreakBefore w:val="0"/>
              <w:kinsoku/>
              <w:overflowPunct/>
              <w:topLinePunct w:val="0"/>
              <w:bidi w:val="0"/>
              <w:spacing w:line="400" w:lineRule="exact"/>
              <w:jc w:val="left"/>
              <w:rPr>
                <w:rFonts w:hint="eastAsia" w:ascii="宋体" w:hAnsi="宋体" w:eastAsia="宋体" w:cs="宋体"/>
                <w:i w:val="0"/>
                <w:color w:val="auto"/>
                <w:sz w:val="24"/>
                <w:szCs w:val="24"/>
                <w:highlight w:val="none"/>
                <w:u w:val="none"/>
              </w:rPr>
            </w:pPr>
          </w:p>
        </w:tc>
        <w:tc>
          <w:tcPr>
            <w:tcW w:w="548" w:type="pct"/>
            <w:tcBorders>
              <w:top w:val="nil"/>
              <w:left w:val="nil"/>
              <w:bottom w:val="single" w:color="auto" w:sz="4" w:space="0"/>
              <w:right w:val="nil"/>
            </w:tcBorders>
            <w:shd w:val="clear" w:color="auto" w:fill="auto"/>
            <w:noWrap/>
            <w:tcMar>
              <w:top w:w="15" w:type="dxa"/>
              <w:left w:w="15" w:type="dxa"/>
              <w:right w:w="15" w:type="dxa"/>
            </w:tcMar>
            <w:vAlign w:val="center"/>
          </w:tcPr>
          <w:p>
            <w:pPr>
              <w:keepNext w:val="0"/>
              <w:keepLines w:val="0"/>
              <w:pageBreakBefore w:val="0"/>
              <w:kinsoku/>
              <w:overflowPunct/>
              <w:topLinePunct w:val="0"/>
              <w:bidi w:val="0"/>
              <w:spacing w:line="400" w:lineRule="exact"/>
              <w:jc w:val="left"/>
              <w:rPr>
                <w:rFonts w:hint="eastAsia" w:ascii="宋体" w:hAnsi="宋体" w:eastAsia="宋体" w:cs="宋体"/>
                <w:i w:val="0"/>
                <w:color w:val="auto"/>
                <w:sz w:val="24"/>
                <w:szCs w:val="24"/>
                <w:highlight w:val="none"/>
                <w:u w:val="none"/>
              </w:rPr>
            </w:pPr>
          </w:p>
        </w:tc>
        <w:tc>
          <w:tcPr>
            <w:tcW w:w="689" w:type="pct"/>
            <w:tcBorders>
              <w:top w:val="nil"/>
              <w:left w:val="nil"/>
              <w:bottom w:val="single" w:color="auto" w:sz="4" w:space="0"/>
              <w:right w:val="nil"/>
            </w:tcBorders>
            <w:shd w:val="clear" w:color="auto" w:fill="auto"/>
            <w:noWrap/>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单位：元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754"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项目</w:t>
            </w:r>
          </w:p>
        </w:tc>
        <w:tc>
          <w:tcPr>
            <w:tcW w:w="1931"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本期期末</w:t>
            </w:r>
          </w:p>
        </w:tc>
        <w:tc>
          <w:tcPr>
            <w:tcW w:w="1624"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上年期末</w:t>
            </w:r>
          </w:p>
        </w:tc>
        <w:tc>
          <w:tcPr>
            <w:tcW w:w="689"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增减变动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trPr>
        <w:tc>
          <w:tcPr>
            <w:tcW w:w="754"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overflowPunct/>
              <w:topLinePunct w:val="0"/>
              <w:bidi w:val="0"/>
              <w:spacing w:line="400" w:lineRule="exact"/>
              <w:jc w:val="left"/>
              <w:rPr>
                <w:rFonts w:hint="eastAsia" w:ascii="宋体" w:hAnsi="宋体" w:eastAsia="宋体" w:cs="宋体"/>
                <w:i w:val="0"/>
                <w:color w:val="auto"/>
                <w:sz w:val="21"/>
                <w:szCs w:val="21"/>
                <w:highlight w:val="none"/>
                <w:u w:val="none"/>
              </w:rPr>
            </w:pPr>
          </w:p>
        </w:tc>
        <w:tc>
          <w:tcPr>
            <w:tcW w:w="107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金额</w:t>
            </w:r>
          </w:p>
        </w:tc>
        <w:tc>
          <w:tcPr>
            <w:tcW w:w="8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 xml:space="preserve"> 占总资产的比重% </w:t>
            </w:r>
          </w:p>
        </w:tc>
        <w:tc>
          <w:tcPr>
            <w:tcW w:w="107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金额</w:t>
            </w:r>
          </w:p>
        </w:tc>
        <w:tc>
          <w:tcPr>
            <w:tcW w:w="54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占总资产的比重%</w:t>
            </w:r>
          </w:p>
        </w:tc>
        <w:tc>
          <w:tcPr>
            <w:tcW w:w="689"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overflowPunct/>
              <w:topLinePunct w:val="0"/>
              <w:bidi w:val="0"/>
              <w:spacing w:line="400" w:lineRule="exact"/>
              <w:jc w:val="left"/>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7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货币资金</w:t>
            </w:r>
          </w:p>
        </w:tc>
        <w:tc>
          <w:tcPr>
            <w:tcW w:w="107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1,470,659,019.30</w:t>
            </w:r>
          </w:p>
        </w:tc>
        <w:tc>
          <w:tcPr>
            <w:tcW w:w="8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1.99%</w:t>
            </w:r>
          </w:p>
        </w:tc>
        <w:tc>
          <w:tcPr>
            <w:tcW w:w="107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1,068,115,348.52</w:t>
            </w:r>
          </w:p>
        </w:tc>
        <w:tc>
          <w:tcPr>
            <w:tcW w:w="54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1.51%</w:t>
            </w:r>
          </w:p>
        </w:tc>
        <w:tc>
          <w:tcPr>
            <w:tcW w:w="68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37.69%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7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应收票据</w:t>
            </w:r>
          </w:p>
        </w:tc>
        <w:tc>
          <w:tcPr>
            <w:tcW w:w="107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109,893,330.14</w:t>
            </w:r>
          </w:p>
        </w:tc>
        <w:tc>
          <w:tcPr>
            <w:tcW w:w="8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0.15%</w:t>
            </w:r>
          </w:p>
        </w:tc>
        <w:tc>
          <w:tcPr>
            <w:tcW w:w="107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21,145,366.38</w:t>
            </w:r>
          </w:p>
        </w:tc>
        <w:tc>
          <w:tcPr>
            <w:tcW w:w="54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0.03%</w:t>
            </w:r>
          </w:p>
        </w:tc>
        <w:tc>
          <w:tcPr>
            <w:tcW w:w="68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419.70%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7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应收账款</w:t>
            </w:r>
          </w:p>
        </w:tc>
        <w:tc>
          <w:tcPr>
            <w:tcW w:w="107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5,726,917,640.19</w:t>
            </w:r>
          </w:p>
        </w:tc>
        <w:tc>
          <w:tcPr>
            <w:tcW w:w="8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7.74%</w:t>
            </w:r>
          </w:p>
        </w:tc>
        <w:tc>
          <w:tcPr>
            <w:tcW w:w="107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4,851,082,613.23</w:t>
            </w:r>
          </w:p>
        </w:tc>
        <w:tc>
          <w:tcPr>
            <w:tcW w:w="54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6.86%</w:t>
            </w:r>
          </w:p>
        </w:tc>
        <w:tc>
          <w:tcPr>
            <w:tcW w:w="68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18.05%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7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存货</w:t>
            </w:r>
          </w:p>
        </w:tc>
        <w:tc>
          <w:tcPr>
            <w:tcW w:w="107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1,247,630,630.33</w:t>
            </w:r>
          </w:p>
        </w:tc>
        <w:tc>
          <w:tcPr>
            <w:tcW w:w="8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1.69%</w:t>
            </w:r>
          </w:p>
        </w:tc>
        <w:tc>
          <w:tcPr>
            <w:tcW w:w="107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1,513,748,065.72</w:t>
            </w:r>
          </w:p>
        </w:tc>
        <w:tc>
          <w:tcPr>
            <w:tcW w:w="54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2.14%</w:t>
            </w:r>
          </w:p>
        </w:tc>
        <w:tc>
          <w:tcPr>
            <w:tcW w:w="68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-17.58%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7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投资性房地产</w:t>
            </w:r>
          </w:p>
        </w:tc>
        <w:tc>
          <w:tcPr>
            <w:tcW w:w="107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974,998,444.58</w:t>
            </w:r>
          </w:p>
        </w:tc>
        <w:tc>
          <w:tcPr>
            <w:tcW w:w="8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1.32%</w:t>
            </w:r>
          </w:p>
        </w:tc>
        <w:tc>
          <w:tcPr>
            <w:tcW w:w="107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999,945,225.79</w:t>
            </w:r>
          </w:p>
        </w:tc>
        <w:tc>
          <w:tcPr>
            <w:tcW w:w="54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1.41%</w:t>
            </w:r>
          </w:p>
        </w:tc>
        <w:tc>
          <w:tcPr>
            <w:tcW w:w="68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-2.49%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7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长期股权投资</w:t>
            </w:r>
          </w:p>
        </w:tc>
        <w:tc>
          <w:tcPr>
            <w:tcW w:w="107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1,741,604,559.28</w:t>
            </w:r>
          </w:p>
        </w:tc>
        <w:tc>
          <w:tcPr>
            <w:tcW w:w="8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2.35%</w:t>
            </w:r>
          </w:p>
        </w:tc>
        <w:tc>
          <w:tcPr>
            <w:tcW w:w="107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1,340,675,272.29</w:t>
            </w:r>
          </w:p>
        </w:tc>
        <w:tc>
          <w:tcPr>
            <w:tcW w:w="54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1.90%</w:t>
            </w:r>
          </w:p>
        </w:tc>
        <w:tc>
          <w:tcPr>
            <w:tcW w:w="68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29.91%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7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固定资产</w:t>
            </w:r>
          </w:p>
        </w:tc>
        <w:tc>
          <w:tcPr>
            <w:tcW w:w="107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43,967,409,151.61</w:t>
            </w:r>
          </w:p>
        </w:tc>
        <w:tc>
          <w:tcPr>
            <w:tcW w:w="8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59.42%</w:t>
            </w:r>
          </w:p>
        </w:tc>
        <w:tc>
          <w:tcPr>
            <w:tcW w:w="107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41,582,044,069.31</w:t>
            </w:r>
          </w:p>
        </w:tc>
        <w:tc>
          <w:tcPr>
            <w:tcW w:w="54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58.81%</w:t>
            </w:r>
          </w:p>
        </w:tc>
        <w:tc>
          <w:tcPr>
            <w:tcW w:w="68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5.74%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7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在建工程</w:t>
            </w:r>
          </w:p>
        </w:tc>
        <w:tc>
          <w:tcPr>
            <w:tcW w:w="107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4,572,870,572.56</w:t>
            </w:r>
          </w:p>
        </w:tc>
        <w:tc>
          <w:tcPr>
            <w:tcW w:w="8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6.18%</w:t>
            </w:r>
          </w:p>
        </w:tc>
        <w:tc>
          <w:tcPr>
            <w:tcW w:w="107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5,398,525,880.53</w:t>
            </w:r>
          </w:p>
        </w:tc>
        <w:tc>
          <w:tcPr>
            <w:tcW w:w="54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7.64%</w:t>
            </w:r>
          </w:p>
        </w:tc>
        <w:tc>
          <w:tcPr>
            <w:tcW w:w="68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-15.29%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7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无形资产</w:t>
            </w:r>
          </w:p>
        </w:tc>
        <w:tc>
          <w:tcPr>
            <w:tcW w:w="107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1,047,272,775.79</w:t>
            </w:r>
          </w:p>
        </w:tc>
        <w:tc>
          <w:tcPr>
            <w:tcW w:w="8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1.42%</w:t>
            </w:r>
          </w:p>
        </w:tc>
        <w:tc>
          <w:tcPr>
            <w:tcW w:w="107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1,403,309,875.18</w:t>
            </w:r>
          </w:p>
        </w:tc>
        <w:tc>
          <w:tcPr>
            <w:tcW w:w="54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1.98%</w:t>
            </w:r>
          </w:p>
        </w:tc>
        <w:tc>
          <w:tcPr>
            <w:tcW w:w="68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-25.37%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7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商誉</w:t>
            </w:r>
          </w:p>
        </w:tc>
        <w:tc>
          <w:tcPr>
            <w:tcW w:w="107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0</w:t>
            </w:r>
          </w:p>
        </w:tc>
        <w:tc>
          <w:tcPr>
            <w:tcW w:w="8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0</w:t>
            </w:r>
          </w:p>
        </w:tc>
        <w:tc>
          <w:tcPr>
            <w:tcW w:w="107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0</w:t>
            </w:r>
          </w:p>
        </w:tc>
        <w:tc>
          <w:tcPr>
            <w:tcW w:w="54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0</w:t>
            </w:r>
          </w:p>
        </w:tc>
        <w:tc>
          <w:tcPr>
            <w:tcW w:w="68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7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短期借款</w:t>
            </w:r>
          </w:p>
        </w:tc>
        <w:tc>
          <w:tcPr>
            <w:tcW w:w="107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8,301,400,836.00</w:t>
            </w:r>
          </w:p>
        </w:tc>
        <w:tc>
          <w:tcPr>
            <w:tcW w:w="8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overflowPunct/>
              <w:topLinePunct w:val="0"/>
              <w:bidi w:val="0"/>
              <w:spacing w:line="400" w:lineRule="exact"/>
              <w:jc w:val="left"/>
              <w:rPr>
                <w:rFonts w:hint="eastAsia" w:ascii="宋体" w:hAnsi="宋体" w:eastAsia="宋体" w:cs="宋体"/>
                <w:i w:val="0"/>
                <w:color w:val="auto"/>
                <w:sz w:val="21"/>
                <w:szCs w:val="21"/>
                <w:highlight w:val="none"/>
                <w:u w:val="none"/>
              </w:rPr>
            </w:pPr>
          </w:p>
        </w:tc>
        <w:tc>
          <w:tcPr>
            <w:tcW w:w="107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11,106,638,741.87</w:t>
            </w:r>
          </w:p>
        </w:tc>
        <w:tc>
          <w:tcPr>
            <w:tcW w:w="54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p>
        </w:tc>
        <w:tc>
          <w:tcPr>
            <w:tcW w:w="68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-25.26%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7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长期借款</w:t>
            </w:r>
          </w:p>
        </w:tc>
        <w:tc>
          <w:tcPr>
            <w:tcW w:w="107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28,488,713,773.26</w:t>
            </w:r>
          </w:p>
        </w:tc>
        <w:tc>
          <w:tcPr>
            <w:tcW w:w="8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overflowPunct/>
              <w:topLinePunct w:val="0"/>
              <w:bidi w:val="0"/>
              <w:spacing w:line="400" w:lineRule="exact"/>
              <w:jc w:val="left"/>
              <w:rPr>
                <w:rFonts w:hint="eastAsia" w:ascii="宋体" w:hAnsi="宋体" w:eastAsia="宋体" w:cs="宋体"/>
                <w:i w:val="0"/>
                <w:color w:val="auto"/>
                <w:sz w:val="21"/>
                <w:szCs w:val="21"/>
                <w:highlight w:val="none"/>
                <w:u w:val="none"/>
              </w:rPr>
            </w:pPr>
          </w:p>
        </w:tc>
        <w:tc>
          <w:tcPr>
            <w:tcW w:w="107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26,571,213,197.28</w:t>
            </w:r>
          </w:p>
        </w:tc>
        <w:tc>
          <w:tcPr>
            <w:tcW w:w="54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p>
        </w:tc>
        <w:tc>
          <w:tcPr>
            <w:tcW w:w="68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7.22%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7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资产合计</w:t>
            </w:r>
          </w:p>
        </w:tc>
        <w:tc>
          <w:tcPr>
            <w:tcW w:w="107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73,992,875,461.15</w:t>
            </w:r>
          </w:p>
        </w:tc>
        <w:tc>
          <w:tcPr>
            <w:tcW w:w="8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cs="宋体"/>
                <w:i w:val="0"/>
                <w:iCs w:val="0"/>
                <w:color w:val="auto"/>
                <w:kern w:val="0"/>
                <w:sz w:val="20"/>
                <w:szCs w:val="20"/>
                <w:highlight w:val="none"/>
                <w:u w:val="none"/>
                <w:lang w:val="en-US" w:eastAsia="zh-CN" w:bidi="ar"/>
              </w:rPr>
              <w:t>100%</w:t>
            </w:r>
          </w:p>
        </w:tc>
        <w:tc>
          <w:tcPr>
            <w:tcW w:w="107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color w:val="auto"/>
                <w:kern w:val="0"/>
                <w:sz w:val="20"/>
                <w:szCs w:val="20"/>
                <w:highlight w:val="none"/>
                <w:u w:val="none"/>
                <w:lang w:val="en-US" w:eastAsia="zh-CN" w:bidi="ar"/>
              </w:rPr>
              <w:t>70,704,234,711.23</w:t>
            </w:r>
          </w:p>
        </w:tc>
        <w:tc>
          <w:tcPr>
            <w:tcW w:w="54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cs="宋体"/>
                <w:i w:val="0"/>
                <w:iCs w:val="0"/>
                <w:color w:val="auto"/>
                <w:kern w:val="0"/>
                <w:sz w:val="20"/>
                <w:szCs w:val="20"/>
                <w:highlight w:val="none"/>
                <w:u w:val="none"/>
                <w:lang w:val="en-US" w:eastAsia="zh-CN" w:bidi="ar"/>
              </w:rPr>
              <w:t>100%</w:t>
            </w:r>
            <w:r>
              <w:rPr>
                <w:rFonts w:hint="eastAsia" w:ascii="宋体" w:hAnsi="宋体" w:eastAsia="宋体" w:cs="宋体"/>
                <w:i w:val="0"/>
                <w:color w:val="auto"/>
                <w:kern w:val="0"/>
                <w:sz w:val="20"/>
                <w:szCs w:val="20"/>
                <w:highlight w:val="none"/>
                <w:u w:val="none"/>
                <w:lang w:val="en-US" w:eastAsia="zh-CN" w:bidi="ar"/>
              </w:rPr>
              <w:t xml:space="preserve"> </w:t>
            </w:r>
          </w:p>
        </w:tc>
        <w:tc>
          <w:tcPr>
            <w:tcW w:w="68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4.65%</w:t>
            </w:r>
          </w:p>
        </w:tc>
      </w:tr>
    </w:tbl>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color w:val="auto"/>
          <w:kern w:val="0"/>
          <w:sz w:val="24"/>
          <w:szCs w:val="24"/>
          <w:highlight w:val="none"/>
        </w:rPr>
      </w:pPr>
      <w:r>
        <w:rPr>
          <w:rFonts w:hint="eastAsia"/>
          <w:color w:val="auto"/>
          <w:kern w:val="0"/>
          <w:sz w:val="24"/>
          <w:szCs w:val="24"/>
          <w:highlight w:val="none"/>
        </w:rPr>
        <w:t>项目重大变动原因：</w:t>
      </w:r>
    </w:p>
    <w:p>
      <w:pPr>
        <w:keepNext w:val="0"/>
        <w:keepLines w:val="0"/>
        <w:pageBreakBefore w:val="0"/>
        <w:numPr>
          <w:ilvl w:val="0"/>
          <w:numId w:val="0"/>
        </w:numPr>
        <w:kinsoku/>
        <w:overflowPunct/>
        <w:topLinePunct w:val="0"/>
        <w:autoSpaceDE w:val="0"/>
        <w:autoSpaceDN w:val="0"/>
        <w:bidi w:val="0"/>
        <w:adjustRightInd w:val="0"/>
        <w:spacing w:line="400" w:lineRule="exact"/>
        <w:ind w:firstLine="480" w:firstLineChars="200"/>
        <w:jc w:val="left"/>
        <w:textAlignment w:val="center"/>
        <w:rPr>
          <w:rFonts w:hint="eastAsia" w:ascii="宋体" w:hAnsi="宋体" w:cs="宋体"/>
          <w:b w:val="0"/>
          <w:bCs w:val="0"/>
          <w:color w:val="auto"/>
          <w:sz w:val="24"/>
          <w:szCs w:val="24"/>
          <w:highlight w:val="none"/>
          <w:lang w:val="en-US" w:eastAsia="zh-CN"/>
        </w:rPr>
      </w:pP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b w:val="0"/>
          <w:bCs w:val="0"/>
          <w:color w:val="auto"/>
          <w:sz w:val="24"/>
          <w:szCs w:val="24"/>
          <w:highlight w:val="none"/>
          <w:lang w:val="en-US" w:eastAsia="zh-CN"/>
        </w:rPr>
        <w:t xml:space="preserve">货币资金  </w:t>
      </w:r>
    </w:p>
    <w:p>
      <w:pPr>
        <w:keepNext w:val="0"/>
        <w:keepLines w:val="0"/>
        <w:pageBreakBefore w:val="0"/>
        <w:kinsoku/>
        <w:overflowPunct/>
        <w:topLinePunct w:val="0"/>
        <w:autoSpaceDE w:val="0"/>
        <w:autoSpaceDN w:val="0"/>
        <w:bidi w:val="0"/>
        <w:adjustRightInd w:val="0"/>
        <w:spacing w:line="400" w:lineRule="exact"/>
        <w:ind w:firstLine="480" w:firstLineChars="200"/>
        <w:jc w:val="left"/>
        <w:textAlignment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eastAsia="zh-CN"/>
        </w:rPr>
        <w:t>公司</w:t>
      </w:r>
      <w:r>
        <w:rPr>
          <w:rFonts w:hint="eastAsia" w:ascii="宋体" w:hAnsi="宋体" w:eastAsia="宋体" w:cs="宋体"/>
          <w:color w:val="auto"/>
          <w:kern w:val="0"/>
          <w:sz w:val="24"/>
          <w:szCs w:val="24"/>
          <w:highlight w:val="none"/>
          <w:lang w:val="en-US" w:eastAsia="zh-CN"/>
        </w:rPr>
        <w:t>202</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lang w:val="en-US" w:eastAsia="zh-CN"/>
        </w:rPr>
        <w:t>年年末</w:t>
      </w:r>
      <w:r>
        <w:rPr>
          <w:rFonts w:hint="eastAsia" w:ascii="宋体" w:hAnsi="宋体" w:cs="宋体"/>
          <w:b w:val="0"/>
          <w:bCs w:val="0"/>
          <w:color w:val="auto"/>
          <w:sz w:val="24"/>
          <w:szCs w:val="24"/>
          <w:highlight w:val="none"/>
          <w:lang w:val="en-US" w:eastAsia="zh-CN"/>
        </w:rPr>
        <w:t>货币资金</w:t>
      </w:r>
      <w:r>
        <w:rPr>
          <w:rFonts w:hint="eastAsia" w:ascii="宋体" w:hAnsi="宋体" w:eastAsia="宋体" w:cs="宋体"/>
          <w:i w:val="0"/>
          <w:iCs w:val="0"/>
          <w:color w:val="auto"/>
          <w:kern w:val="2"/>
          <w:sz w:val="24"/>
          <w:szCs w:val="24"/>
          <w:highlight w:val="none"/>
          <w:u w:val="none"/>
          <w:lang w:val="en-US" w:eastAsia="zh-CN" w:bidi="ar"/>
        </w:rPr>
        <w:t>1,470,659,019.30</w:t>
      </w:r>
      <w:r>
        <w:rPr>
          <w:rFonts w:hint="eastAsia" w:ascii="宋体" w:hAnsi="宋体" w:eastAsia="宋体" w:cs="宋体"/>
          <w:color w:val="auto"/>
          <w:kern w:val="2"/>
          <w:sz w:val="24"/>
          <w:szCs w:val="24"/>
          <w:highlight w:val="none"/>
          <w:lang w:eastAsia="zh-CN"/>
        </w:rPr>
        <w:t>元</w:t>
      </w:r>
      <w:r>
        <w:rPr>
          <w:rFonts w:hint="eastAsia" w:ascii="宋体" w:hAnsi="宋体" w:cs="宋体"/>
          <w:color w:val="auto"/>
          <w:kern w:val="2"/>
          <w:sz w:val="24"/>
          <w:szCs w:val="24"/>
          <w:highlight w:val="none"/>
          <w:lang w:eastAsia="zh-CN"/>
        </w:rPr>
        <w:t>，</w:t>
      </w:r>
      <w:r>
        <w:rPr>
          <w:rFonts w:hint="eastAsia" w:ascii="宋体" w:hAnsi="宋体" w:eastAsia="宋体" w:cs="宋体"/>
          <w:color w:val="auto"/>
          <w:kern w:val="0"/>
          <w:sz w:val="24"/>
          <w:szCs w:val="24"/>
          <w:highlight w:val="none"/>
          <w:lang w:eastAsia="zh-CN"/>
        </w:rPr>
        <w:t>同比</w:t>
      </w:r>
      <w:r>
        <w:rPr>
          <w:rFonts w:hint="eastAsia" w:ascii="宋体" w:hAnsi="宋体" w:cs="宋体"/>
          <w:color w:val="auto"/>
          <w:kern w:val="0"/>
          <w:sz w:val="24"/>
          <w:szCs w:val="24"/>
          <w:highlight w:val="none"/>
          <w:lang w:val="en-US" w:eastAsia="zh-CN"/>
        </w:rPr>
        <w:t>增加</w:t>
      </w:r>
      <w:r>
        <w:rPr>
          <w:rFonts w:hint="eastAsia" w:ascii="宋体" w:hAnsi="宋体" w:eastAsia="宋体" w:cs="宋体"/>
          <w:color w:val="auto"/>
          <w:kern w:val="0"/>
          <w:sz w:val="24"/>
          <w:szCs w:val="24"/>
          <w:highlight w:val="none"/>
          <w:lang w:eastAsia="zh-CN"/>
        </w:rPr>
        <w:t>402</w:t>
      </w:r>
      <w:r>
        <w:rPr>
          <w:rFonts w:hint="eastAsia" w:ascii="宋体" w:hAnsi="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lang w:eastAsia="zh-CN"/>
        </w:rPr>
        <w:t>543</w:t>
      </w:r>
      <w:r>
        <w:rPr>
          <w:rFonts w:hint="eastAsia" w:ascii="宋体" w:hAnsi="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lang w:eastAsia="zh-CN"/>
        </w:rPr>
        <w:t>670.78</w:t>
      </w:r>
      <w:r>
        <w:rPr>
          <w:rFonts w:hint="eastAsia" w:ascii="宋体" w:hAnsi="宋体" w:eastAsia="宋体" w:cs="宋体"/>
          <w:color w:val="auto"/>
          <w:kern w:val="0"/>
          <w:sz w:val="24"/>
          <w:szCs w:val="24"/>
          <w:highlight w:val="none"/>
          <w:lang w:val="en-US" w:eastAsia="zh-CN"/>
        </w:rPr>
        <w:t>元，</w:t>
      </w:r>
      <w:r>
        <w:rPr>
          <w:rFonts w:hint="eastAsia" w:ascii="宋体" w:hAnsi="宋体" w:cs="宋体"/>
          <w:color w:val="auto"/>
          <w:kern w:val="0"/>
          <w:sz w:val="24"/>
          <w:szCs w:val="24"/>
          <w:highlight w:val="none"/>
          <w:lang w:val="en-US" w:eastAsia="zh-CN"/>
        </w:rPr>
        <w:t>增</w:t>
      </w:r>
      <w:r>
        <w:rPr>
          <w:rFonts w:hint="eastAsia" w:ascii="宋体" w:hAnsi="宋体" w:eastAsia="宋体" w:cs="宋体"/>
          <w:color w:val="auto"/>
          <w:kern w:val="0"/>
          <w:sz w:val="24"/>
          <w:szCs w:val="24"/>
          <w:highlight w:val="none"/>
          <w:lang w:val="en-US" w:eastAsia="zh-CN"/>
        </w:rPr>
        <w:t>幅</w:t>
      </w:r>
      <w:r>
        <w:rPr>
          <w:rFonts w:hint="eastAsia" w:ascii="宋体" w:hAnsi="宋体" w:cs="宋体"/>
          <w:color w:val="auto"/>
          <w:kern w:val="0"/>
          <w:sz w:val="24"/>
          <w:szCs w:val="24"/>
          <w:highlight w:val="none"/>
          <w:lang w:val="en-US" w:eastAsia="zh-CN"/>
        </w:rPr>
        <w:t>37.69</w:t>
      </w:r>
      <w:r>
        <w:rPr>
          <w:rFonts w:hint="eastAsia" w:ascii="宋体" w:hAnsi="宋体" w:eastAsia="宋体" w:cs="宋体"/>
          <w:color w:val="auto"/>
          <w:kern w:val="0"/>
          <w:sz w:val="24"/>
          <w:szCs w:val="24"/>
          <w:highlight w:val="none"/>
          <w:lang w:val="en-US" w:eastAsia="zh-CN"/>
        </w:rPr>
        <w:t>%。变动的主要原因：</w:t>
      </w:r>
      <w:r>
        <w:rPr>
          <w:rFonts w:hint="eastAsia" w:ascii="宋体" w:hAnsi="宋体" w:eastAsia="宋体" w:cs="宋体"/>
          <w:color w:val="auto"/>
          <w:kern w:val="0"/>
          <w:sz w:val="24"/>
          <w:szCs w:val="24"/>
          <w:highlight w:val="none"/>
          <w:lang w:val="en-US" w:eastAsia="zh-CN" w:bidi="ar"/>
        </w:rPr>
        <w:t>202</w:t>
      </w:r>
      <w:r>
        <w:rPr>
          <w:rFonts w:hint="eastAsia" w:ascii="宋体" w:hAnsi="宋体" w:cs="宋体"/>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val="en-US" w:eastAsia="zh-CN" w:bidi="ar"/>
        </w:rPr>
        <w:t>年</w:t>
      </w:r>
      <w:r>
        <w:rPr>
          <w:rFonts w:hint="eastAsia" w:ascii="宋体" w:hAnsi="宋体" w:cs="宋体"/>
          <w:color w:val="auto"/>
          <w:kern w:val="0"/>
          <w:sz w:val="24"/>
          <w:szCs w:val="24"/>
          <w:highlight w:val="none"/>
          <w:lang w:val="en-US" w:eastAsia="zh-CN" w:bidi="ar"/>
        </w:rPr>
        <w:t>末收到百瑞信托永续债放款，货币资金增加</w:t>
      </w:r>
      <w:r>
        <w:rPr>
          <w:rFonts w:hint="eastAsia" w:ascii="宋体" w:hAnsi="宋体" w:eastAsia="宋体" w:cs="宋体"/>
          <w:color w:val="auto"/>
          <w:kern w:val="0"/>
          <w:sz w:val="24"/>
          <w:szCs w:val="24"/>
          <w:highlight w:val="none"/>
          <w:lang w:val="en-US" w:eastAsia="zh-CN"/>
        </w:rPr>
        <w:t>。</w:t>
      </w:r>
    </w:p>
    <w:p>
      <w:pPr>
        <w:keepNext w:val="0"/>
        <w:keepLines w:val="0"/>
        <w:pageBreakBefore w:val="0"/>
        <w:kinsoku/>
        <w:overflowPunct/>
        <w:topLinePunct w:val="0"/>
        <w:autoSpaceDE w:val="0"/>
        <w:autoSpaceDN w:val="0"/>
        <w:bidi w:val="0"/>
        <w:adjustRightInd w:val="0"/>
        <w:spacing w:line="400" w:lineRule="exact"/>
        <w:ind w:firstLine="480" w:firstLineChars="20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eastAsia="zh-CN"/>
        </w:rPr>
        <w:t>应收票据</w:t>
      </w:r>
    </w:p>
    <w:p>
      <w:pPr>
        <w:keepNext w:val="0"/>
        <w:keepLines w:val="0"/>
        <w:pageBreakBefore w:val="0"/>
        <w:kinsoku/>
        <w:overflowPunct/>
        <w:topLinePunct w:val="0"/>
        <w:autoSpaceDE w:val="0"/>
        <w:autoSpaceDN w:val="0"/>
        <w:bidi w:val="0"/>
        <w:adjustRightInd w:val="0"/>
        <w:spacing w:line="400" w:lineRule="exact"/>
        <w:ind w:firstLine="480" w:firstLineChars="200"/>
        <w:jc w:val="left"/>
        <w:textAlignment w:val="center"/>
        <w:rPr>
          <w:rFonts w:hint="eastAsia" w:ascii="宋体" w:hAnsi="宋体" w:eastAsia="宋体" w:cs="宋体"/>
          <w:color w:val="auto"/>
          <w:kern w:val="0"/>
          <w:sz w:val="24"/>
          <w:szCs w:val="24"/>
          <w:highlight w:val="none"/>
          <w:lang w:val="en-US" w:eastAsia="zh-CN" w:bidi="ar"/>
        </w:rPr>
        <w:sectPr>
          <w:footerReference r:id="rId30" w:type="default"/>
          <w:pgSz w:w="11907" w:h="16839"/>
          <w:pgMar w:top="1440" w:right="1797" w:bottom="1440" w:left="1797" w:header="680" w:footer="992" w:gutter="0"/>
          <w:cols w:space="425" w:num="1"/>
          <w:docGrid w:linePitch="312" w:charSpace="0"/>
        </w:sectPr>
      </w:pPr>
      <w:r>
        <w:rPr>
          <w:rFonts w:hint="eastAsia" w:ascii="宋体" w:hAnsi="宋体" w:eastAsia="宋体" w:cs="宋体"/>
          <w:color w:val="auto"/>
          <w:kern w:val="0"/>
          <w:sz w:val="24"/>
          <w:szCs w:val="24"/>
          <w:highlight w:val="none"/>
          <w:lang w:eastAsia="zh-CN"/>
        </w:rPr>
        <w:t>公司</w:t>
      </w:r>
      <w:r>
        <w:rPr>
          <w:rFonts w:hint="eastAsia" w:ascii="宋体" w:hAnsi="宋体" w:eastAsia="宋体" w:cs="宋体"/>
          <w:color w:val="auto"/>
          <w:kern w:val="0"/>
          <w:sz w:val="24"/>
          <w:szCs w:val="24"/>
          <w:highlight w:val="none"/>
          <w:lang w:val="en-US" w:eastAsia="zh-CN"/>
        </w:rPr>
        <w:t>202</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lang w:val="en-US" w:eastAsia="zh-CN"/>
        </w:rPr>
        <w:t>年年末应收票据</w:t>
      </w:r>
      <w:r>
        <w:rPr>
          <w:rFonts w:hint="eastAsia" w:ascii="宋体" w:hAnsi="宋体" w:eastAsia="宋体" w:cs="宋体"/>
          <w:i w:val="0"/>
          <w:iCs w:val="0"/>
          <w:color w:val="auto"/>
          <w:kern w:val="2"/>
          <w:sz w:val="24"/>
          <w:szCs w:val="24"/>
          <w:highlight w:val="none"/>
          <w:u w:val="none"/>
          <w:lang w:val="en-US" w:eastAsia="zh-CN" w:bidi="ar"/>
        </w:rPr>
        <w:t>109,893,330.14</w:t>
      </w:r>
      <w:r>
        <w:rPr>
          <w:rFonts w:hint="eastAsia" w:ascii="宋体" w:hAnsi="宋体" w:eastAsia="宋体" w:cs="宋体"/>
          <w:color w:val="auto"/>
          <w:kern w:val="2"/>
          <w:sz w:val="24"/>
          <w:szCs w:val="24"/>
          <w:highlight w:val="none"/>
          <w:lang w:eastAsia="zh-CN" w:bidi="ar"/>
        </w:rPr>
        <w:t>元</w:t>
      </w:r>
      <w:r>
        <w:rPr>
          <w:rFonts w:hint="eastAsia" w:ascii="宋体" w:hAnsi="宋体" w:eastAsia="宋体" w:cs="宋体"/>
          <w:color w:val="auto"/>
          <w:kern w:val="0"/>
          <w:sz w:val="24"/>
          <w:szCs w:val="24"/>
          <w:highlight w:val="none"/>
          <w:lang w:eastAsia="zh-CN" w:bidi="ar"/>
        </w:rPr>
        <w:t>，同比</w:t>
      </w:r>
      <w:r>
        <w:rPr>
          <w:rFonts w:hint="eastAsia" w:ascii="宋体" w:hAnsi="宋体" w:cs="宋体"/>
          <w:color w:val="auto"/>
          <w:kern w:val="0"/>
          <w:sz w:val="24"/>
          <w:szCs w:val="24"/>
          <w:highlight w:val="none"/>
          <w:lang w:val="en-US" w:eastAsia="zh-CN" w:bidi="ar"/>
        </w:rPr>
        <w:t>增加</w:t>
      </w:r>
      <w:r>
        <w:rPr>
          <w:rFonts w:hint="eastAsia" w:ascii="宋体" w:hAnsi="宋体" w:eastAsia="宋体" w:cs="宋体"/>
          <w:color w:val="auto"/>
          <w:kern w:val="0"/>
          <w:sz w:val="24"/>
          <w:szCs w:val="24"/>
          <w:highlight w:val="none"/>
          <w:lang w:val="en-US" w:eastAsia="zh-CN" w:bidi="ar"/>
        </w:rPr>
        <w:t>88</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747</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963.76元，</w:t>
      </w:r>
    </w:p>
    <w:p>
      <w:pPr>
        <w:keepNext w:val="0"/>
        <w:keepLines w:val="0"/>
        <w:pageBreakBefore w:val="0"/>
        <w:kinsoku/>
        <w:overflowPunct/>
        <w:topLinePunct w:val="0"/>
        <w:autoSpaceDE w:val="0"/>
        <w:autoSpaceDN w:val="0"/>
        <w:bidi w:val="0"/>
        <w:adjustRightInd w:val="0"/>
        <w:spacing w:line="400" w:lineRule="exact"/>
        <w:ind w:firstLine="480" w:firstLineChars="200"/>
        <w:jc w:val="left"/>
        <w:textAlignment w:val="center"/>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增</w:t>
      </w:r>
      <w:r>
        <w:rPr>
          <w:rFonts w:hint="eastAsia" w:ascii="宋体" w:hAnsi="宋体" w:eastAsia="宋体" w:cs="宋体"/>
          <w:color w:val="auto"/>
          <w:kern w:val="0"/>
          <w:sz w:val="24"/>
          <w:szCs w:val="24"/>
          <w:highlight w:val="none"/>
          <w:lang w:val="en-US" w:eastAsia="zh-CN" w:bidi="ar"/>
        </w:rPr>
        <w:t>幅</w:t>
      </w:r>
      <w:r>
        <w:rPr>
          <w:rFonts w:hint="eastAsia" w:ascii="宋体" w:hAnsi="宋体" w:cs="宋体"/>
          <w:color w:val="auto"/>
          <w:kern w:val="0"/>
          <w:sz w:val="24"/>
          <w:szCs w:val="24"/>
          <w:highlight w:val="none"/>
          <w:lang w:val="en-US" w:eastAsia="zh-CN" w:bidi="ar"/>
        </w:rPr>
        <w:t>419.7</w:t>
      </w:r>
      <w:r>
        <w:rPr>
          <w:rFonts w:hint="eastAsia" w:ascii="宋体" w:hAnsi="宋体" w:eastAsia="宋体" w:cs="宋体"/>
          <w:color w:val="auto"/>
          <w:kern w:val="0"/>
          <w:sz w:val="24"/>
          <w:szCs w:val="24"/>
          <w:highlight w:val="none"/>
          <w:lang w:val="en-US" w:eastAsia="zh-CN" w:bidi="ar"/>
        </w:rPr>
        <w:t>%。变动的主要原因：</w:t>
      </w:r>
      <w:r>
        <w:rPr>
          <w:rFonts w:hint="eastAsia" w:ascii="宋体" w:hAnsi="宋体" w:cs="宋体"/>
          <w:color w:val="auto"/>
          <w:kern w:val="0"/>
          <w:sz w:val="24"/>
          <w:szCs w:val="24"/>
          <w:highlight w:val="none"/>
          <w:lang w:val="en-US" w:eastAsia="zh-CN" w:bidi="ar"/>
        </w:rPr>
        <w:t>电煤贸易规模同比增加，应收票据增加。</w:t>
      </w:r>
    </w:p>
    <w:p>
      <w:pPr>
        <w:keepNext w:val="0"/>
        <w:keepLines w:val="0"/>
        <w:pageBreakBefore w:val="0"/>
        <w:kinsoku/>
        <w:overflowPunct/>
        <w:topLinePunct w:val="0"/>
        <w:autoSpaceDE w:val="0"/>
        <w:autoSpaceDN w:val="0"/>
        <w:bidi w:val="0"/>
        <w:adjustRightInd w:val="0"/>
        <w:spacing w:line="400" w:lineRule="exact"/>
        <w:ind w:firstLine="480" w:firstLineChars="20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)存货</w:t>
      </w:r>
    </w:p>
    <w:p>
      <w:pPr>
        <w:keepNext w:val="0"/>
        <w:keepLines w:val="0"/>
        <w:pageBreakBefore w:val="0"/>
        <w:kinsoku/>
        <w:overflowPunct/>
        <w:topLinePunct w:val="0"/>
        <w:autoSpaceDE w:val="0"/>
        <w:autoSpaceDN w:val="0"/>
        <w:bidi w:val="0"/>
        <w:adjustRightInd w:val="0"/>
        <w:spacing w:line="400" w:lineRule="exact"/>
        <w:ind w:firstLine="480" w:firstLineChars="200"/>
        <w:jc w:val="left"/>
        <w:textAlignment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rPr>
        <w:t>公司202</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年末</w:t>
      </w:r>
      <w:r>
        <w:rPr>
          <w:rFonts w:hint="eastAsia" w:ascii="宋体" w:hAnsi="宋体" w:eastAsia="宋体" w:cs="宋体"/>
          <w:color w:val="auto"/>
          <w:kern w:val="0"/>
          <w:sz w:val="24"/>
          <w:szCs w:val="24"/>
          <w:highlight w:val="none"/>
        </w:rPr>
        <w:t>存货</w:t>
      </w:r>
      <w:r>
        <w:rPr>
          <w:rFonts w:hint="eastAsia" w:ascii="宋体" w:hAnsi="宋体" w:eastAsia="宋体" w:cs="宋体"/>
          <w:i w:val="0"/>
          <w:iCs w:val="0"/>
          <w:color w:val="auto"/>
          <w:kern w:val="0"/>
          <w:sz w:val="24"/>
          <w:szCs w:val="24"/>
          <w:highlight w:val="none"/>
          <w:u w:val="none"/>
          <w:lang w:val="en-US" w:eastAsia="zh-CN" w:bidi="ar"/>
        </w:rPr>
        <w:t>1,247,630,630.33</w:t>
      </w:r>
      <w:r>
        <w:rPr>
          <w:rFonts w:hint="eastAsia" w:ascii="宋体" w:hAnsi="宋体" w:eastAsia="宋体" w:cs="宋体"/>
          <w:color w:val="auto"/>
          <w:kern w:val="0"/>
          <w:sz w:val="24"/>
          <w:szCs w:val="24"/>
          <w:highlight w:val="none"/>
        </w:rPr>
        <w:t>元，同比</w:t>
      </w:r>
      <w:r>
        <w:rPr>
          <w:rFonts w:hint="eastAsia" w:ascii="宋体" w:hAnsi="宋体" w:cs="宋体"/>
          <w:color w:val="auto"/>
          <w:kern w:val="0"/>
          <w:sz w:val="24"/>
          <w:szCs w:val="24"/>
          <w:highlight w:val="none"/>
          <w:lang w:val="en-US" w:eastAsia="zh-CN"/>
        </w:rPr>
        <w:t>减少</w:t>
      </w:r>
      <w:r>
        <w:rPr>
          <w:rFonts w:hint="eastAsia" w:ascii="宋体" w:hAnsi="宋体" w:eastAsia="宋体" w:cs="宋体"/>
          <w:color w:val="auto"/>
          <w:kern w:val="0"/>
          <w:sz w:val="24"/>
          <w:szCs w:val="24"/>
          <w:highlight w:val="none"/>
        </w:rPr>
        <w:t>266</w:t>
      </w:r>
      <w:r>
        <w:rPr>
          <w:rFonts w:hint="eastAsia" w:ascii="宋体" w:hAnsi="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rPr>
        <w:t>117</w:t>
      </w:r>
      <w:r>
        <w:rPr>
          <w:rFonts w:hint="eastAsia" w:ascii="宋体" w:hAnsi="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rPr>
        <w:t>435.39元，</w:t>
      </w:r>
      <w:r>
        <w:rPr>
          <w:rFonts w:hint="eastAsia" w:ascii="宋体" w:hAnsi="宋体" w:cs="宋体"/>
          <w:color w:val="auto"/>
          <w:kern w:val="0"/>
          <w:sz w:val="24"/>
          <w:szCs w:val="24"/>
          <w:highlight w:val="none"/>
          <w:lang w:val="en-US" w:eastAsia="zh-CN"/>
        </w:rPr>
        <w:t>降</w:t>
      </w:r>
      <w:r>
        <w:rPr>
          <w:rFonts w:hint="eastAsia" w:ascii="宋体" w:hAnsi="宋体" w:eastAsia="宋体" w:cs="宋体"/>
          <w:color w:val="auto"/>
          <w:kern w:val="0"/>
          <w:sz w:val="24"/>
          <w:szCs w:val="24"/>
          <w:highlight w:val="none"/>
          <w:lang w:eastAsia="zh-CN"/>
        </w:rPr>
        <w:t>幅</w:t>
      </w:r>
      <w:r>
        <w:rPr>
          <w:rFonts w:hint="eastAsia" w:ascii="宋体" w:hAnsi="宋体" w:cs="宋体"/>
          <w:color w:val="auto"/>
          <w:kern w:val="0"/>
          <w:sz w:val="24"/>
          <w:szCs w:val="24"/>
          <w:highlight w:val="none"/>
          <w:lang w:val="en-US" w:eastAsia="zh-CN"/>
        </w:rPr>
        <w:t>17.58</w:t>
      </w:r>
      <w:r>
        <w:rPr>
          <w:rFonts w:hint="eastAsia" w:ascii="宋体" w:hAnsi="宋体" w:eastAsia="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rPr>
        <w:t>。变动的主要原因：</w:t>
      </w:r>
      <w:r>
        <w:rPr>
          <w:rFonts w:hint="eastAsia" w:ascii="宋体" w:hAnsi="宋体" w:eastAsia="宋体" w:cs="宋体"/>
          <w:color w:val="auto"/>
          <w:kern w:val="0"/>
          <w:sz w:val="24"/>
          <w:szCs w:val="24"/>
          <w:highlight w:val="none"/>
          <w:lang w:val="en-US" w:eastAsia="zh-CN" w:bidi="ar"/>
        </w:rPr>
        <w:t>202</w:t>
      </w:r>
      <w:r>
        <w:rPr>
          <w:rFonts w:hint="eastAsia" w:ascii="宋体" w:hAnsi="宋体" w:cs="宋体"/>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val="en-US" w:eastAsia="zh-CN" w:bidi="ar"/>
        </w:rPr>
        <w:t>年</w:t>
      </w:r>
      <w:r>
        <w:rPr>
          <w:rFonts w:hint="eastAsia" w:ascii="宋体" w:hAnsi="宋体" w:cs="宋体"/>
          <w:color w:val="auto"/>
          <w:kern w:val="0"/>
          <w:sz w:val="24"/>
          <w:szCs w:val="24"/>
          <w:highlight w:val="none"/>
          <w:lang w:val="en-US" w:eastAsia="zh-CN" w:bidi="ar"/>
        </w:rPr>
        <w:t>火电板块负荷下降，存煤量减少</w:t>
      </w:r>
      <w:r>
        <w:rPr>
          <w:rFonts w:hint="eastAsia" w:ascii="宋体" w:hAnsi="宋体" w:cs="宋体"/>
          <w:color w:val="auto"/>
          <w:kern w:val="0"/>
          <w:sz w:val="24"/>
          <w:szCs w:val="24"/>
          <w:highlight w:val="none"/>
          <w:lang w:val="en-US" w:eastAsia="zh-CN"/>
        </w:rPr>
        <w:t>。</w:t>
      </w:r>
    </w:p>
    <w:p>
      <w:pPr>
        <w:keepNext w:val="0"/>
        <w:keepLines w:val="0"/>
        <w:pageBreakBefore w:val="0"/>
        <w:numPr>
          <w:ilvl w:val="0"/>
          <w:numId w:val="0"/>
        </w:numPr>
        <w:kinsoku/>
        <w:overflowPunct/>
        <w:topLinePunct w:val="0"/>
        <w:bidi w:val="0"/>
        <w:spacing w:line="40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投资性房地产</w:t>
      </w:r>
    </w:p>
    <w:p>
      <w:pPr>
        <w:keepNext w:val="0"/>
        <w:keepLines w:val="0"/>
        <w:pageBreakBefore w:val="0"/>
        <w:numPr>
          <w:ilvl w:val="0"/>
          <w:numId w:val="0"/>
        </w:numPr>
        <w:kinsoku/>
        <w:overflowPunct/>
        <w:topLinePunct w:val="0"/>
        <w:autoSpaceDE w:val="0"/>
        <w:autoSpaceDN w:val="0"/>
        <w:bidi w:val="0"/>
        <w:adjustRightInd w:val="0"/>
        <w:spacing w:line="400" w:lineRule="exact"/>
        <w:ind w:firstLine="480" w:firstLineChars="200"/>
        <w:jc w:val="left"/>
        <w:textAlignment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eastAsia="zh-CN"/>
        </w:rPr>
        <w:t>公司</w:t>
      </w:r>
      <w:r>
        <w:rPr>
          <w:rFonts w:hint="eastAsia" w:ascii="宋体" w:hAnsi="宋体" w:eastAsia="宋体" w:cs="宋体"/>
          <w:color w:val="auto"/>
          <w:kern w:val="0"/>
          <w:sz w:val="24"/>
          <w:szCs w:val="24"/>
          <w:highlight w:val="none"/>
          <w:lang w:val="en-US" w:eastAsia="zh-CN"/>
        </w:rPr>
        <w:t>202</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lang w:val="en-US" w:eastAsia="zh-CN"/>
        </w:rPr>
        <w:t>年年末投资性房地产</w:t>
      </w:r>
      <w:r>
        <w:rPr>
          <w:rFonts w:hint="eastAsia" w:ascii="宋体" w:hAnsi="宋体" w:eastAsia="宋体" w:cs="宋体"/>
          <w:i w:val="0"/>
          <w:iCs w:val="0"/>
          <w:color w:val="auto"/>
          <w:kern w:val="0"/>
          <w:sz w:val="24"/>
          <w:szCs w:val="24"/>
          <w:highlight w:val="none"/>
          <w:u w:val="none"/>
          <w:lang w:val="en-US" w:eastAsia="zh-CN" w:bidi="ar"/>
        </w:rPr>
        <w:t>974,998,444.58</w:t>
      </w:r>
      <w:r>
        <w:rPr>
          <w:rFonts w:hint="eastAsia" w:ascii="宋体" w:hAnsi="宋体" w:eastAsia="宋体" w:cs="宋体"/>
          <w:color w:val="auto"/>
          <w:kern w:val="0"/>
          <w:sz w:val="24"/>
          <w:szCs w:val="24"/>
          <w:highlight w:val="none"/>
          <w:lang w:eastAsia="zh-CN" w:bidi="ar"/>
        </w:rPr>
        <w:t>元，同比</w:t>
      </w:r>
      <w:r>
        <w:rPr>
          <w:rFonts w:hint="eastAsia" w:ascii="宋体" w:hAnsi="宋体" w:cs="宋体"/>
          <w:color w:val="auto"/>
          <w:kern w:val="0"/>
          <w:sz w:val="24"/>
          <w:szCs w:val="24"/>
          <w:highlight w:val="none"/>
          <w:lang w:val="en-US" w:eastAsia="zh-CN" w:bidi="ar"/>
        </w:rPr>
        <w:t>减少</w:t>
      </w:r>
      <w:r>
        <w:rPr>
          <w:rFonts w:hint="eastAsia" w:ascii="宋体" w:hAnsi="宋体" w:eastAsia="宋体" w:cs="宋体"/>
          <w:color w:val="auto"/>
          <w:kern w:val="0"/>
          <w:sz w:val="24"/>
          <w:szCs w:val="24"/>
          <w:highlight w:val="none"/>
          <w:lang w:eastAsia="zh-CN" w:bidi="ar"/>
        </w:rPr>
        <w:t>24</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eastAsia="zh-CN" w:bidi="ar"/>
        </w:rPr>
        <w:t>946</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eastAsia="zh-CN" w:bidi="ar"/>
        </w:rPr>
        <w:t>781.2</w:t>
      </w:r>
      <w:r>
        <w:rPr>
          <w:rFonts w:hint="eastAsia" w:ascii="宋体" w:hAnsi="宋体" w:cs="宋体"/>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eastAsia="zh-CN" w:bidi="ar"/>
        </w:rPr>
        <w:t>元，</w:t>
      </w:r>
      <w:r>
        <w:rPr>
          <w:rFonts w:hint="eastAsia" w:ascii="宋体" w:hAnsi="宋体" w:cs="宋体"/>
          <w:color w:val="auto"/>
          <w:kern w:val="0"/>
          <w:sz w:val="24"/>
          <w:szCs w:val="24"/>
          <w:highlight w:val="none"/>
          <w:lang w:val="en-US" w:eastAsia="zh-CN" w:bidi="ar"/>
        </w:rPr>
        <w:t>降</w:t>
      </w:r>
      <w:r>
        <w:rPr>
          <w:rFonts w:hint="eastAsia" w:ascii="宋体" w:hAnsi="宋体" w:eastAsia="宋体" w:cs="宋体"/>
          <w:color w:val="auto"/>
          <w:kern w:val="0"/>
          <w:sz w:val="24"/>
          <w:szCs w:val="24"/>
          <w:highlight w:val="none"/>
          <w:lang w:eastAsia="zh-CN" w:bidi="ar"/>
        </w:rPr>
        <w:t>幅</w:t>
      </w:r>
      <w:r>
        <w:rPr>
          <w:rFonts w:hint="eastAsia" w:ascii="宋体" w:hAnsi="宋体" w:cs="宋体"/>
          <w:color w:val="auto"/>
          <w:kern w:val="0"/>
          <w:sz w:val="24"/>
          <w:szCs w:val="24"/>
          <w:highlight w:val="none"/>
          <w:lang w:val="en-US" w:eastAsia="zh-CN" w:bidi="ar"/>
        </w:rPr>
        <w:t>2.49</w:t>
      </w:r>
      <w:r>
        <w:rPr>
          <w:rFonts w:hint="eastAsia" w:ascii="宋体" w:hAnsi="宋体" w:eastAsia="宋体" w:cs="宋体"/>
          <w:color w:val="auto"/>
          <w:kern w:val="0"/>
          <w:sz w:val="24"/>
          <w:szCs w:val="24"/>
          <w:highlight w:val="none"/>
          <w:lang w:val="en-US" w:eastAsia="zh-CN" w:bidi="ar"/>
        </w:rPr>
        <w:t>%。变动</w:t>
      </w:r>
      <w:r>
        <w:rPr>
          <w:rFonts w:hint="eastAsia" w:ascii="宋体" w:hAnsi="宋体" w:cs="宋体"/>
          <w:color w:val="auto"/>
          <w:kern w:val="0"/>
          <w:sz w:val="24"/>
          <w:szCs w:val="24"/>
          <w:highlight w:val="none"/>
          <w:lang w:val="en-US" w:eastAsia="zh-CN" w:bidi="ar"/>
        </w:rPr>
        <w:t>的</w:t>
      </w:r>
      <w:r>
        <w:rPr>
          <w:rFonts w:hint="eastAsia" w:ascii="宋体" w:hAnsi="宋体" w:eastAsia="宋体" w:cs="宋体"/>
          <w:color w:val="auto"/>
          <w:kern w:val="0"/>
          <w:sz w:val="24"/>
          <w:szCs w:val="24"/>
          <w:highlight w:val="none"/>
          <w:lang w:val="en-US" w:eastAsia="zh-CN" w:bidi="ar"/>
        </w:rPr>
        <w:t>主要原因：202</w:t>
      </w:r>
      <w:r>
        <w:rPr>
          <w:rFonts w:hint="eastAsia" w:ascii="宋体" w:hAnsi="宋体" w:cs="宋体"/>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val="en-US" w:eastAsia="zh-CN" w:bidi="ar"/>
        </w:rPr>
        <w:t>年</w:t>
      </w:r>
      <w:r>
        <w:rPr>
          <w:rFonts w:hint="eastAsia" w:ascii="宋体" w:hAnsi="宋体" w:cs="宋体"/>
          <w:color w:val="auto"/>
          <w:kern w:val="0"/>
          <w:sz w:val="24"/>
          <w:szCs w:val="24"/>
          <w:highlight w:val="none"/>
          <w:lang w:val="en-US" w:eastAsia="zh-CN" w:bidi="ar"/>
        </w:rPr>
        <w:t>投资性房地产评估值降低</w:t>
      </w:r>
      <w:r>
        <w:rPr>
          <w:rFonts w:hint="eastAsia" w:ascii="宋体" w:hAnsi="宋体" w:eastAsia="宋体" w:cs="宋体"/>
          <w:color w:val="auto"/>
          <w:kern w:val="0"/>
          <w:sz w:val="24"/>
          <w:szCs w:val="24"/>
          <w:highlight w:val="none"/>
          <w:lang w:val="en-US" w:eastAsia="zh-CN" w:bidi="ar"/>
        </w:rPr>
        <w:t>。</w:t>
      </w:r>
    </w:p>
    <w:p>
      <w:pPr>
        <w:keepNext w:val="0"/>
        <w:keepLines w:val="0"/>
        <w:pageBreakBefore w:val="0"/>
        <w:numPr>
          <w:ilvl w:val="0"/>
          <w:numId w:val="0"/>
        </w:numPr>
        <w:kinsoku/>
        <w:overflowPunct/>
        <w:topLinePunct w:val="0"/>
        <w:bidi w:val="0"/>
        <w:spacing w:line="40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)长期股权投资</w:t>
      </w:r>
    </w:p>
    <w:p>
      <w:pPr>
        <w:keepNext w:val="0"/>
        <w:keepLines w:val="0"/>
        <w:pageBreakBefore w:val="0"/>
        <w:widowControl w:val="0"/>
        <w:kinsoku/>
        <w:wordWrap w:val="0"/>
        <w:overflowPunct/>
        <w:topLinePunct w:val="0"/>
        <w:autoSpaceDE w:val="0"/>
        <w:autoSpaceDN w:val="0"/>
        <w:bidi w:val="0"/>
        <w:adjustRightInd w:val="0"/>
        <w:snapToGrid/>
        <w:spacing w:line="400" w:lineRule="exact"/>
        <w:ind w:firstLine="480" w:firstLineChars="200"/>
        <w:jc w:val="left"/>
        <w:textAlignment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eastAsia="zh-CN"/>
        </w:rPr>
        <w:t>公司</w:t>
      </w:r>
      <w:r>
        <w:rPr>
          <w:rFonts w:hint="eastAsia" w:ascii="宋体" w:hAnsi="宋体" w:eastAsia="宋体" w:cs="宋体"/>
          <w:color w:val="auto"/>
          <w:kern w:val="0"/>
          <w:sz w:val="24"/>
          <w:szCs w:val="24"/>
          <w:highlight w:val="none"/>
          <w:lang w:val="en-US" w:eastAsia="zh-CN"/>
        </w:rPr>
        <w:t>202</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lang w:val="en-US" w:eastAsia="zh-CN"/>
        </w:rPr>
        <w:t>年年末</w:t>
      </w:r>
      <w:r>
        <w:rPr>
          <w:rFonts w:hint="eastAsia" w:ascii="宋体" w:hAnsi="宋体" w:eastAsia="宋体" w:cs="宋体"/>
          <w:color w:val="auto"/>
          <w:kern w:val="0"/>
          <w:sz w:val="24"/>
          <w:szCs w:val="24"/>
          <w:highlight w:val="none"/>
          <w:lang w:eastAsia="zh-CN"/>
        </w:rPr>
        <w:t>长期股权</w:t>
      </w:r>
      <w:r>
        <w:rPr>
          <w:rFonts w:hint="eastAsia" w:ascii="宋体" w:hAnsi="宋体" w:eastAsia="宋体" w:cs="宋体"/>
          <w:color w:val="auto"/>
          <w:kern w:val="0"/>
          <w:sz w:val="24"/>
          <w:szCs w:val="24"/>
          <w:highlight w:val="none"/>
          <w:lang w:val="en-US" w:eastAsia="zh-CN"/>
        </w:rPr>
        <w:t>投资</w:t>
      </w:r>
      <w:r>
        <w:rPr>
          <w:rFonts w:hint="eastAsia" w:ascii="宋体" w:hAnsi="宋体" w:eastAsia="宋体" w:cs="宋体"/>
          <w:i w:val="0"/>
          <w:iCs w:val="0"/>
          <w:color w:val="auto"/>
          <w:kern w:val="0"/>
          <w:sz w:val="24"/>
          <w:szCs w:val="24"/>
          <w:highlight w:val="none"/>
          <w:u w:val="none"/>
          <w:lang w:val="en-US" w:eastAsia="zh-CN" w:bidi="ar"/>
        </w:rPr>
        <w:t>1,741,604,559.28</w:t>
      </w:r>
      <w:r>
        <w:rPr>
          <w:rFonts w:hint="eastAsia" w:ascii="宋体" w:hAnsi="宋体" w:eastAsia="宋体" w:cs="宋体"/>
          <w:color w:val="auto"/>
          <w:kern w:val="0"/>
          <w:sz w:val="24"/>
          <w:szCs w:val="24"/>
          <w:highlight w:val="none"/>
          <w:lang w:eastAsia="zh-CN"/>
        </w:rPr>
        <w:t>元</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eastAsia="zh-CN"/>
        </w:rPr>
        <w:t>同比</w:t>
      </w:r>
      <w:r>
        <w:rPr>
          <w:rFonts w:hint="eastAsia" w:ascii="宋体" w:hAnsi="宋体" w:cs="宋体"/>
          <w:color w:val="auto"/>
          <w:kern w:val="0"/>
          <w:sz w:val="24"/>
          <w:szCs w:val="24"/>
          <w:highlight w:val="none"/>
          <w:lang w:val="en-US" w:eastAsia="zh-CN"/>
        </w:rPr>
        <w:t>增加</w:t>
      </w:r>
      <w:r>
        <w:rPr>
          <w:rFonts w:hint="eastAsia" w:ascii="宋体" w:hAnsi="宋体" w:eastAsia="宋体" w:cs="宋体"/>
          <w:color w:val="auto"/>
          <w:kern w:val="0"/>
          <w:sz w:val="24"/>
          <w:szCs w:val="24"/>
          <w:highlight w:val="none"/>
          <w:lang w:eastAsia="zh-CN"/>
        </w:rPr>
        <w:t>400</w:t>
      </w:r>
      <w:r>
        <w:rPr>
          <w:rFonts w:hint="eastAsia" w:ascii="宋体" w:hAnsi="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lang w:eastAsia="zh-CN"/>
        </w:rPr>
        <w:t>929</w:t>
      </w:r>
      <w:r>
        <w:rPr>
          <w:rFonts w:hint="eastAsia" w:ascii="宋体" w:hAnsi="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lang w:eastAsia="zh-CN"/>
        </w:rPr>
        <w:t>286.99元，</w:t>
      </w:r>
      <w:r>
        <w:rPr>
          <w:rFonts w:hint="eastAsia" w:ascii="宋体" w:hAnsi="宋体" w:cs="宋体"/>
          <w:color w:val="auto"/>
          <w:kern w:val="0"/>
          <w:sz w:val="24"/>
          <w:szCs w:val="24"/>
          <w:highlight w:val="none"/>
          <w:lang w:val="en-US" w:eastAsia="zh-CN"/>
        </w:rPr>
        <w:t>增</w:t>
      </w:r>
      <w:r>
        <w:rPr>
          <w:rFonts w:hint="eastAsia" w:ascii="宋体" w:hAnsi="宋体" w:eastAsia="宋体" w:cs="宋体"/>
          <w:color w:val="auto"/>
          <w:kern w:val="0"/>
          <w:sz w:val="24"/>
          <w:szCs w:val="24"/>
          <w:highlight w:val="none"/>
          <w:lang w:eastAsia="zh-CN"/>
        </w:rPr>
        <w:t>幅</w:t>
      </w:r>
      <w:r>
        <w:rPr>
          <w:rFonts w:hint="eastAsia" w:ascii="宋体" w:hAnsi="宋体" w:cs="宋体"/>
          <w:color w:val="auto"/>
          <w:kern w:val="0"/>
          <w:sz w:val="24"/>
          <w:szCs w:val="24"/>
          <w:highlight w:val="none"/>
          <w:lang w:val="en-US" w:eastAsia="zh-CN"/>
        </w:rPr>
        <w:t>29.91</w:t>
      </w:r>
      <w:r>
        <w:rPr>
          <w:rFonts w:hint="eastAsia" w:ascii="宋体" w:hAnsi="宋体" w:eastAsia="宋体" w:cs="宋体"/>
          <w:color w:val="auto"/>
          <w:kern w:val="0"/>
          <w:sz w:val="24"/>
          <w:szCs w:val="24"/>
          <w:highlight w:val="none"/>
          <w:lang w:val="en-US" w:eastAsia="zh-CN"/>
        </w:rPr>
        <w:t>%。变动</w:t>
      </w:r>
      <w:r>
        <w:rPr>
          <w:rFonts w:hint="eastAsia" w:ascii="宋体" w:hAnsi="宋体" w:cs="宋体"/>
          <w:color w:val="auto"/>
          <w:kern w:val="0"/>
          <w:sz w:val="24"/>
          <w:szCs w:val="24"/>
          <w:highlight w:val="none"/>
          <w:lang w:val="en-US" w:eastAsia="zh-CN"/>
        </w:rPr>
        <w:t>的</w:t>
      </w:r>
      <w:r>
        <w:rPr>
          <w:rFonts w:hint="eastAsia" w:ascii="宋体" w:hAnsi="宋体" w:eastAsia="宋体" w:cs="宋体"/>
          <w:color w:val="auto"/>
          <w:kern w:val="0"/>
          <w:sz w:val="24"/>
          <w:szCs w:val="24"/>
          <w:highlight w:val="none"/>
          <w:lang w:val="en-US" w:eastAsia="zh-CN"/>
        </w:rPr>
        <w:t>主要原因：202</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lang w:val="en-US" w:eastAsia="zh-CN"/>
        </w:rPr>
        <w:t>年</w:t>
      </w:r>
      <w:r>
        <w:rPr>
          <w:rFonts w:hint="eastAsia" w:ascii="宋体" w:hAnsi="宋体" w:eastAsia="宋体" w:cs="宋体"/>
          <w:b w:val="0"/>
          <w:bCs w:val="0"/>
          <w:color w:val="auto"/>
          <w:kern w:val="0"/>
          <w:sz w:val="24"/>
          <w:szCs w:val="24"/>
          <w:highlight w:val="none"/>
          <w:lang w:val="en-US" w:eastAsia="zh-CN"/>
        </w:rPr>
        <w:t>贵州金元对能发燃料公司由成本法转权益法核算，</w:t>
      </w:r>
      <w:r>
        <w:rPr>
          <w:rFonts w:hint="eastAsia" w:ascii="宋体" w:hAnsi="宋体" w:cs="宋体"/>
          <w:b w:val="0"/>
          <w:bCs w:val="0"/>
          <w:color w:val="auto"/>
          <w:kern w:val="0"/>
          <w:sz w:val="24"/>
          <w:szCs w:val="24"/>
          <w:highlight w:val="none"/>
          <w:lang w:val="en-US" w:eastAsia="zh-CN"/>
        </w:rPr>
        <w:t>长期股权投资增加</w:t>
      </w:r>
      <w:r>
        <w:rPr>
          <w:rFonts w:hint="eastAsia" w:ascii="宋体" w:hAnsi="宋体" w:eastAsia="宋体" w:cs="宋体"/>
          <w:color w:val="auto"/>
          <w:kern w:val="0"/>
          <w:sz w:val="24"/>
          <w:szCs w:val="24"/>
          <w:highlight w:val="none"/>
          <w:lang w:val="en-US" w:eastAsia="zh-CN"/>
        </w:rPr>
        <w:t>。</w:t>
      </w:r>
    </w:p>
    <w:p>
      <w:pPr>
        <w:keepNext w:val="0"/>
        <w:keepLines w:val="0"/>
        <w:pageBreakBefore w:val="0"/>
        <w:numPr>
          <w:ilvl w:val="0"/>
          <w:numId w:val="0"/>
        </w:numPr>
        <w:kinsoku/>
        <w:overflowPunct/>
        <w:topLinePunct w:val="0"/>
        <w:bidi w:val="0"/>
        <w:spacing w:line="400" w:lineRule="exact"/>
        <w:ind w:firstLine="480" w:firstLineChars="200"/>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在建工程</w:t>
      </w:r>
    </w:p>
    <w:p>
      <w:pPr>
        <w:keepNext w:val="0"/>
        <w:keepLines w:val="0"/>
        <w:pageBreakBefore w:val="0"/>
        <w:numPr>
          <w:ilvl w:val="0"/>
          <w:numId w:val="0"/>
        </w:numPr>
        <w:kinsoku/>
        <w:overflowPunct/>
        <w:topLinePunct w:val="0"/>
        <w:bidi w:val="0"/>
        <w:spacing w:line="400" w:lineRule="exact"/>
        <w:ind w:firstLine="480" w:firstLineChars="200"/>
        <w:jc w:val="left"/>
        <w:rPr>
          <w:rFonts w:hint="eastAsia"/>
          <w:color w:val="auto"/>
          <w:highlight w:val="none"/>
          <w:lang w:val="en-US" w:eastAsia="zh-CN"/>
        </w:rPr>
      </w:pPr>
      <w:r>
        <w:rPr>
          <w:rFonts w:hint="eastAsia" w:ascii="宋体" w:hAnsi="宋体" w:eastAsia="宋体" w:cs="宋体"/>
          <w:color w:val="auto"/>
          <w:kern w:val="0"/>
          <w:sz w:val="24"/>
          <w:szCs w:val="24"/>
          <w:highlight w:val="none"/>
          <w:lang w:eastAsia="zh-CN"/>
        </w:rPr>
        <w:t>公司</w:t>
      </w:r>
      <w:r>
        <w:rPr>
          <w:rFonts w:hint="eastAsia" w:ascii="宋体" w:hAnsi="宋体" w:eastAsia="宋体" w:cs="宋体"/>
          <w:color w:val="auto"/>
          <w:kern w:val="0"/>
          <w:sz w:val="24"/>
          <w:szCs w:val="24"/>
          <w:highlight w:val="none"/>
          <w:lang w:val="en-US" w:eastAsia="zh-CN"/>
        </w:rPr>
        <w:t>202</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lang w:val="en-US" w:eastAsia="zh-CN"/>
        </w:rPr>
        <w:t>年</w:t>
      </w:r>
      <w:r>
        <w:rPr>
          <w:rFonts w:hint="eastAsia" w:ascii="宋体" w:hAnsi="宋体" w:cs="宋体"/>
          <w:color w:val="auto"/>
          <w:kern w:val="0"/>
          <w:sz w:val="24"/>
          <w:szCs w:val="24"/>
          <w:highlight w:val="none"/>
          <w:lang w:val="en-US" w:eastAsia="zh-CN"/>
        </w:rPr>
        <w:t>在建工程</w:t>
      </w:r>
      <w:r>
        <w:rPr>
          <w:rFonts w:hint="eastAsia" w:ascii="宋体" w:hAnsi="宋体" w:eastAsia="宋体" w:cs="宋体"/>
          <w:i w:val="0"/>
          <w:iCs w:val="0"/>
          <w:color w:val="auto"/>
          <w:kern w:val="0"/>
          <w:sz w:val="24"/>
          <w:szCs w:val="24"/>
          <w:highlight w:val="none"/>
          <w:u w:val="none"/>
          <w:lang w:val="en-US" w:eastAsia="zh-CN" w:bidi="ar"/>
        </w:rPr>
        <w:t>4,572,870,572.56</w:t>
      </w:r>
      <w:r>
        <w:rPr>
          <w:rFonts w:hint="eastAsia" w:ascii="宋体" w:hAnsi="宋体" w:eastAsia="宋体" w:cs="宋体"/>
          <w:color w:val="auto"/>
          <w:kern w:val="0"/>
          <w:sz w:val="24"/>
          <w:szCs w:val="24"/>
          <w:highlight w:val="none"/>
          <w:lang w:eastAsia="zh-CN" w:bidi="ar"/>
        </w:rPr>
        <w:t>元</w:t>
      </w:r>
      <w:r>
        <w:rPr>
          <w:rFonts w:hint="eastAsia" w:ascii="宋体" w:hAnsi="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eastAsia="zh-CN" w:bidi="ar"/>
        </w:rPr>
        <w:t>同比</w:t>
      </w:r>
      <w:r>
        <w:rPr>
          <w:rFonts w:hint="eastAsia" w:ascii="宋体" w:hAnsi="宋体" w:cs="宋体"/>
          <w:color w:val="auto"/>
          <w:kern w:val="0"/>
          <w:sz w:val="24"/>
          <w:szCs w:val="24"/>
          <w:highlight w:val="none"/>
          <w:lang w:val="en-US" w:eastAsia="zh-CN" w:bidi="ar"/>
        </w:rPr>
        <w:t>减少</w:t>
      </w:r>
      <w:r>
        <w:rPr>
          <w:rFonts w:hint="eastAsia" w:ascii="宋体" w:hAnsi="宋体" w:eastAsia="宋体" w:cs="宋体"/>
          <w:color w:val="auto"/>
          <w:kern w:val="0"/>
          <w:sz w:val="24"/>
          <w:szCs w:val="24"/>
          <w:highlight w:val="none"/>
          <w:lang w:bidi="ar"/>
        </w:rPr>
        <w:t>825</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bidi="ar"/>
        </w:rPr>
        <w:t>655</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bidi="ar"/>
        </w:rPr>
        <w:t>307.97</w:t>
      </w:r>
      <w:r>
        <w:rPr>
          <w:rFonts w:hint="eastAsia" w:ascii="宋体" w:hAnsi="宋体" w:eastAsia="宋体" w:cs="宋体"/>
          <w:color w:val="auto"/>
          <w:kern w:val="0"/>
          <w:sz w:val="24"/>
          <w:szCs w:val="24"/>
          <w:highlight w:val="none"/>
          <w:lang w:eastAsia="zh-CN" w:bidi="ar"/>
        </w:rPr>
        <w:t>元，</w:t>
      </w:r>
      <w:r>
        <w:rPr>
          <w:rFonts w:hint="eastAsia" w:ascii="宋体" w:hAnsi="宋体" w:cs="宋体"/>
          <w:color w:val="auto"/>
          <w:kern w:val="0"/>
          <w:sz w:val="24"/>
          <w:szCs w:val="24"/>
          <w:highlight w:val="none"/>
          <w:lang w:val="en-US" w:eastAsia="zh-CN" w:bidi="ar"/>
        </w:rPr>
        <w:t>降</w:t>
      </w:r>
      <w:r>
        <w:rPr>
          <w:rFonts w:hint="eastAsia" w:ascii="宋体" w:hAnsi="宋体" w:eastAsia="宋体" w:cs="宋体"/>
          <w:color w:val="auto"/>
          <w:kern w:val="0"/>
          <w:sz w:val="24"/>
          <w:szCs w:val="24"/>
          <w:highlight w:val="none"/>
          <w:lang w:eastAsia="zh-CN" w:bidi="ar"/>
        </w:rPr>
        <w:t>幅</w:t>
      </w:r>
      <w:r>
        <w:rPr>
          <w:rFonts w:hint="eastAsia" w:ascii="宋体" w:hAnsi="宋体" w:cs="宋体"/>
          <w:color w:val="auto"/>
          <w:kern w:val="0"/>
          <w:sz w:val="24"/>
          <w:szCs w:val="24"/>
          <w:highlight w:val="none"/>
          <w:lang w:val="en-US" w:eastAsia="zh-CN" w:bidi="ar"/>
        </w:rPr>
        <w:t>15.29%</w:t>
      </w:r>
      <w:r>
        <w:rPr>
          <w:rFonts w:hint="eastAsia" w:ascii="宋体" w:hAnsi="宋体" w:eastAsia="宋体" w:cs="宋体"/>
          <w:color w:val="auto"/>
          <w:kern w:val="0"/>
          <w:sz w:val="24"/>
          <w:szCs w:val="24"/>
          <w:highlight w:val="none"/>
          <w:lang w:val="en-US" w:eastAsia="zh-CN" w:bidi="ar"/>
        </w:rPr>
        <w:t>。变动</w:t>
      </w:r>
      <w:r>
        <w:rPr>
          <w:rFonts w:hint="eastAsia" w:ascii="宋体" w:hAnsi="宋体" w:cs="宋体"/>
          <w:color w:val="auto"/>
          <w:kern w:val="0"/>
          <w:sz w:val="24"/>
          <w:szCs w:val="24"/>
          <w:highlight w:val="none"/>
          <w:lang w:val="en-US" w:eastAsia="zh-CN" w:bidi="ar"/>
        </w:rPr>
        <w:t>的</w:t>
      </w:r>
      <w:r>
        <w:rPr>
          <w:rFonts w:hint="eastAsia" w:ascii="宋体" w:hAnsi="宋体" w:eastAsia="宋体" w:cs="宋体"/>
          <w:color w:val="auto"/>
          <w:kern w:val="0"/>
          <w:sz w:val="24"/>
          <w:szCs w:val="24"/>
          <w:highlight w:val="none"/>
          <w:lang w:val="en-US" w:eastAsia="zh-CN" w:bidi="ar"/>
        </w:rPr>
        <w:t>主要原因：</w:t>
      </w:r>
      <w:r>
        <w:rPr>
          <w:rFonts w:hint="eastAsia" w:ascii="宋体" w:hAnsi="宋体" w:cs="宋体"/>
          <w:color w:val="auto"/>
          <w:kern w:val="0"/>
          <w:sz w:val="24"/>
          <w:szCs w:val="24"/>
          <w:highlight w:val="none"/>
          <w:lang w:val="en-US" w:eastAsia="zh-CN" w:bidi="ar"/>
        </w:rPr>
        <w:t>新能源在建项目陆续并网</w:t>
      </w:r>
      <w:r>
        <w:rPr>
          <w:rFonts w:hint="eastAsia" w:ascii="宋体" w:hAnsi="宋体" w:eastAsia="宋体" w:cs="宋体"/>
          <w:color w:val="auto"/>
          <w:kern w:val="0"/>
          <w:sz w:val="24"/>
          <w:szCs w:val="24"/>
          <w:highlight w:val="none"/>
          <w:lang w:val="en-US" w:eastAsia="zh-CN" w:bidi="ar"/>
        </w:rPr>
        <w:t>。</w:t>
      </w:r>
    </w:p>
    <w:p>
      <w:pPr>
        <w:pStyle w:val="15"/>
        <w:keepNext w:val="0"/>
        <w:keepLines w:val="0"/>
        <w:pageBreakBefore w:val="0"/>
        <w:widowControl/>
        <w:numPr>
          <w:ilvl w:val="0"/>
          <w:numId w:val="0"/>
        </w:numPr>
        <w:kinsoku/>
        <w:wordWrap/>
        <w:overflowPunct/>
        <w:topLinePunct w:val="0"/>
        <w:autoSpaceDE/>
        <w:autoSpaceDN/>
        <w:bidi w:val="0"/>
        <w:adjustRightInd/>
        <w:snapToGrid w:val="0"/>
        <w:spacing w:line="400" w:lineRule="exact"/>
        <w:ind w:left="482" w:leftChars="0"/>
        <w:jc w:val="left"/>
        <w:textAlignment w:val="auto"/>
        <w:rPr>
          <w:rFonts w:hint="default" w:ascii="宋体" w:hAnsi="宋体" w:cs="宋体"/>
          <w:b w:val="0"/>
          <w:color w:val="auto"/>
          <w:sz w:val="24"/>
          <w:szCs w:val="24"/>
          <w:highlight w:val="none"/>
          <w:lang w:val="en-US" w:eastAsia="zh-CN"/>
        </w:rPr>
      </w:pPr>
      <w:r>
        <w:rPr>
          <w:rFonts w:hint="eastAsia" w:ascii="宋体" w:hAnsi="宋体" w:eastAsia="宋体" w:cs="宋体"/>
          <w:b w:val="0"/>
          <w:bCs/>
          <w:color w:val="auto"/>
          <w:sz w:val="24"/>
          <w:szCs w:val="24"/>
          <w:highlight w:val="none"/>
        </w:rPr>
        <w:t>2</w:t>
      </w:r>
      <w:r>
        <w:rPr>
          <w:rFonts w:hint="eastAsia" w:ascii="宋体" w:hAnsi="宋体" w:eastAsia="宋体" w:cs="宋体"/>
          <w:b w:val="0"/>
          <w:bCs/>
          <w:color w:val="auto"/>
          <w:sz w:val="24"/>
          <w:szCs w:val="24"/>
          <w:highlight w:val="none"/>
          <w:lang w:val="en-US" w:eastAsia="zh-CN"/>
        </w:rPr>
        <w:t>.</w:t>
      </w:r>
      <w:r>
        <w:rPr>
          <w:rFonts w:hint="eastAsia" w:ascii="宋体" w:hAnsi="宋体" w:cs="宋体"/>
          <w:b w:val="0"/>
          <w:color w:val="auto"/>
          <w:sz w:val="24"/>
          <w:szCs w:val="24"/>
          <w:highlight w:val="none"/>
          <w:lang w:val="en-US" w:eastAsia="zh-CN"/>
        </w:rPr>
        <w:t>营业情况分析</w:t>
      </w:r>
    </w:p>
    <w:p>
      <w:pPr>
        <w:keepNext w:val="0"/>
        <w:keepLines w:val="0"/>
        <w:pageBreakBefore w:val="0"/>
        <w:kinsoku/>
        <w:overflowPunct/>
        <w:topLinePunct w:val="0"/>
        <w:bidi w:val="0"/>
        <w:spacing w:line="400" w:lineRule="exact"/>
        <w:ind w:firstLine="480" w:firstLineChars="200"/>
        <w:jc w:val="left"/>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(1)利润构成</w:t>
      </w:r>
    </w:p>
    <w:tbl>
      <w:tblPr>
        <w:tblStyle w:val="2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089"/>
        <w:gridCol w:w="1780"/>
        <w:gridCol w:w="913"/>
        <w:gridCol w:w="1780"/>
        <w:gridCol w:w="731"/>
        <w:gridCol w:w="10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252" w:type="pct"/>
            <w:tcBorders>
              <w:top w:val="nil"/>
              <w:left w:val="nil"/>
              <w:bottom w:val="single" w:color="auto" w:sz="4" w:space="0"/>
              <w:right w:val="nil"/>
            </w:tcBorders>
            <w:shd w:val="clear" w:color="auto" w:fill="auto"/>
            <w:tcMar>
              <w:top w:w="15" w:type="dxa"/>
              <w:left w:w="15" w:type="dxa"/>
              <w:right w:w="15" w:type="dxa"/>
            </w:tcMar>
            <w:vAlign w:val="center"/>
          </w:tcPr>
          <w:p>
            <w:pPr>
              <w:keepNext w:val="0"/>
              <w:keepLines w:val="0"/>
              <w:pageBreakBefore w:val="0"/>
              <w:kinsoku/>
              <w:overflowPunct/>
              <w:topLinePunct w:val="0"/>
              <w:bidi w:val="0"/>
              <w:spacing w:line="400" w:lineRule="exact"/>
              <w:jc w:val="left"/>
              <w:rPr>
                <w:rFonts w:hint="eastAsia" w:ascii="宋体" w:hAnsi="宋体" w:eastAsia="宋体" w:cs="宋体"/>
                <w:i w:val="0"/>
                <w:color w:val="auto"/>
                <w:sz w:val="24"/>
                <w:szCs w:val="24"/>
                <w:highlight w:val="none"/>
                <w:u w:val="none"/>
              </w:rPr>
            </w:pPr>
          </w:p>
        </w:tc>
        <w:tc>
          <w:tcPr>
            <w:tcW w:w="1067" w:type="pct"/>
            <w:tcBorders>
              <w:top w:val="nil"/>
              <w:left w:val="nil"/>
              <w:bottom w:val="single" w:color="auto" w:sz="4" w:space="0"/>
              <w:right w:val="nil"/>
            </w:tcBorders>
            <w:shd w:val="clear" w:color="auto" w:fill="auto"/>
            <w:noWrap/>
            <w:tcMar>
              <w:top w:w="15" w:type="dxa"/>
              <w:left w:w="15" w:type="dxa"/>
              <w:right w:w="15" w:type="dxa"/>
            </w:tcMar>
            <w:vAlign w:val="center"/>
          </w:tcPr>
          <w:p>
            <w:pPr>
              <w:keepNext w:val="0"/>
              <w:keepLines w:val="0"/>
              <w:pageBreakBefore w:val="0"/>
              <w:kinsoku/>
              <w:overflowPunct/>
              <w:topLinePunct w:val="0"/>
              <w:bidi w:val="0"/>
              <w:spacing w:line="400" w:lineRule="exact"/>
              <w:jc w:val="left"/>
              <w:rPr>
                <w:rFonts w:hint="eastAsia" w:ascii="宋体" w:hAnsi="宋体" w:eastAsia="宋体" w:cs="宋体"/>
                <w:i w:val="0"/>
                <w:color w:val="auto"/>
                <w:sz w:val="24"/>
                <w:szCs w:val="24"/>
                <w:highlight w:val="none"/>
                <w:u w:val="none"/>
              </w:rPr>
            </w:pPr>
          </w:p>
        </w:tc>
        <w:tc>
          <w:tcPr>
            <w:tcW w:w="547" w:type="pct"/>
            <w:tcBorders>
              <w:top w:val="nil"/>
              <w:left w:val="nil"/>
              <w:bottom w:val="single" w:color="auto" w:sz="4" w:space="0"/>
              <w:right w:val="nil"/>
            </w:tcBorders>
            <w:shd w:val="clear" w:color="auto" w:fill="auto"/>
            <w:noWrap/>
            <w:tcMar>
              <w:top w:w="15" w:type="dxa"/>
              <w:left w:w="15" w:type="dxa"/>
              <w:right w:w="15" w:type="dxa"/>
            </w:tcMar>
            <w:vAlign w:val="center"/>
          </w:tcPr>
          <w:p>
            <w:pPr>
              <w:keepNext w:val="0"/>
              <w:keepLines w:val="0"/>
              <w:pageBreakBefore w:val="0"/>
              <w:kinsoku/>
              <w:overflowPunct/>
              <w:topLinePunct w:val="0"/>
              <w:bidi w:val="0"/>
              <w:spacing w:line="400" w:lineRule="exact"/>
              <w:jc w:val="left"/>
              <w:rPr>
                <w:rFonts w:hint="eastAsia" w:ascii="宋体" w:hAnsi="宋体" w:eastAsia="宋体" w:cs="宋体"/>
                <w:i w:val="0"/>
                <w:color w:val="auto"/>
                <w:sz w:val="24"/>
                <w:szCs w:val="24"/>
                <w:highlight w:val="none"/>
                <w:u w:val="none"/>
              </w:rPr>
            </w:pPr>
          </w:p>
        </w:tc>
        <w:tc>
          <w:tcPr>
            <w:tcW w:w="1067" w:type="pct"/>
            <w:tcBorders>
              <w:top w:val="nil"/>
              <w:left w:val="nil"/>
              <w:bottom w:val="single" w:color="auto" w:sz="4" w:space="0"/>
              <w:right w:val="nil"/>
            </w:tcBorders>
            <w:shd w:val="clear" w:color="auto" w:fill="auto"/>
            <w:noWrap/>
            <w:tcMar>
              <w:top w:w="15" w:type="dxa"/>
              <w:left w:w="15" w:type="dxa"/>
              <w:right w:w="15" w:type="dxa"/>
            </w:tcMar>
            <w:vAlign w:val="center"/>
          </w:tcPr>
          <w:p>
            <w:pPr>
              <w:keepNext w:val="0"/>
              <w:keepLines w:val="0"/>
              <w:pageBreakBefore w:val="0"/>
              <w:kinsoku/>
              <w:overflowPunct/>
              <w:topLinePunct w:val="0"/>
              <w:bidi w:val="0"/>
              <w:spacing w:line="400" w:lineRule="exact"/>
              <w:jc w:val="left"/>
              <w:rPr>
                <w:rFonts w:hint="eastAsia" w:ascii="宋体" w:hAnsi="宋体" w:eastAsia="宋体" w:cs="宋体"/>
                <w:i w:val="0"/>
                <w:color w:val="auto"/>
                <w:sz w:val="24"/>
                <w:szCs w:val="24"/>
                <w:highlight w:val="none"/>
                <w:u w:val="none"/>
              </w:rPr>
            </w:pPr>
          </w:p>
        </w:tc>
        <w:tc>
          <w:tcPr>
            <w:tcW w:w="438" w:type="pct"/>
            <w:tcBorders>
              <w:top w:val="nil"/>
              <w:left w:val="nil"/>
              <w:bottom w:val="single" w:color="auto" w:sz="4" w:space="0"/>
              <w:right w:val="nil"/>
            </w:tcBorders>
            <w:shd w:val="clear" w:color="auto" w:fill="auto"/>
            <w:noWrap/>
            <w:tcMar>
              <w:top w:w="15" w:type="dxa"/>
              <w:left w:w="15" w:type="dxa"/>
              <w:right w:w="15" w:type="dxa"/>
            </w:tcMar>
            <w:vAlign w:val="center"/>
          </w:tcPr>
          <w:p>
            <w:pPr>
              <w:keepNext w:val="0"/>
              <w:keepLines w:val="0"/>
              <w:pageBreakBefore w:val="0"/>
              <w:kinsoku/>
              <w:overflowPunct/>
              <w:topLinePunct w:val="0"/>
              <w:bidi w:val="0"/>
              <w:spacing w:line="400" w:lineRule="exact"/>
              <w:jc w:val="left"/>
              <w:rPr>
                <w:rFonts w:hint="eastAsia" w:ascii="宋体" w:hAnsi="宋体" w:eastAsia="宋体" w:cs="宋体"/>
                <w:i w:val="0"/>
                <w:color w:val="auto"/>
                <w:sz w:val="24"/>
                <w:szCs w:val="24"/>
                <w:highlight w:val="none"/>
                <w:u w:val="none"/>
              </w:rPr>
            </w:pPr>
          </w:p>
        </w:tc>
        <w:tc>
          <w:tcPr>
            <w:tcW w:w="627" w:type="pct"/>
            <w:tcBorders>
              <w:top w:val="nil"/>
              <w:left w:val="nil"/>
              <w:bottom w:val="single" w:color="auto" w:sz="4" w:space="0"/>
              <w:right w:val="nil"/>
            </w:tcBorders>
            <w:shd w:val="clear" w:color="auto" w:fill="auto"/>
            <w:noWrap/>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单位：元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1252"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项目</w:t>
            </w:r>
          </w:p>
        </w:tc>
        <w:tc>
          <w:tcPr>
            <w:tcW w:w="1614"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本期</w:t>
            </w:r>
          </w:p>
        </w:tc>
        <w:tc>
          <w:tcPr>
            <w:tcW w:w="1505"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上年同期</w:t>
            </w:r>
          </w:p>
        </w:tc>
        <w:tc>
          <w:tcPr>
            <w:tcW w:w="627"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增减变动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trPr>
        <w:tc>
          <w:tcPr>
            <w:tcW w:w="1252"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overflowPunct/>
              <w:topLinePunct w:val="0"/>
              <w:bidi w:val="0"/>
              <w:spacing w:line="400" w:lineRule="exact"/>
              <w:jc w:val="left"/>
              <w:rPr>
                <w:rFonts w:hint="eastAsia" w:ascii="宋体" w:hAnsi="宋体" w:eastAsia="宋体" w:cs="宋体"/>
                <w:i w:val="0"/>
                <w:color w:val="auto"/>
                <w:sz w:val="21"/>
                <w:szCs w:val="21"/>
                <w:highlight w:val="none"/>
                <w:u w:val="none"/>
              </w:rPr>
            </w:pPr>
          </w:p>
        </w:tc>
        <w:tc>
          <w:tcPr>
            <w:tcW w:w="10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金额</w:t>
            </w:r>
          </w:p>
        </w:tc>
        <w:tc>
          <w:tcPr>
            <w:tcW w:w="5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占营业收入的比重%</w:t>
            </w:r>
          </w:p>
        </w:tc>
        <w:tc>
          <w:tcPr>
            <w:tcW w:w="10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金额</w:t>
            </w:r>
          </w:p>
        </w:tc>
        <w:tc>
          <w:tcPr>
            <w:tcW w:w="43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占营业收入的比重%</w:t>
            </w:r>
          </w:p>
        </w:tc>
        <w:tc>
          <w:tcPr>
            <w:tcW w:w="627" w:type="pct"/>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overflowPunct/>
              <w:topLinePunct w:val="0"/>
              <w:bidi w:val="0"/>
              <w:spacing w:line="400" w:lineRule="exact"/>
              <w:jc w:val="left"/>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25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营业收入</w:t>
            </w:r>
          </w:p>
        </w:tc>
        <w:tc>
          <w:tcPr>
            <w:tcW w:w="10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16,321,005,879.66</w:t>
            </w:r>
          </w:p>
        </w:tc>
        <w:tc>
          <w:tcPr>
            <w:tcW w:w="5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100.00%</w:t>
            </w:r>
          </w:p>
        </w:tc>
        <w:tc>
          <w:tcPr>
            <w:tcW w:w="10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17,221,240,926.74</w:t>
            </w:r>
          </w:p>
        </w:tc>
        <w:tc>
          <w:tcPr>
            <w:tcW w:w="43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100.00%</w:t>
            </w:r>
          </w:p>
        </w:tc>
        <w:tc>
          <w:tcPr>
            <w:tcW w:w="62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-5.23%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25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营业成本</w:t>
            </w:r>
          </w:p>
        </w:tc>
        <w:tc>
          <w:tcPr>
            <w:tcW w:w="10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14,784,571,562.56</w:t>
            </w:r>
          </w:p>
        </w:tc>
        <w:tc>
          <w:tcPr>
            <w:tcW w:w="5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90.59%</w:t>
            </w:r>
          </w:p>
        </w:tc>
        <w:tc>
          <w:tcPr>
            <w:tcW w:w="10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14,514,214,513.67</w:t>
            </w:r>
          </w:p>
        </w:tc>
        <w:tc>
          <w:tcPr>
            <w:tcW w:w="43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84.28%</w:t>
            </w:r>
          </w:p>
        </w:tc>
        <w:tc>
          <w:tcPr>
            <w:tcW w:w="62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1.86%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25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毛利率</w:t>
            </w:r>
          </w:p>
        </w:tc>
        <w:tc>
          <w:tcPr>
            <w:tcW w:w="10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9.41%</w:t>
            </w:r>
          </w:p>
        </w:tc>
        <w:tc>
          <w:tcPr>
            <w:tcW w:w="5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0.00%</w:t>
            </w:r>
          </w:p>
        </w:tc>
        <w:tc>
          <w:tcPr>
            <w:tcW w:w="10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15.72%</w:t>
            </w:r>
          </w:p>
        </w:tc>
        <w:tc>
          <w:tcPr>
            <w:tcW w:w="43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0.00%</w:t>
            </w:r>
          </w:p>
        </w:tc>
        <w:tc>
          <w:tcPr>
            <w:tcW w:w="62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-40.11%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25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销售费用</w:t>
            </w:r>
          </w:p>
        </w:tc>
        <w:tc>
          <w:tcPr>
            <w:tcW w:w="10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94,656,503.60</w:t>
            </w:r>
          </w:p>
        </w:tc>
        <w:tc>
          <w:tcPr>
            <w:tcW w:w="5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0.58%</w:t>
            </w:r>
          </w:p>
        </w:tc>
        <w:tc>
          <w:tcPr>
            <w:tcW w:w="10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128,454,513.79</w:t>
            </w:r>
          </w:p>
        </w:tc>
        <w:tc>
          <w:tcPr>
            <w:tcW w:w="43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0.75%</w:t>
            </w:r>
          </w:p>
        </w:tc>
        <w:tc>
          <w:tcPr>
            <w:tcW w:w="62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-26.31%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25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管理费用</w:t>
            </w:r>
          </w:p>
        </w:tc>
        <w:tc>
          <w:tcPr>
            <w:tcW w:w="10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650,624,212.18</w:t>
            </w:r>
          </w:p>
        </w:tc>
        <w:tc>
          <w:tcPr>
            <w:tcW w:w="5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3.99%</w:t>
            </w:r>
          </w:p>
        </w:tc>
        <w:tc>
          <w:tcPr>
            <w:tcW w:w="10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703,880,076.46</w:t>
            </w:r>
          </w:p>
        </w:tc>
        <w:tc>
          <w:tcPr>
            <w:tcW w:w="43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4.09%</w:t>
            </w:r>
          </w:p>
        </w:tc>
        <w:tc>
          <w:tcPr>
            <w:tcW w:w="62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-7.57%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25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研发费用</w:t>
            </w:r>
          </w:p>
        </w:tc>
        <w:tc>
          <w:tcPr>
            <w:tcW w:w="10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129,579,443.34</w:t>
            </w:r>
          </w:p>
        </w:tc>
        <w:tc>
          <w:tcPr>
            <w:tcW w:w="5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0.79%</w:t>
            </w:r>
          </w:p>
        </w:tc>
        <w:tc>
          <w:tcPr>
            <w:tcW w:w="10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285,646,093.45</w:t>
            </w:r>
          </w:p>
        </w:tc>
        <w:tc>
          <w:tcPr>
            <w:tcW w:w="43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1.66%</w:t>
            </w:r>
          </w:p>
        </w:tc>
        <w:tc>
          <w:tcPr>
            <w:tcW w:w="62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-54.64%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125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财务费用</w:t>
            </w:r>
          </w:p>
        </w:tc>
        <w:tc>
          <w:tcPr>
            <w:tcW w:w="10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1,535,209,467.94</w:t>
            </w:r>
          </w:p>
        </w:tc>
        <w:tc>
          <w:tcPr>
            <w:tcW w:w="5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9.41%</w:t>
            </w:r>
          </w:p>
        </w:tc>
        <w:tc>
          <w:tcPr>
            <w:tcW w:w="10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1,695,369,528.27</w:t>
            </w:r>
          </w:p>
        </w:tc>
        <w:tc>
          <w:tcPr>
            <w:tcW w:w="43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9.84%</w:t>
            </w:r>
          </w:p>
        </w:tc>
        <w:tc>
          <w:tcPr>
            <w:tcW w:w="62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-9.45%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25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信用减值损失</w:t>
            </w:r>
          </w:p>
        </w:tc>
        <w:tc>
          <w:tcPr>
            <w:tcW w:w="10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-12,183,109.32</w:t>
            </w:r>
          </w:p>
        </w:tc>
        <w:tc>
          <w:tcPr>
            <w:tcW w:w="5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-0.07%</w:t>
            </w:r>
          </w:p>
        </w:tc>
        <w:tc>
          <w:tcPr>
            <w:tcW w:w="10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1,163,625,490.25</w:t>
            </w:r>
          </w:p>
        </w:tc>
        <w:tc>
          <w:tcPr>
            <w:tcW w:w="43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6.76%</w:t>
            </w:r>
          </w:p>
        </w:tc>
        <w:tc>
          <w:tcPr>
            <w:tcW w:w="62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-101.05%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25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资产减值损失</w:t>
            </w:r>
          </w:p>
        </w:tc>
        <w:tc>
          <w:tcPr>
            <w:tcW w:w="10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-502,902,323.36</w:t>
            </w:r>
          </w:p>
        </w:tc>
        <w:tc>
          <w:tcPr>
            <w:tcW w:w="5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-3.08%</w:t>
            </w:r>
          </w:p>
        </w:tc>
        <w:tc>
          <w:tcPr>
            <w:tcW w:w="10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-3,498,021,961.79</w:t>
            </w:r>
          </w:p>
        </w:tc>
        <w:tc>
          <w:tcPr>
            <w:tcW w:w="43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-20.31%</w:t>
            </w:r>
          </w:p>
        </w:tc>
        <w:tc>
          <w:tcPr>
            <w:tcW w:w="62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-85.62%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25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其他收益</w:t>
            </w:r>
          </w:p>
        </w:tc>
        <w:tc>
          <w:tcPr>
            <w:tcW w:w="10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86,415,816.01</w:t>
            </w:r>
          </w:p>
        </w:tc>
        <w:tc>
          <w:tcPr>
            <w:tcW w:w="5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0.53%</w:t>
            </w:r>
          </w:p>
        </w:tc>
        <w:tc>
          <w:tcPr>
            <w:tcW w:w="10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246,081,713.17</w:t>
            </w:r>
          </w:p>
        </w:tc>
        <w:tc>
          <w:tcPr>
            <w:tcW w:w="43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1.43%</w:t>
            </w:r>
          </w:p>
        </w:tc>
        <w:tc>
          <w:tcPr>
            <w:tcW w:w="62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-64.88%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125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投资收益</w:t>
            </w:r>
          </w:p>
        </w:tc>
        <w:tc>
          <w:tcPr>
            <w:tcW w:w="10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1,813,604,233.62</w:t>
            </w:r>
          </w:p>
        </w:tc>
        <w:tc>
          <w:tcPr>
            <w:tcW w:w="5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11.11%</w:t>
            </w:r>
          </w:p>
        </w:tc>
        <w:tc>
          <w:tcPr>
            <w:tcW w:w="10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657,804,783.43</w:t>
            </w:r>
          </w:p>
        </w:tc>
        <w:tc>
          <w:tcPr>
            <w:tcW w:w="43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3.82%</w:t>
            </w:r>
          </w:p>
        </w:tc>
        <w:tc>
          <w:tcPr>
            <w:tcW w:w="62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175.71%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25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公允价值变动收益</w:t>
            </w:r>
          </w:p>
        </w:tc>
        <w:tc>
          <w:tcPr>
            <w:tcW w:w="10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-24,724,161.36</w:t>
            </w:r>
          </w:p>
        </w:tc>
        <w:tc>
          <w:tcPr>
            <w:tcW w:w="5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-0.15%</w:t>
            </w:r>
          </w:p>
        </w:tc>
        <w:tc>
          <w:tcPr>
            <w:tcW w:w="10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-16,471,236.91</w:t>
            </w:r>
          </w:p>
        </w:tc>
        <w:tc>
          <w:tcPr>
            <w:tcW w:w="43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-0.10%</w:t>
            </w:r>
          </w:p>
        </w:tc>
        <w:tc>
          <w:tcPr>
            <w:tcW w:w="62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50.11%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25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资产处置收益</w:t>
            </w:r>
          </w:p>
        </w:tc>
        <w:tc>
          <w:tcPr>
            <w:tcW w:w="10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130,879,954.49</w:t>
            </w:r>
          </w:p>
        </w:tc>
        <w:tc>
          <w:tcPr>
            <w:tcW w:w="5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0.80%</w:t>
            </w:r>
          </w:p>
        </w:tc>
        <w:tc>
          <w:tcPr>
            <w:tcW w:w="10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161,133,607.26</w:t>
            </w:r>
          </w:p>
        </w:tc>
        <w:tc>
          <w:tcPr>
            <w:tcW w:w="43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0.94%</w:t>
            </w:r>
          </w:p>
        </w:tc>
        <w:tc>
          <w:tcPr>
            <w:tcW w:w="62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-18.78%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25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汇兑收益</w:t>
            </w:r>
          </w:p>
        </w:tc>
        <w:tc>
          <w:tcPr>
            <w:tcW w:w="10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0</w:t>
            </w:r>
          </w:p>
        </w:tc>
        <w:tc>
          <w:tcPr>
            <w:tcW w:w="5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0</w:t>
            </w:r>
          </w:p>
        </w:tc>
        <w:tc>
          <w:tcPr>
            <w:tcW w:w="10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0</w:t>
            </w:r>
          </w:p>
        </w:tc>
        <w:tc>
          <w:tcPr>
            <w:tcW w:w="43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0</w:t>
            </w:r>
          </w:p>
        </w:tc>
        <w:tc>
          <w:tcPr>
            <w:tcW w:w="62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25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营业利润</w:t>
            </w:r>
          </w:p>
        </w:tc>
        <w:tc>
          <w:tcPr>
            <w:tcW w:w="10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405,339,170.12</w:t>
            </w:r>
          </w:p>
        </w:tc>
        <w:tc>
          <w:tcPr>
            <w:tcW w:w="5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2.48%</w:t>
            </w:r>
          </w:p>
        </w:tc>
        <w:tc>
          <w:tcPr>
            <w:tcW w:w="10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-1,602,410,001.80</w:t>
            </w:r>
          </w:p>
        </w:tc>
        <w:tc>
          <w:tcPr>
            <w:tcW w:w="43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-9.30%</w:t>
            </w:r>
          </w:p>
        </w:tc>
        <w:tc>
          <w:tcPr>
            <w:tcW w:w="62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-125.30%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25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营业外收入</w:t>
            </w:r>
          </w:p>
        </w:tc>
        <w:tc>
          <w:tcPr>
            <w:tcW w:w="10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55,977,443.16</w:t>
            </w:r>
          </w:p>
        </w:tc>
        <w:tc>
          <w:tcPr>
            <w:tcW w:w="5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0.34%</w:t>
            </w:r>
          </w:p>
        </w:tc>
        <w:tc>
          <w:tcPr>
            <w:tcW w:w="10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24,054,067.13</w:t>
            </w:r>
          </w:p>
        </w:tc>
        <w:tc>
          <w:tcPr>
            <w:tcW w:w="43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0.14%</w:t>
            </w:r>
          </w:p>
        </w:tc>
        <w:tc>
          <w:tcPr>
            <w:tcW w:w="62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132.72%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125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营业外支出</w:t>
            </w:r>
          </w:p>
        </w:tc>
        <w:tc>
          <w:tcPr>
            <w:tcW w:w="10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251,642,589.40</w:t>
            </w:r>
          </w:p>
        </w:tc>
        <w:tc>
          <w:tcPr>
            <w:tcW w:w="5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1.54%</w:t>
            </w:r>
          </w:p>
        </w:tc>
        <w:tc>
          <w:tcPr>
            <w:tcW w:w="10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140,086,772.31</w:t>
            </w:r>
          </w:p>
        </w:tc>
        <w:tc>
          <w:tcPr>
            <w:tcW w:w="43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0.81%</w:t>
            </w:r>
          </w:p>
        </w:tc>
        <w:tc>
          <w:tcPr>
            <w:tcW w:w="62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79.63%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25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0"/>
                <w:szCs w:val="20"/>
                <w:highlight w:val="none"/>
                <w:u w:val="none"/>
                <w:lang w:val="en-US" w:eastAsia="zh-CN" w:bidi="ar"/>
              </w:rPr>
              <w:t>净利润</w:t>
            </w:r>
          </w:p>
        </w:tc>
        <w:tc>
          <w:tcPr>
            <w:tcW w:w="10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70,098,978.14</w:t>
            </w:r>
          </w:p>
        </w:tc>
        <w:tc>
          <w:tcPr>
            <w:tcW w:w="54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0"/>
                <w:szCs w:val="20"/>
                <w:highlight w:val="none"/>
                <w:u w:val="none"/>
                <w:lang w:val="en-US" w:eastAsia="zh-CN" w:bidi="ar"/>
              </w:rPr>
              <w:t>0.43%</w:t>
            </w:r>
          </w:p>
        </w:tc>
        <w:tc>
          <w:tcPr>
            <w:tcW w:w="106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-1,894,699,948.82</w:t>
            </w:r>
          </w:p>
        </w:tc>
        <w:tc>
          <w:tcPr>
            <w:tcW w:w="43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-11.00%</w:t>
            </w:r>
          </w:p>
        </w:tc>
        <w:tc>
          <w:tcPr>
            <w:tcW w:w="62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103.70%</w:t>
            </w:r>
          </w:p>
        </w:tc>
      </w:tr>
    </w:tbl>
    <w:p>
      <w:pPr>
        <w:keepNext w:val="0"/>
        <w:keepLines w:val="0"/>
        <w:pageBreakBefore w:val="0"/>
        <w:kinsoku/>
        <w:overflowPunct/>
        <w:topLinePunct w:val="0"/>
        <w:bidi w:val="0"/>
        <w:spacing w:line="400" w:lineRule="exact"/>
        <w:ind w:firstLine="480" w:firstLineChars="200"/>
        <w:jc w:val="left"/>
        <w:rPr>
          <w:rFonts w:hint="default" w:ascii="宋体" w:hAnsi="宋体" w:eastAsia="宋体" w:cs="宋体"/>
          <w:bCs/>
          <w:color w:val="auto"/>
          <w:sz w:val="24"/>
          <w:szCs w:val="24"/>
          <w:highlight w:val="none"/>
          <w:lang w:val="en-US" w:eastAsia="zh-CN"/>
        </w:rPr>
      </w:pPr>
      <w:r>
        <w:rPr>
          <w:rFonts w:hint="eastAsia" w:ascii="宋体" w:hAnsi="宋体" w:cs="宋体"/>
          <w:bCs/>
          <w:color w:val="auto"/>
          <w:sz w:val="24"/>
          <w:szCs w:val="24"/>
          <w:highlight w:val="none"/>
        </w:rPr>
        <w:t>项目重大变动原因：</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firstLine="480" w:firstLineChars="200"/>
        <w:jc w:val="left"/>
        <w:textAlignment w:val="auto"/>
        <w:rPr>
          <w:rFonts w:hint="eastAsia" w:ascii="宋体" w:hAnsi="宋体" w:eastAsia="宋体" w:cs="宋体"/>
          <w:color w:val="auto"/>
          <w:kern w:val="0"/>
          <w:sz w:val="24"/>
          <w:szCs w:val="24"/>
          <w:highlight w:val="none"/>
          <w:lang w:eastAsia="zh-CN" w:bidi="ar"/>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 1 \* GB3 \* MERGEFORMAT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color w:val="auto"/>
          <w:sz w:val="24"/>
          <w:szCs w:val="24"/>
          <w:highlight w:val="none"/>
        </w:rPr>
        <w:t>①</w:t>
      </w:r>
      <w:r>
        <w:rPr>
          <w:rFonts w:hint="eastAsia" w:ascii="宋体" w:hAnsi="宋体" w:eastAsia="宋体" w:cs="宋体"/>
          <w:bCs/>
          <w:color w:val="auto"/>
          <w:sz w:val="24"/>
          <w:szCs w:val="24"/>
          <w:highlight w:val="none"/>
        </w:rPr>
        <w:fldChar w:fldCharType="end"/>
      </w:r>
      <w:r>
        <w:rPr>
          <w:rFonts w:hint="eastAsia" w:ascii="宋体" w:hAnsi="宋体" w:eastAsia="宋体" w:cs="宋体"/>
          <w:color w:val="auto"/>
          <w:kern w:val="0"/>
          <w:sz w:val="24"/>
          <w:szCs w:val="24"/>
          <w:highlight w:val="none"/>
          <w:lang w:eastAsia="zh-CN" w:bidi="ar"/>
        </w:rPr>
        <w:t>营业成本</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宋体"/>
          <w:color w:val="auto"/>
          <w:sz w:val="24"/>
          <w:highlight w:val="none"/>
          <w:lang w:val="en-US" w:eastAsia="zh-CN"/>
        </w:rPr>
      </w:pPr>
      <w:r>
        <w:rPr>
          <w:rFonts w:hint="eastAsia" w:ascii="宋体" w:hAnsi="宋体" w:eastAsia="宋体" w:cs="宋体"/>
          <w:color w:val="auto"/>
          <w:kern w:val="0"/>
          <w:sz w:val="24"/>
          <w:szCs w:val="24"/>
          <w:highlight w:val="none"/>
          <w:lang w:eastAsia="zh-CN" w:bidi="ar"/>
        </w:rPr>
        <w:t>公司</w:t>
      </w:r>
      <w:r>
        <w:rPr>
          <w:rFonts w:hint="eastAsia" w:ascii="宋体" w:hAnsi="宋体" w:eastAsia="宋体" w:cs="宋体"/>
          <w:color w:val="auto"/>
          <w:kern w:val="0"/>
          <w:sz w:val="24"/>
          <w:szCs w:val="24"/>
          <w:highlight w:val="none"/>
          <w:lang w:val="en-US" w:eastAsia="zh-CN" w:bidi="ar"/>
        </w:rPr>
        <w:t>202</w:t>
      </w:r>
      <w:r>
        <w:rPr>
          <w:rFonts w:hint="eastAsia" w:ascii="宋体" w:hAnsi="宋体" w:cs="宋体"/>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val="en-US" w:eastAsia="zh-CN" w:bidi="ar"/>
        </w:rPr>
        <w:t>年营业成本</w:t>
      </w:r>
      <w:r>
        <w:rPr>
          <w:rFonts w:hint="eastAsia" w:ascii="宋体" w:hAnsi="宋体" w:eastAsia="宋体" w:cs="宋体"/>
          <w:i w:val="0"/>
          <w:iCs w:val="0"/>
          <w:color w:val="auto"/>
          <w:kern w:val="0"/>
          <w:sz w:val="24"/>
          <w:szCs w:val="24"/>
          <w:highlight w:val="none"/>
          <w:u w:val="none"/>
          <w:lang w:val="en-US" w:eastAsia="zh-CN" w:bidi="ar"/>
        </w:rPr>
        <w:t>14,784,571,562.56</w:t>
      </w:r>
      <w:r>
        <w:rPr>
          <w:rFonts w:hint="eastAsia" w:ascii="宋体" w:hAnsi="宋体" w:eastAsia="宋体" w:cs="宋体"/>
          <w:color w:val="auto"/>
          <w:kern w:val="0"/>
          <w:sz w:val="24"/>
          <w:szCs w:val="24"/>
          <w:highlight w:val="none"/>
          <w:lang w:eastAsia="zh-CN" w:bidi="ar"/>
        </w:rPr>
        <w:t>元，同比</w:t>
      </w:r>
      <w:r>
        <w:rPr>
          <w:rFonts w:hint="eastAsia" w:ascii="宋体" w:hAnsi="宋体" w:cs="宋体"/>
          <w:color w:val="auto"/>
          <w:kern w:val="0"/>
          <w:sz w:val="24"/>
          <w:szCs w:val="24"/>
          <w:highlight w:val="none"/>
          <w:lang w:val="en-US" w:eastAsia="zh-CN" w:bidi="ar"/>
        </w:rPr>
        <w:t>增加</w:t>
      </w:r>
      <w:r>
        <w:rPr>
          <w:rFonts w:hint="eastAsia" w:ascii="宋体" w:hAnsi="宋体" w:eastAsia="宋体" w:cs="宋体"/>
          <w:color w:val="auto"/>
          <w:kern w:val="0"/>
          <w:sz w:val="24"/>
          <w:szCs w:val="24"/>
          <w:highlight w:val="none"/>
          <w:lang w:val="en-US" w:eastAsia="zh-CN" w:bidi="ar"/>
        </w:rPr>
        <w:t>270</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357</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048.89元，</w:t>
      </w:r>
      <w:r>
        <w:rPr>
          <w:rFonts w:hint="eastAsia" w:ascii="宋体" w:hAnsi="宋体" w:cs="宋体"/>
          <w:color w:val="auto"/>
          <w:kern w:val="0"/>
          <w:sz w:val="24"/>
          <w:szCs w:val="24"/>
          <w:highlight w:val="none"/>
          <w:lang w:val="en-US" w:eastAsia="zh-CN" w:bidi="ar"/>
        </w:rPr>
        <w:t>增</w:t>
      </w:r>
      <w:r>
        <w:rPr>
          <w:rFonts w:hint="eastAsia" w:ascii="宋体" w:hAnsi="宋体" w:eastAsia="宋体" w:cs="宋体"/>
          <w:color w:val="auto"/>
          <w:kern w:val="0"/>
          <w:sz w:val="24"/>
          <w:szCs w:val="24"/>
          <w:highlight w:val="none"/>
          <w:lang w:val="en-US" w:eastAsia="zh-CN" w:bidi="ar"/>
        </w:rPr>
        <w:t>幅</w:t>
      </w:r>
      <w:r>
        <w:rPr>
          <w:rFonts w:hint="eastAsia" w:ascii="宋体" w:hAnsi="宋体" w:cs="宋体"/>
          <w:color w:val="auto"/>
          <w:kern w:val="0"/>
          <w:sz w:val="24"/>
          <w:szCs w:val="24"/>
          <w:highlight w:val="none"/>
          <w:lang w:val="en-US" w:eastAsia="zh-CN" w:bidi="ar"/>
        </w:rPr>
        <w:t>1.86</w:t>
      </w:r>
      <w:r>
        <w:rPr>
          <w:rFonts w:hint="eastAsia" w:ascii="宋体" w:hAnsi="宋体" w:eastAsia="宋体" w:cs="宋体"/>
          <w:color w:val="auto"/>
          <w:kern w:val="0"/>
          <w:sz w:val="24"/>
          <w:szCs w:val="24"/>
          <w:highlight w:val="none"/>
          <w:lang w:val="en-US" w:eastAsia="zh-CN" w:bidi="ar"/>
        </w:rPr>
        <w:t>%。变动的主要原因：</w:t>
      </w:r>
      <w:r>
        <w:rPr>
          <w:rFonts w:hint="eastAsia" w:ascii="宋体" w:hAnsi="宋体" w:eastAsia="宋体" w:cs="宋体"/>
          <w:b w:val="0"/>
          <w:bCs w:val="0"/>
          <w:color w:val="auto"/>
          <w:kern w:val="0"/>
          <w:sz w:val="24"/>
          <w:szCs w:val="24"/>
          <w:highlight w:val="none"/>
          <w:u w:val="none"/>
          <w:lang w:val="en-US" w:eastAsia="zh-CN" w:bidi="ar"/>
        </w:rPr>
        <w:t>贵州能源对能发燃料公司定向增发，在控股权转让过程中，合作双方对涉及会计估计差异及前期煤炭销售热值差异进行调整，</w:t>
      </w:r>
      <w:r>
        <w:rPr>
          <w:rFonts w:hint="eastAsia" w:ascii="宋体" w:hAnsi="宋体" w:eastAsia="宋体" w:cs="宋体"/>
          <w:color w:val="auto"/>
          <w:kern w:val="0"/>
          <w:sz w:val="24"/>
          <w:szCs w:val="24"/>
          <w:highlight w:val="none"/>
          <w:u w:val="none"/>
          <w:lang w:val="en-US" w:eastAsia="zh-CN" w:bidi="ar"/>
        </w:rPr>
        <w:t>营业成本同比增加。</w:t>
      </w:r>
    </w:p>
    <w:p>
      <w:pPr>
        <w:keepNext w:val="0"/>
        <w:keepLines w:val="0"/>
        <w:pageBreakBefore w:val="0"/>
        <w:widowControl w:val="0"/>
        <w:kinsoku/>
        <w:wordWrap/>
        <w:overflowPunct/>
        <w:topLinePunct w:val="0"/>
        <w:bidi w:val="0"/>
        <w:snapToGrid/>
        <w:spacing w:line="400" w:lineRule="exact"/>
        <w:ind w:firstLine="480" w:firstLineChars="20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fldChar w:fldCharType="begin"/>
      </w:r>
      <w:r>
        <w:rPr>
          <w:rFonts w:hint="eastAsia" w:ascii="宋体" w:hAnsi="宋体" w:eastAsia="宋体" w:cs="宋体"/>
          <w:color w:val="auto"/>
          <w:kern w:val="0"/>
          <w:sz w:val="24"/>
          <w:szCs w:val="24"/>
          <w:highlight w:val="none"/>
          <w:lang w:bidi="ar"/>
        </w:rPr>
        <w:instrText xml:space="preserve"> = 2 \* GB3 \* MERGEFORMAT </w:instrText>
      </w:r>
      <w:r>
        <w:rPr>
          <w:rFonts w:hint="eastAsia" w:ascii="宋体" w:hAnsi="宋体" w:eastAsia="宋体" w:cs="宋体"/>
          <w:color w:val="auto"/>
          <w:kern w:val="0"/>
          <w:sz w:val="24"/>
          <w:szCs w:val="24"/>
          <w:highlight w:val="none"/>
          <w:lang w:bidi="ar"/>
        </w:rPr>
        <w:fldChar w:fldCharType="separate"/>
      </w:r>
      <w:r>
        <w:rPr>
          <w:rFonts w:hint="eastAsia" w:ascii="宋体" w:hAnsi="宋体" w:eastAsia="宋体" w:cs="宋体"/>
          <w:color w:val="auto"/>
          <w:kern w:val="0"/>
          <w:sz w:val="24"/>
          <w:szCs w:val="24"/>
          <w:highlight w:val="none"/>
          <w:lang w:bidi="ar"/>
        </w:rPr>
        <w:t>②</w:t>
      </w:r>
      <w:r>
        <w:rPr>
          <w:rFonts w:hint="eastAsia" w:ascii="宋体" w:hAnsi="宋体" w:eastAsia="宋体" w:cs="宋体"/>
          <w:color w:val="auto"/>
          <w:kern w:val="0"/>
          <w:sz w:val="24"/>
          <w:szCs w:val="24"/>
          <w:highlight w:val="none"/>
          <w:lang w:bidi="ar"/>
        </w:rPr>
        <w:fldChar w:fldCharType="end"/>
      </w:r>
      <w:r>
        <w:rPr>
          <w:rFonts w:hint="eastAsia" w:ascii="宋体" w:hAnsi="宋体" w:eastAsia="宋体" w:cs="宋体"/>
          <w:color w:val="auto"/>
          <w:kern w:val="0"/>
          <w:sz w:val="24"/>
          <w:szCs w:val="24"/>
          <w:highlight w:val="none"/>
          <w:lang w:val="en-US" w:eastAsia="zh-CN" w:bidi="ar"/>
        </w:rPr>
        <w:t>销售费用</w:t>
      </w:r>
    </w:p>
    <w:p>
      <w:pPr>
        <w:keepNext w:val="0"/>
        <w:keepLines w:val="0"/>
        <w:pageBreakBefore w:val="0"/>
        <w:widowControl w:val="0"/>
        <w:kinsoku/>
        <w:wordWrap/>
        <w:overflowPunct/>
        <w:topLinePunct w:val="0"/>
        <w:bidi w:val="0"/>
        <w:snapToGrid/>
        <w:spacing w:line="400" w:lineRule="exact"/>
        <w:ind w:firstLine="480" w:firstLineChars="200"/>
        <w:jc w:val="left"/>
        <w:rPr>
          <w:rFonts w:hint="default"/>
          <w:color w:val="auto"/>
          <w:highlight w:val="none"/>
          <w:lang w:val="en-US"/>
        </w:rPr>
      </w:pPr>
      <w:r>
        <w:rPr>
          <w:rFonts w:hint="eastAsia" w:ascii="宋体" w:hAnsi="宋体" w:eastAsia="宋体" w:cs="宋体"/>
          <w:color w:val="auto"/>
          <w:kern w:val="0"/>
          <w:sz w:val="24"/>
          <w:szCs w:val="24"/>
          <w:highlight w:val="none"/>
          <w:lang w:val="en-US" w:eastAsia="zh-CN" w:bidi="ar"/>
        </w:rPr>
        <w:t>公司202</w:t>
      </w:r>
      <w:r>
        <w:rPr>
          <w:rFonts w:hint="eastAsia" w:ascii="宋体" w:hAnsi="宋体" w:cs="宋体"/>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val="en-US" w:eastAsia="zh-CN" w:bidi="ar"/>
        </w:rPr>
        <w:t>年销售费用</w:t>
      </w:r>
      <w:r>
        <w:rPr>
          <w:rFonts w:hint="eastAsia" w:ascii="宋体" w:hAnsi="宋体" w:eastAsia="宋体" w:cs="宋体"/>
          <w:i w:val="0"/>
          <w:iCs w:val="0"/>
          <w:color w:val="auto"/>
          <w:kern w:val="0"/>
          <w:sz w:val="24"/>
          <w:szCs w:val="24"/>
          <w:highlight w:val="none"/>
          <w:u w:val="none"/>
          <w:lang w:val="en-US" w:eastAsia="zh-CN" w:bidi="ar"/>
        </w:rPr>
        <w:t>94,656,503.60</w:t>
      </w:r>
      <w:r>
        <w:rPr>
          <w:rFonts w:hint="eastAsia" w:ascii="宋体" w:hAnsi="宋体" w:eastAsia="宋体" w:cs="宋体"/>
          <w:color w:val="auto"/>
          <w:kern w:val="0"/>
          <w:sz w:val="24"/>
          <w:szCs w:val="24"/>
          <w:highlight w:val="none"/>
          <w:lang w:eastAsia="zh-CN" w:bidi="ar"/>
        </w:rPr>
        <w:t>元，同比</w:t>
      </w:r>
      <w:r>
        <w:rPr>
          <w:rFonts w:hint="eastAsia" w:ascii="宋体" w:hAnsi="宋体" w:cs="宋体"/>
          <w:color w:val="auto"/>
          <w:kern w:val="0"/>
          <w:sz w:val="24"/>
          <w:szCs w:val="24"/>
          <w:highlight w:val="none"/>
          <w:lang w:val="en-US" w:eastAsia="zh-CN" w:bidi="ar"/>
        </w:rPr>
        <w:t>减少33,798,010.19</w:t>
      </w:r>
      <w:r>
        <w:rPr>
          <w:rFonts w:hint="eastAsia" w:ascii="宋体" w:hAnsi="宋体" w:eastAsia="宋体" w:cs="宋体"/>
          <w:color w:val="auto"/>
          <w:kern w:val="0"/>
          <w:sz w:val="24"/>
          <w:szCs w:val="24"/>
          <w:highlight w:val="none"/>
          <w:lang w:eastAsia="zh-CN" w:bidi="ar"/>
        </w:rPr>
        <w:t>元，</w:t>
      </w:r>
      <w:r>
        <w:rPr>
          <w:rFonts w:hint="eastAsia" w:ascii="宋体" w:hAnsi="宋体" w:cs="宋体"/>
          <w:color w:val="auto"/>
          <w:kern w:val="0"/>
          <w:sz w:val="24"/>
          <w:szCs w:val="24"/>
          <w:highlight w:val="none"/>
          <w:lang w:val="en-US" w:eastAsia="zh-CN" w:bidi="ar"/>
        </w:rPr>
        <w:t>降</w:t>
      </w:r>
      <w:r>
        <w:rPr>
          <w:rFonts w:hint="eastAsia" w:ascii="宋体" w:hAnsi="宋体" w:eastAsia="宋体" w:cs="宋体"/>
          <w:color w:val="auto"/>
          <w:kern w:val="0"/>
          <w:sz w:val="24"/>
          <w:szCs w:val="24"/>
          <w:highlight w:val="none"/>
          <w:lang w:eastAsia="zh-CN" w:bidi="ar"/>
        </w:rPr>
        <w:t>幅</w:t>
      </w:r>
      <w:r>
        <w:rPr>
          <w:rFonts w:hint="eastAsia" w:ascii="宋体" w:hAnsi="宋体" w:cs="宋体"/>
          <w:color w:val="auto"/>
          <w:kern w:val="0"/>
          <w:sz w:val="24"/>
          <w:szCs w:val="24"/>
          <w:highlight w:val="none"/>
          <w:lang w:val="en-US" w:eastAsia="zh-CN" w:bidi="ar"/>
        </w:rPr>
        <w:t>26.31%</w:t>
      </w:r>
      <w:r>
        <w:rPr>
          <w:rFonts w:hint="eastAsia" w:ascii="宋体" w:hAnsi="宋体" w:eastAsia="宋体" w:cs="宋体"/>
          <w:color w:val="auto"/>
          <w:kern w:val="0"/>
          <w:sz w:val="24"/>
          <w:szCs w:val="24"/>
          <w:highlight w:val="none"/>
          <w:lang w:val="en-US" w:eastAsia="zh-CN" w:bidi="ar"/>
        </w:rPr>
        <w:t>。变动的主要原因：202</w:t>
      </w:r>
      <w:r>
        <w:rPr>
          <w:rFonts w:hint="eastAsia" w:ascii="宋体" w:hAnsi="宋体" w:cs="宋体"/>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val="en-US" w:eastAsia="zh-CN" w:bidi="ar"/>
        </w:rPr>
        <w:t>年</w:t>
      </w:r>
      <w:r>
        <w:rPr>
          <w:rFonts w:hint="eastAsia" w:ascii="宋体" w:hAnsi="宋体" w:cs="宋体"/>
          <w:color w:val="auto"/>
          <w:kern w:val="0"/>
          <w:sz w:val="24"/>
          <w:szCs w:val="24"/>
          <w:highlight w:val="none"/>
          <w:lang w:val="en-US" w:eastAsia="zh-CN" w:bidi="ar"/>
        </w:rPr>
        <w:t>煤炭板块产量下降导致销售费用减少</w:t>
      </w:r>
      <w:r>
        <w:rPr>
          <w:rFonts w:hint="eastAsia" w:ascii="宋体" w:hAnsi="宋体" w:eastAsia="宋体" w:cs="宋体"/>
          <w:color w:val="auto"/>
          <w:kern w:val="0"/>
          <w:sz w:val="24"/>
          <w:szCs w:val="24"/>
          <w:highlight w:val="none"/>
          <w:lang w:val="en-US" w:eastAsia="zh-CN" w:bidi="ar"/>
        </w:rPr>
        <w:t>。</w:t>
      </w:r>
    </w:p>
    <w:p>
      <w:pPr>
        <w:keepNext w:val="0"/>
        <w:keepLines w:val="0"/>
        <w:pageBreakBefore w:val="0"/>
        <w:widowControl w:val="0"/>
        <w:kinsoku/>
        <w:wordWrap/>
        <w:overflowPunct/>
        <w:topLinePunct w:val="0"/>
        <w:bidi w:val="0"/>
        <w:snapToGrid/>
        <w:spacing w:line="400" w:lineRule="exact"/>
        <w:ind w:firstLine="480" w:firstLineChars="20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③</w:t>
      </w:r>
      <w:r>
        <w:rPr>
          <w:rFonts w:hint="eastAsia" w:ascii="宋体" w:hAnsi="宋体" w:eastAsia="宋体" w:cs="宋体"/>
          <w:color w:val="auto"/>
          <w:kern w:val="0"/>
          <w:sz w:val="24"/>
          <w:szCs w:val="24"/>
          <w:highlight w:val="none"/>
          <w:lang w:val="en-US" w:eastAsia="zh-CN" w:bidi="ar"/>
        </w:rPr>
        <w:t>研发费用</w:t>
      </w:r>
    </w:p>
    <w:p>
      <w:pPr>
        <w:keepNext w:val="0"/>
        <w:keepLines w:val="0"/>
        <w:pageBreakBefore w:val="0"/>
        <w:widowControl w:val="0"/>
        <w:kinsoku/>
        <w:wordWrap/>
        <w:overflowPunct/>
        <w:topLinePunct w:val="0"/>
        <w:bidi w:val="0"/>
        <w:snapToGrid/>
        <w:spacing w:line="400" w:lineRule="exact"/>
        <w:ind w:firstLine="480" w:firstLineChars="200"/>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val="en-US" w:eastAsia="zh-CN" w:bidi="ar"/>
        </w:rPr>
        <w:t>公司202</w:t>
      </w:r>
      <w:r>
        <w:rPr>
          <w:rFonts w:hint="eastAsia" w:ascii="宋体" w:hAnsi="宋体" w:cs="宋体"/>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val="en-US" w:eastAsia="zh-CN" w:bidi="ar"/>
        </w:rPr>
        <w:t>年研发费用</w:t>
      </w:r>
      <w:r>
        <w:rPr>
          <w:rFonts w:hint="eastAsia" w:ascii="宋体" w:hAnsi="宋体" w:eastAsia="宋体" w:cs="宋体"/>
          <w:i w:val="0"/>
          <w:iCs w:val="0"/>
          <w:color w:val="auto"/>
          <w:kern w:val="0"/>
          <w:sz w:val="24"/>
          <w:szCs w:val="24"/>
          <w:highlight w:val="none"/>
          <w:u w:val="none"/>
          <w:lang w:val="en-US" w:eastAsia="zh-CN" w:bidi="ar"/>
        </w:rPr>
        <w:t>129,579,443.34</w:t>
      </w:r>
      <w:r>
        <w:rPr>
          <w:rFonts w:hint="eastAsia" w:ascii="宋体" w:hAnsi="宋体" w:eastAsia="宋体" w:cs="宋体"/>
          <w:color w:val="auto"/>
          <w:kern w:val="0"/>
          <w:sz w:val="24"/>
          <w:szCs w:val="24"/>
          <w:highlight w:val="none"/>
          <w:lang w:eastAsia="zh-CN" w:bidi="ar"/>
        </w:rPr>
        <w:t>元，同比</w:t>
      </w:r>
      <w:r>
        <w:rPr>
          <w:rFonts w:hint="eastAsia" w:ascii="宋体" w:hAnsi="宋体" w:cs="宋体"/>
          <w:color w:val="auto"/>
          <w:kern w:val="0"/>
          <w:sz w:val="24"/>
          <w:szCs w:val="24"/>
          <w:highlight w:val="none"/>
          <w:lang w:val="en-US" w:eastAsia="zh-CN" w:bidi="ar"/>
        </w:rPr>
        <w:t>减少</w:t>
      </w:r>
      <w:r>
        <w:rPr>
          <w:rFonts w:hint="eastAsia" w:ascii="宋体" w:hAnsi="宋体" w:eastAsia="宋体" w:cs="宋体"/>
          <w:color w:val="auto"/>
          <w:kern w:val="0"/>
          <w:sz w:val="24"/>
          <w:szCs w:val="24"/>
          <w:highlight w:val="none"/>
          <w:lang w:bidi="ar"/>
        </w:rPr>
        <w:t>156</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bidi="ar"/>
        </w:rPr>
        <w:t>066</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bidi="ar"/>
        </w:rPr>
        <w:t>650.11</w:t>
      </w:r>
      <w:r>
        <w:rPr>
          <w:rFonts w:hint="eastAsia" w:ascii="宋体" w:hAnsi="宋体" w:eastAsia="宋体" w:cs="宋体"/>
          <w:color w:val="auto"/>
          <w:kern w:val="0"/>
          <w:sz w:val="24"/>
          <w:szCs w:val="24"/>
          <w:highlight w:val="none"/>
          <w:lang w:eastAsia="zh-CN" w:bidi="ar"/>
        </w:rPr>
        <w:t>元，</w:t>
      </w:r>
      <w:r>
        <w:rPr>
          <w:rFonts w:hint="eastAsia" w:ascii="宋体" w:hAnsi="宋体" w:cs="宋体"/>
          <w:color w:val="auto"/>
          <w:kern w:val="0"/>
          <w:sz w:val="24"/>
          <w:szCs w:val="24"/>
          <w:highlight w:val="none"/>
          <w:lang w:val="en-US" w:eastAsia="zh-CN" w:bidi="ar"/>
        </w:rPr>
        <w:t>降</w:t>
      </w:r>
      <w:r>
        <w:rPr>
          <w:rFonts w:hint="eastAsia" w:ascii="宋体" w:hAnsi="宋体" w:eastAsia="宋体" w:cs="宋体"/>
          <w:color w:val="auto"/>
          <w:kern w:val="0"/>
          <w:sz w:val="24"/>
          <w:szCs w:val="24"/>
          <w:highlight w:val="none"/>
          <w:lang w:eastAsia="zh-CN" w:bidi="ar"/>
        </w:rPr>
        <w:t>幅</w:t>
      </w:r>
      <w:r>
        <w:rPr>
          <w:rFonts w:hint="eastAsia" w:ascii="宋体" w:hAnsi="宋体" w:cs="宋体"/>
          <w:color w:val="auto"/>
          <w:kern w:val="0"/>
          <w:sz w:val="24"/>
          <w:szCs w:val="24"/>
          <w:highlight w:val="none"/>
          <w:lang w:val="en-US" w:eastAsia="zh-CN" w:bidi="ar"/>
        </w:rPr>
        <w:t>54.64</w:t>
      </w:r>
      <w:r>
        <w:rPr>
          <w:rFonts w:hint="eastAsia" w:ascii="宋体" w:hAnsi="宋体" w:eastAsia="宋体" w:cs="宋体"/>
          <w:color w:val="auto"/>
          <w:kern w:val="0"/>
          <w:sz w:val="24"/>
          <w:szCs w:val="24"/>
          <w:highlight w:val="none"/>
          <w:lang w:val="en-US" w:eastAsia="zh-CN" w:bidi="ar"/>
        </w:rPr>
        <w:t>%。变动的主要原因：202</w:t>
      </w:r>
      <w:r>
        <w:rPr>
          <w:rFonts w:hint="eastAsia" w:ascii="宋体" w:hAnsi="宋体" w:cs="宋体"/>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val="en-US" w:eastAsia="zh-CN" w:bidi="ar"/>
        </w:rPr>
        <w:t>年费用</w:t>
      </w:r>
      <w:r>
        <w:rPr>
          <w:rFonts w:hint="eastAsia" w:ascii="宋体" w:hAnsi="宋体" w:cs="宋体"/>
          <w:color w:val="auto"/>
          <w:kern w:val="0"/>
          <w:sz w:val="24"/>
          <w:szCs w:val="24"/>
          <w:highlight w:val="none"/>
          <w:lang w:val="en-US" w:eastAsia="zh-CN" w:bidi="ar"/>
        </w:rPr>
        <w:t>化研发投入减少</w:t>
      </w:r>
      <w:r>
        <w:rPr>
          <w:rFonts w:hint="eastAsia" w:ascii="宋体" w:hAnsi="宋体" w:eastAsia="宋体" w:cs="宋体"/>
          <w:color w:val="auto"/>
          <w:kern w:val="0"/>
          <w:sz w:val="24"/>
          <w:szCs w:val="24"/>
          <w:highlight w:val="none"/>
          <w:lang w:val="en-US" w:eastAsia="zh-CN" w:bidi="ar"/>
        </w:rPr>
        <w:t>。</w:t>
      </w:r>
    </w:p>
    <w:p>
      <w:pPr>
        <w:keepNext w:val="0"/>
        <w:keepLines w:val="0"/>
        <w:pageBreakBefore w:val="0"/>
        <w:widowControl w:val="0"/>
        <w:kinsoku/>
        <w:wordWrap/>
        <w:overflowPunct/>
        <w:topLinePunct w:val="0"/>
        <w:bidi w:val="0"/>
        <w:snapToGrid/>
        <w:spacing w:line="400" w:lineRule="exact"/>
        <w:ind w:firstLine="480" w:firstLineChars="200"/>
        <w:jc w:val="left"/>
        <w:rPr>
          <w:rFonts w:hint="eastAsia" w:ascii="宋体" w:hAnsi="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fldChar w:fldCharType="begin"/>
      </w:r>
      <w:r>
        <w:rPr>
          <w:rFonts w:hint="eastAsia" w:ascii="宋体" w:hAnsi="宋体" w:eastAsia="宋体" w:cs="宋体"/>
          <w:color w:val="auto"/>
          <w:kern w:val="0"/>
          <w:sz w:val="24"/>
          <w:szCs w:val="24"/>
          <w:highlight w:val="none"/>
          <w:lang w:val="en-US" w:eastAsia="zh-CN" w:bidi="ar"/>
        </w:rPr>
        <w:instrText xml:space="preserve"> = 4 \* GB3 \* MERGEFORMAT </w:instrText>
      </w:r>
      <w:r>
        <w:rPr>
          <w:rFonts w:hint="eastAsia" w:ascii="宋体" w:hAnsi="宋体" w:eastAsia="宋体" w:cs="宋体"/>
          <w:color w:val="auto"/>
          <w:kern w:val="0"/>
          <w:sz w:val="24"/>
          <w:szCs w:val="24"/>
          <w:highlight w:val="none"/>
          <w:lang w:val="en-US" w:eastAsia="zh-CN" w:bidi="ar"/>
        </w:rPr>
        <w:fldChar w:fldCharType="separate"/>
      </w:r>
      <w:r>
        <w:rPr>
          <w:rFonts w:hint="eastAsia" w:ascii="宋体" w:hAnsi="宋体" w:eastAsia="宋体" w:cs="宋体"/>
          <w:color w:val="auto"/>
          <w:kern w:val="0"/>
          <w:sz w:val="24"/>
          <w:szCs w:val="24"/>
          <w:highlight w:val="none"/>
          <w:lang w:bidi="ar"/>
        </w:rPr>
        <w:t>④</w:t>
      </w:r>
      <w:r>
        <w:rPr>
          <w:rFonts w:hint="eastAsia" w:ascii="宋体" w:hAnsi="宋体" w:eastAsia="宋体" w:cs="宋体"/>
          <w:color w:val="auto"/>
          <w:kern w:val="0"/>
          <w:sz w:val="24"/>
          <w:szCs w:val="24"/>
          <w:highlight w:val="none"/>
          <w:lang w:val="en-US" w:eastAsia="zh-CN" w:bidi="ar"/>
        </w:rPr>
        <w:fldChar w:fldCharType="end"/>
      </w:r>
      <w:r>
        <w:rPr>
          <w:rFonts w:hint="eastAsia" w:ascii="宋体" w:hAnsi="宋体" w:cs="宋体"/>
          <w:color w:val="auto"/>
          <w:kern w:val="0"/>
          <w:sz w:val="24"/>
          <w:szCs w:val="24"/>
          <w:highlight w:val="none"/>
        </w:rPr>
        <w:t>资产减值损失</w:t>
      </w:r>
    </w:p>
    <w:p>
      <w:pPr>
        <w:keepNext w:val="0"/>
        <w:keepLines w:val="0"/>
        <w:pageBreakBefore w:val="0"/>
        <w:widowControl w:val="0"/>
        <w:kinsoku/>
        <w:wordWrap/>
        <w:overflowPunct/>
        <w:topLinePunct w:val="0"/>
        <w:bidi w:val="0"/>
        <w:snapToGrid/>
        <w:spacing w:line="400" w:lineRule="exact"/>
        <w:ind w:firstLine="480" w:firstLineChars="20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公司202</w:t>
      </w:r>
      <w:r>
        <w:rPr>
          <w:rFonts w:hint="eastAsia" w:ascii="宋体" w:hAnsi="宋体" w:cs="宋体"/>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val="en-US" w:eastAsia="zh-CN" w:bidi="ar"/>
        </w:rPr>
        <w:t>年资产减值损失</w:t>
      </w:r>
      <w:r>
        <w:rPr>
          <w:rFonts w:hint="eastAsia" w:ascii="宋体" w:hAnsi="宋体" w:eastAsia="宋体" w:cs="宋体"/>
          <w:i w:val="0"/>
          <w:iCs w:val="0"/>
          <w:color w:val="auto"/>
          <w:kern w:val="0"/>
          <w:sz w:val="24"/>
          <w:szCs w:val="24"/>
          <w:highlight w:val="none"/>
          <w:u w:val="none"/>
          <w:lang w:val="en-US" w:eastAsia="zh-CN" w:bidi="ar"/>
        </w:rPr>
        <w:t>-502,902,323.36</w:t>
      </w:r>
      <w:r>
        <w:rPr>
          <w:rFonts w:hint="eastAsia" w:ascii="宋体" w:hAnsi="宋体" w:eastAsia="宋体" w:cs="宋体"/>
          <w:color w:val="auto"/>
          <w:kern w:val="0"/>
          <w:sz w:val="24"/>
          <w:szCs w:val="24"/>
          <w:highlight w:val="none"/>
          <w:lang w:val="en-US" w:eastAsia="zh-CN" w:bidi="ar"/>
        </w:rPr>
        <w:t>元，同比</w:t>
      </w:r>
      <w:r>
        <w:rPr>
          <w:rFonts w:hint="eastAsia" w:ascii="宋体" w:hAnsi="宋体" w:cs="宋体"/>
          <w:color w:val="auto"/>
          <w:kern w:val="0"/>
          <w:sz w:val="24"/>
          <w:szCs w:val="24"/>
          <w:highlight w:val="none"/>
          <w:lang w:val="en-US" w:eastAsia="zh-CN" w:bidi="ar"/>
        </w:rPr>
        <w:t>减少</w:t>
      </w:r>
      <w:r>
        <w:rPr>
          <w:rFonts w:hint="eastAsia" w:ascii="宋体" w:hAnsi="宋体" w:eastAsia="宋体" w:cs="宋体"/>
          <w:color w:val="auto"/>
          <w:kern w:val="0"/>
          <w:sz w:val="24"/>
          <w:szCs w:val="24"/>
          <w:highlight w:val="none"/>
          <w:lang w:val="en-US" w:eastAsia="zh-CN" w:bidi="ar"/>
        </w:rPr>
        <w:t>2</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995</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119</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638.43 元，</w:t>
      </w:r>
      <w:r>
        <w:rPr>
          <w:rFonts w:hint="eastAsia" w:ascii="宋体" w:hAnsi="宋体" w:cs="宋体"/>
          <w:color w:val="auto"/>
          <w:kern w:val="0"/>
          <w:sz w:val="24"/>
          <w:szCs w:val="24"/>
          <w:highlight w:val="none"/>
          <w:lang w:val="en-US" w:eastAsia="zh-CN" w:bidi="ar"/>
        </w:rPr>
        <w:t>降</w:t>
      </w:r>
      <w:r>
        <w:rPr>
          <w:rFonts w:hint="eastAsia" w:ascii="宋体" w:hAnsi="宋体" w:eastAsia="宋体" w:cs="宋体"/>
          <w:color w:val="auto"/>
          <w:kern w:val="0"/>
          <w:sz w:val="24"/>
          <w:szCs w:val="24"/>
          <w:highlight w:val="none"/>
          <w:lang w:val="en-US" w:eastAsia="zh-CN" w:bidi="ar"/>
        </w:rPr>
        <w:t>幅</w:t>
      </w:r>
      <w:r>
        <w:rPr>
          <w:rFonts w:hint="eastAsia" w:ascii="宋体" w:hAnsi="宋体" w:cs="宋体"/>
          <w:color w:val="auto"/>
          <w:kern w:val="0"/>
          <w:sz w:val="24"/>
          <w:szCs w:val="24"/>
          <w:highlight w:val="none"/>
          <w:lang w:val="en-US" w:eastAsia="zh-CN" w:bidi="ar"/>
        </w:rPr>
        <w:t>85.62</w:t>
      </w:r>
      <w:r>
        <w:rPr>
          <w:rFonts w:hint="eastAsia" w:ascii="宋体" w:hAnsi="宋体" w:eastAsia="宋体" w:cs="宋体"/>
          <w:color w:val="auto"/>
          <w:kern w:val="0"/>
          <w:sz w:val="24"/>
          <w:szCs w:val="24"/>
          <w:highlight w:val="none"/>
          <w:lang w:val="en-US" w:eastAsia="zh-CN" w:bidi="ar"/>
        </w:rPr>
        <w:t>%。变动的主要原因：2023年</w:t>
      </w:r>
      <w:r>
        <w:rPr>
          <w:rFonts w:hint="eastAsia" w:ascii="宋体" w:hAnsi="宋体" w:cs="宋体"/>
          <w:color w:val="auto"/>
          <w:kern w:val="0"/>
          <w:sz w:val="24"/>
          <w:szCs w:val="24"/>
          <w:highlight w:val="none"/>
          <w:lang w:val="en-US" w:eastAsia="zh-CN" w:bidi="ar"/>
        </w:rPr>
        <w:t>贵州金元收购绥阳产业，</w:t>
      </w:r>
      <w:r>
        <w:rPr>
          <w:rFonts w:hint="eastAsia" w:ascii="宋体" w:hAnsi="宋体" w:eastAsia="宋体" w:cs="宋体"/>
          <w:color w:val="auto"/>
          <w:kern w:val="0"/>
          <w:sz w:val="24"/>
          <w:szCs w:val="24"/>
          <w:highlight w:val="none"/>
          <w:lang w:val="en-US" w:eastAsia="zh-CN" w:bidi="ar"/>
        </w:rPr>
        <w:t>计提</w:t>
      </w:r>
      <w:r>
        <w:rPr>
          <w:rFonts w:hint="eastAsia" w:ascii="宋体" w:hAnsi="宋体" w:cs="宋体"/>
          <w:color w:val="auto"/>
          <w:kern w:val="0"/>
          <w:sz w:val="24"/>
          <w:szCs w:val="24"/>
          <w:highlight w:val="none"/>
          <w:lang w:val="en-US" w:eastAsia="zh-CN" w:bidi="ar"/>
        </w:rPr>
        <w:t>大额商誉</w:t>
      </w:r>
      <w:r>
        <w:rPr>
          <w:rFonts w:hint="eastAsia" w:ascii="宋体" w:hAnsi="宋体" w:eastAsia="宋体" w:cs="宋体"/>
          <w:color w:val="auto"/>
          <w:kern w:val="0"/>
          <w:sz w:val="24"/>
          <w:szCs w:val="24"/>
          <w:highlight w:val="none"/>
          <w:lang w:val="en-US" w:eastAsia="zh-CN" w:bidi="ar"/>
        </w:rPr>
        <w:t>减值</w:t>
      </w:r>
      <w:r>
        <w:rPr>
          <w:rFonts w:hint="eastAsia" w:ascii="宋体" w:hAnsi="宋体" w:cs="宋体"/>
          <w:color w:val="auto"/>
          <w:kern w:val="0"/>
          <w:sz w:val="24"/>
          <w:szCs w:val="24"/>
          <w:highlight w:val="none"/>
          <w:lang w:val="en-US" w:eastAsia="zh-CN" w:bidi="ar"/>
        </w:rPr>
        <w:t>，2024年贵州能源对能发公司定向增发，在控股权转让过程中对存在减值迹象的</w:t>
      </w:r>
      <w:r>
        <w:rPr>
          <w:rFonts w:hint="eastAsia" w:ascii="宋体" w:hAnsi="宋体" w:eastAsia="宋体" w:cs="宋体"/>
          <w:b w:val="0"/>
          <w:bCs w:val="0"/>
          <w:color w:val="auto"/>
          <w:kern w:val="0"/>
          <w:sz w:val="24"/>
          <w:szCs w:val="24"/>
          <w:highlight w:val="none"/>
          <w:lang w:val="en-US" w:eastAsia="zh-CN" w:bidi="ar"/>
        </w:rPr>
        <w:t>资产进行</w:t>
      </w:r>
      <w:r>
        <w:rPr>
          <w:rFonts w:hint="eastAsia" w:ascii="宋体" w:hAnsi="宋体" w:cs="宋体"/>
          <w:color w:val="auto"/>
          <w:kern w:val="0"/>
          <w:sz w:val="24"/>
          <w:szCs w:val="24"/>
          <w:highlight w:val="none"/>
          <w:lang w:val="en-US" w:eastAsia="zh-CN" w:bidi="ar"/>
        </w:rPr>
        <w:t>减值测试</w:t>
      </w:r>
      <w:r>
        <w:rPr>
          <w:rFonts w:hint="eastAsia" w:ascii="宋体" w:hAnsi="宋体" w:eastAsia="宋体" w:cs="宋体"/>
          <w:color w:val="auto"/>
          <w:kern w:val="0"/>
          <w:sz w:val="24"/>
          <w:szCs w:val="24"/>
          <w:highlight w:val="none"/>
          <w:lang w:val="en-US" w:eastAsia="zh-CN" w:bidi="ar"/>
        </w:rPr>
        <w:t>，</w:t>
      </w:r>
      <w:r>
        <w:rPr>
          <w:rFonts w:hint="eastAsia" w:ascii="宋体" w:hAnsi="宋体" w:cs="宋体"/>
          <w:color w:val="auto"/>
          <w:kern w:val="0"/>
          <w:sz w:val="24"/>
          <w:szCs w:val="24"/>
          <w:highlight w:val="none"/>
          <w:lang w:val="en-US" w:eastAsia="zh-CN" w:bidi="ar"/>
        </w:rPr>
        <w:t>根据减值测试报告，</w:t>
      </w:r>
      <w:r>
        <w:rPr>
          <w:rFonts w:hint="eastAsia" w:ascii="宋体" w:hAnsi="宋体" w:eastAsia="宋体" w:cs="宋体"/>
          <w:color w:val="auto"/>
          <w:kern w:val="0"/>
          <w:sz w:val="24"/>
          <w:szCs w:val="24"/>
          <w:highlight w:val="none"/>
          <w:lang w:val="en-US" w:eastAsia="zh-CN" w:bidi="ar"/>
        </w:rPr>
        <w:t>确认减值损失</w:t>
      </w:r>
      <w:r>
        <w:rPr>
          <w:rFonts w:hint="eastAsia" w:ascii="宋体" w:hAnsi="宋体" w:cs="宋体"/>
          <w:color w:val="auto"/>
          <w:kern w:val="0"/>
          <w:sz w:val="24"/>
          <w:szCs w:val="24"/>
          <w:highlight w:val="none"/>
          <w:lang w:val="en-US" w:eastAsia="zh-CN" w:bidi="ar"/>
        </w:rPr>
        <w:t>5.09亿元。</w:t>
      </w:r>
    </w:p>
    <w:p>
      <w:pPr>
        <w:keepNext w:val="0"/>
        <w:keepLines w:val="0"/>
        <w:pageBreakBefore w:val="0"/>
        <w:widowControl w:val="0"/>
        <w:kinsoku/>
        <w:wordWrap/>
        <w:overflowPunct/>
        <w:topLinePunct w:val="0"/>
        <w:bidi w:val="0"/>
        <w:snapToGrid/>
        <w:spacing w:line="400" w:lineRule="exact"/>
        <w:ind w:firstLine="480" w:firstLineChars="20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fldChar w:fldCharType="begin"/>
      </w:r>
      <w:r>
        <w:rPr>
          <w:rFonts w:hint="eastAsia" w:ascii="宋体" w:hAnsi="宋体" w:eastAsia="宋体" w:cs="宋体"/>
          <w:color w:val="auto"/>
          <w:kern w:val="0"/>
          <w:sz w:val="24"/>
          <w:szCs w:val="24"/>
          <w:highlight w:val="none"/>
          <w:lang w:val="en-US" w:eastAsia="zh-CN" w:bidi="ar"/>
        </w:rPr>
        <w:instrText xml:space="preserve"> = 5 \* GB3 \* MERGEFORMAT </w:instrText>
      </w:r>
      <w:r>
        <w:rPr>
          <w:rFonts w:hint="eastAsia" w:ascii="宋体" w:hAnsi="宋体" w:eastAsia="宋体" w:cs="宋体"/>
          <w:color w:val="auto"/>
          <w:kern w:val="0"/>
          <w:sz w:val="24"/>
          <w:szCs w:val="24"/>
          <w:highlight w:val="none"/>
          <w:lang w:val="en-US" w:eastAsia="zh-CN" w:bidi="ar"/>
        </w:rPr>
        <w:fldChar w:fldCharType="separate"/>
      </w:r>
      <w:r>
        <w:rPr>
          <w:rFonts w:hint="eastAsia" w:ascii="宋体" w:hAnsi="宋体" w:eastAsia="宋体" w:cs="宋体"/>
          <w:color w:val="auto"/>
          <w:kern w:val="0"/>
          <w:sz w:val="24"/>
          <w:szCs w:val="24"/>
          <w:highlight w:val="none"/>
          <w:lang w:val="en-US" w:eastAsia="zh-CN" w:bidi="ar"/>
        </w:rPr>
        <w:t>⑤</w:t>
      </w:r>
      <w:r>
        <w:rPr>
          <w:rFonts w:hint="eastAsia" w:ascii="宋体" w:hAnsi="宋体" w:eastAsia="宋体" w:cs="宋体"/>
          <w:color w:val="auto"/>
          <w:kern w:val="0"/>
          <w:sz w:val="24"/>
          <w:szCs w:val="24"/>
          <w:highlight w:val="none"/>
          <w:lang w:val="en-US" w:eastAsia="zh-CN" w:bidi="ar"/>
        </w:rPr>
        <w:fldChar w:fldCharType="end"/>
      </w:r>
      <w:r>
        <w:rPr>
          <w:rFonts w:hint="eastAsia" w:ascii="宋体" w:hAnsi="宋体" w:eastAsia="宋体" w:cs="宋体"/>
          <w:color w:val="auto"/>
          <w:kern w:val="0"/>
          <w:sz w:val="24"/>
          <w:szCs w:val="24"/>
          <w:highlight w:val="none"/>
          <w:lang w:val="en-US" w:eastAsia="zh-CN" w:bidi="ar"/>
        </w:rPr>
        <w:t>资产处置收益</w:t>
      </w:r>
    </w:p>
    <w:p>
      <w:pPr>
        <w:keepNext w:val="0"/>
        <w:keepLines w:val="0"/>
        <w:pageBreakBefore w:val="0"/>
        <w:widowControl w:val="0"/>
        <w:kinsoku/>
        <w:wordWrap/>
        <w:overflowPunct/>
        <w:topLinePunct w:val="0"/>
        <w:bidi w:val="0"/>
        <w:snapToGrid/>
        <w:spacing w:line="400" w:lineRule="exact"/>
        <w:ind w:firstLine="480" w:firstLineChars="20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eastAsia="zh-CN" w:bidi="ar"/>
        </w:rPr>
        <w:t>公司</w:t>
      </w:r>
      <w:r>
        <w:rPr>
          <w:rFonts w:hint="eastAsia" w:ascii="宋体" w:hAnsi="宋体" w:eastAsia="宋体" w:cs="宋体"/>
          <w:b w:val="0"/>
          <w:bCs w:val="0"/>
          <w:color w:val="auto"/>
          <w:kern w:val="0"/>
          <w:sz w:val="24"/>
          <w:szCs w:val="24"/>
          <w:highlight w:val="none"/>
          <w:lang w:val="en-US" w:eastAsia="zh-CN" w:bidi="ar"/>
        </w:rPr>
        <w:t>202</w:t>
      </w:r>
      <w:r>
        <w:rPr>
          <w:rFonts w:hint="eastAsia" w:ascii="宋体" w:hAnsi="宋体" w:cs="宋体"/>
          <w:b w:val="0"/>
          <w:bCs w:val="0"/>
          <w:color w:val="auto"/>
          <w:kern w:val="0"/>
          <w:sz w:val="24"/>
          <w:szCs w:val="24"/>
          <w:highlight w:val="none"/>
          <w:lang w:val="en-US" w:eastAsia="zh-CN" w:bidi="ar"/>
        </w:rPr>
        <w:t>4</w:t>
      </w:r>
      <w:r>
        <w:rPr>
          <w:rFonts w:hint="eastAsia" w:ascii="宋体" w:hAnsi="宋体" w:eastAsia="宋体" w:cs="宋体"/>
          <w:b w:val="0"/>
          <w:bCs w:val="0"/>
          <w:color w:val="auto"/>
          <w:kern w:val="0"/>
          <w:sz w:val="24"/>
          <w:szCs w:val="24"/>
          <w:highlight w:val="none"/>
          <w:lang w:val="en-US" w:eastAsia="zh-CN" w:bidi="ar"/>
        </w:rPr>
        <w:t>年资产处置收益</w:t>
      </w:r>
      <w:r>
        <w:rPr>
          <w:rFonts w:hint="eastAsia" w:ascii="宋体" w:hAnsi="宋体" w:eastAsia="宋体" w:cs="宋体"/>
          <w:i w:val="0"/>
          <w:iCs w:val="0"/>
          <w:color w:val="auto"/>
          <w:kern w:val="0"/>
          <w:sz w:val="24"/>
          <w:szCs w:val="24"/>
          <w:highlight w:val="none"/>
          <w:u w:val="none"/>
          <w:lang w:val="en-US" w:eastAsia="zh-CN" w:bidi="ar"/>
        </w:rPr>
        <w:t>130,879,954.49</w:t>
      </w:r>
      <w:r>
        <w:rPr>
          <w:rFonts w:hint="eastAsia" w:ascii="宋体" w:hAnsi="宋体" w:eastAsia="宋体" w:cs="宋体"/>
          <w:color w:val="auto"/>
          <w:kern w:val="0"/>
          <w:sz w:val="24"/>
          <w:szCs w:val="24"/>
          <w:highlight w:val="none"/>
          <w:lang w:eastAsia="zh-CN" w:bidi="ar"/>
        </w:rPr>
        <w:t>元，同比</w:t>
      </w:r>
      <w:r>
        <w:rPr>
          <w:rFonts w:hint="eastAsia" w:ascii="宋体" w:hAnsi="宋体" w:cs="宋体"/>
          <w:color w:val="auto"/>
          <w:kern w:val="0"/>
          <w:sz w:val="24"/>
          <w:szCs w:val="24"/>
          <w:highlight w:val="none"/>
          <w:lang w:eastAsia="zh-CN" w:bidi="ar"/>
        </w:rPr>
        <w:t>减少</w:t>
      </w:r>
      <w:r>
        <w:rPr>
          <w:rFonts w:hint="eastAsia" w:ascii="宋体" w:hAnsi="宋体" w:eastAsia="宋体" w:cs="宋体"/>
          <w:color w:val="auto"/>
          <w:kern w:val="0"/>
          <w:sz w:val="24"/>
          <w:szCs w:val="24"/>
          <w:highlight w:val="none"/>
          <w:lang w:bidi="ar"/>
        </w:rPr>
        <w:t>30</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bidi="ar"/>
        </w:rPr>
        <w:t>253</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bidi="ar"/>
        </w:rPr>
        <w:t>652.77</w:t>
      </w:r>
      <w:r>
        <w:rPr>
          <w:rFonts w:hint="eastAsia" w:ascii="宋体" w:hAnsi="宋体" w:eastAsia="宋体" w:cs="宋体"/>
          <w:color w:val="auto"/>
          <w:kern w:val="0"/>
          <w:sz w:val="24"/>
          <w:szCs w:val="24"/>
          <w:highlight w:val="none"/>
          <w:lang w:eastAsia="zh-CN" w:bidi="ar"/>
        </w:rPr>
        <w:t>元，</w:t>
      </w:r>
      <w:r>
        <w:rPr>
          <w:rFonts w:hint="eastAsia" w:ascii="宋体" w:hAnsi="宋体" w:cs="宋体"/>
          <w:color w:val="auto"/>
          <w:kern w:val="0"/>
          <w:sz w:val="24"/>
          <w:szCs w:val="24"/>
          <w:highlight w:val="none"/>
          <w:lang w:val="en-US" w:eastAsia="zh-CN" w:bidi="ar"/>
        </w:rPr>
        <w:t>降</w:t>
      </w:r>
      <w:r>
        <w:rPr>
          <w:rFonts w:hint="eastAsia" w:ascii="宋体" w:hAnsi="宋体" w:eastAsia="宋体" w:cs="宋体"/>
          <w:color w:val="auto"/>
          <w:kern w:val="0"/>
          <w:sz w:val="24"/>
          <w:szCs w:val="24"/>
          <w:highlight w:val="none"/>
          <w:lang w:eastAsia="zh-CN" w:bidi="ar"/>
        </w:rPr>
        <w:t>幅</w:t>
      </w:r>
      <w:r>
        <w:rPr>
          <w:rFonts w:hint="eastAsia" w:ascii="宋体" w:hAnsi="宋体" w:cs="宋体"/>
          <w:color w:val="auto"/>
          <w:kern w:val="0"/>
          <w:sz w:val="24"/>
          <w:szCs w:val="24"/>
          <w:highlight w:val="none"/>
          <w:lang w:val="en-US" w:eastAsia="zh-CN" w:bidi="ar"/>
        </w:rPr>
        <w:t>18.78</w:t>
      </w:r>
      <w:r>
        <w:rPr>
          <w:rFonts w:hint="eastAsia" w:ascii="宋体" w:hAnsi="宋体" w:eastAsia="宋体" w:cs="宋体"/>
          <w:color w:val="auto"/>
          <w:kern w:val="0"/>
          <w:sz w:val="24"/>
          <w:szCs w:val="24"/>
          <w:highlight w:val="none"/>
          <w:lang w:val="en-US" w:eastAsia="zh-CN" w:bidi="ar"/>
        </w:rPr>
        <w:t>%。变动的主要原因：202</w:t>
      </w:r>
      <w:r>
        <w:rPr>
          <w:rFonts w:hint="eastAsia" w:ascii="宋体" w:hAnsi="宋体" w:cs="宋体"/>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val="en-US" w:eastAsia="zh-CN" w:bidi="ar"/>
        </w:rPr>
        <w:t>年</w:t>
      </w:r>
      <w:r>
        <w:rPr>
          <w:rFonts w:hint="eastAsia" w:ascii="宋体" w:hAnsi="宋体" w:cs="宋体"/>
          <w:color w:val="auto"/>
          <w:kern w:val="0"/>
          <w:sz w:val="24"/>
          <w:szCs w:val="24"/>
          <w:highlight w:val="none"/>
          <w:lang w:val="en-US" w:eastAsia="zh-CN" w:bidi="ar"/>
        </w:rPr>
        <w:t>处置小水电资产，确认资产处置收益1.31亿元</w:t>
      </w:r>
      <w:r>
        <w:rPr>
          <w:rFonts w:hint="eastAsia" w:ascii="宋体" w:hAnsi="宋体" w:eastAsia="宋体" w:cs="宋体"/>
          <w:color w:val="auto"/>
          <w:kern w:val="0"/>
          <w:sz w:val="24"/>
          <w:szCs w:val="24"/>
          <w:highlight w:val="none"/>
          <w:lang w:val="en-US" w:eastAsia="zh-CN" w:bidi="ar"/>
        </w:rPr>
        <w:t>。</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⑥公允价值变动收益</w:t>
      </w:r>
    </w:p>
    <w:p>
      <w:pPr>
        <w:keepNext w:val="0"/>
        <w:keepLines w:val="0"/>
        <w:pageBreakBefore w:val="0"/>
        <w:widowControl w:val="0"/>
        <w:kinsoku/>
        <w:wordWrap/>
        <w:overflowPunct/>
        <w:topLinePunct w:val="0"/>
        <w:bidi w:val="0"/>
        <w:snapToGrid/>
        <w:spacing w:line="400" w:lineRule="exact"/>
        <w:ind w:firstLine="480" w:firstLineChars="20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eastAsia="zh-CN" w:bidi="ar"/>
        </w:rPr>
        <w:t>公司</w:t>
      </w:r>
      <w:r>
        <w:rPr>
          <w:rFonts w:hint="eastAsia" w:ascii="宋体" w:hAnsi="宋体" w:eastAsia="宋体" w:cs="宋体"/>
          <w:b w:val="0"/>
          <w:bCs w:val="0"/>
          <w:color w:val="auto"/>
          <w:kern w:val="0"/>
          <w:sz w:val="24"/>
          <w:szCs w:val="24"/>
          <w:highlight w:val="none"/>
          <w:lang w:val="en-US" w:eastAsia="zh-CN" w:bidi="ar"/>
        </w:rPr>
        <w:t>202</w:t>
      </w:r>
      <w:r>
        <w:rPr>
          <w:rFonts w:hint="eastAsia" w:ascii="宋体" w:hAnsi="宋体" w:cs="宋体"/>
          <w:b w:val="0"/>
          <w:bCs w:val="0"/>
          <w:color w:val="auto"/>
          <w:kern w:val="0"/>
          <w:sz w:val="24"/>
          <w:szCs w:val="24"/>
          <w:highlight w:val="none"/>
          <w:lang w:val="en-US" w:eastAsia="zh-CN" w:bidi="ar"/>
        </w:rPr>
        <w:t>4</w:t>
      </w:r>
      <w:r>
        <w:rPr>
          <w:rFonts w:hint="eastAsia" w:ascii="宋体" w:hAnsi="宋体" w:eastAsia="宋体" w:cs="宋体"/>
          <w:b w:val="0"/>
          <w:bCs w:val="0"/>
          <w:color w:val="auto"/>
          <w:kern w:val="0"/>
          <w:sz w:val="24"/>
          <w:szCs w:val="24"/>
          <w:highlight w:val="none"/>
          <w:lang w:val="en-US" w:eastAsia="zh-CN" w:bidi="ar"/>
        </w:rPr>
        <w:t>年公允价值变动收益</w:t>
      </w:r>
      <w:r>
        <w:rPr>
          <w:rFonts w:hint="eastAsia" w:ascii="宋体" w:hAnsi="宋体" w:eastAsia="宋体" w:cs="宋体"/>
          <w:i w:val="0"/>
          <w:iCs w:val="0"/>
          <w:color w:val="auto"/>
          <w:kern w:val="0"/>
          <w:sz w:val="24"/>
          <w:szCs w:val="24"/>
          <w:highlight w:val="none"/>
          <w:u w:val="none"/>
          <w:lang w:val="en-US" w:eastAsia="zh-CN" w:bidi="ar"/>
        </w:rPr>
        <w:t>-24,724,161.36</w:t>
      </w:r>
      <w:r>
        <w:rPr>
          <w:rFonts w:hint="eastAsia" w:ascii="宋体" w:hAnsi="宋体" w:eastAsia="宋体" w:cs="宋体"/>
          <w:color w:val="auto"/>
          <w:kern w:val="0"/>
          <w:sz w:val="24"/>
          <w:szCs w:val="24"/>
          <w:highlight w:val="none"/>
          <w:lang w:eastAsia="zh-CN" w:bidi="ar"/>
        </w:rPr>
        <w:t>元，同比</w:t>
      </w:r>
      <w:r>
        <w:rPr>
          <w:rFonts w:hint="eastAsia" w:ascii="宋体" w:hAnsi="宋体" w:cs="宋体"/>
          <w:color w:val="auto"/>
          <w:kern w:val="0"/>
          <w:sz w:val="24"/>
          <w:szCs w:val="24"/>
          <w:highlight w:val="none"/>
          <w:lang w:val="en-US" w:eastAsia="zh-CN" w:bidi="ar"/>
        </w:rPr>
        <w:t>减少</w:t>
      </w:r>
      <w:r>
        <w:rPr>
          <w:rFonts w:hint="eastAsia" w:ascii="宋体" w:hAnsi="宋体" w:eastAsia="宋体" w:cs="宋体"/>
          <w:color w:val="auto"/>
          <w:kern w:val="0"/>
          <w:sz w:val="24"/>
          <w:szCs w:val="24"/>
          <w:highlight w:val="none"/>
          <w:lang w:bidi="ar"/>
        </w:rPr>
        <w:t>8</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bidi="ar"/>
        </w:rPr>
        <w:t>252</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bidi="ar"/>
        </w:rPr>
        <w:t xml:space="preserve">924.45 </w:t>
      </w:r>
      <w:r>
        <w:rPr>
          <w:rFonts w:hint="eastAsia" w:ascii="宋体" w:hAnsi="宋体" w:eastAsia="宋体" w:cs="宋体"/>
          <w:color w:val="auto"/>
          <w:kern w:val="0"/>
          <w:sz w:val="24"/>
          <w:szCs w:val="24"/>
          <w:highlight w:val="none"/>
          <w:lang w:eastAsia="zh-CN" w:bidi="ar"/>
        </w:rPr>
        <w:t>元，</w:t>
      </w:r>
      <w:r>
        <w:rPr>
          <w:rFonts w:hint="eastAsia" w:ascii="宋体" w:hAnsi="宋体" w:cs="宋体"/>
          <w:color w:val="auto"/>
          <w:kern w:val="0"/>
          <w:sz w:val="24"/>
          <w:szCs w:val="24"/>
          <w:highlight w:val="none"/>
          <w:lang w:val="en-US" w:eastAsia="zh-CN" w:bidi="ar"/>
        </w:rPr>
        <w:t>降</w:t>
      </w:r>
      <w:r>
        <w:rPr>
          <w:rFonts w:hint="eastAsia" w:ascii="宋体" w:hAnsi="宋体" w:eastAsia="宋体" w:cs="宋体"/>
          <w:color w:val="auto"/>
          <w:kern w:val="0"/>
          <w:sz w:val="24"/>
          <w:szCs w:val="24"/>
          <w:highlight w:val="none"/>
          <w:lang w:eastAsia="zh-CN" w:bidi="ar"/>
        </w:rPr>
        <w:t>幅</w:t>
      </w:r>
      <w:r>
        <w:rPr>
          <w:rFonts w:hint="eastAsia" w:ascii="宋体" w:hAnsi="宋体" w:cs="宋体"/>
          <w:color w:val="auto"/>
          <w:kern w:val="0"/>
          <w:sz w:val="24"/>
          <w:szCs w:val="24"/>
          <w:highlight w:val="none"/>
          <w:lang w:val="en-US" w:eastAsia="zh-CN" w:bidi="ar"/>
        </w:rPr>
        <w:t>50.11</w:t>
      </w:r>
      <w:r>
        <w:rPr>
          <w:rFonts w:hint="eastAsia" w:ascii="宋体" w:hAnsi="宋体" w:eastAsia="宋体" w:cs="宋体"/>
          <w:color w:val="auto"/>
          <w:kern w:val="0"/>
          <w:sz w:val="24"/>
          <w:szCs w:val="24"/>
          <w:highlight w:val="none"/>
          <w:lang w:val="en-US" w:eastAsia="zh-CN" w:bidi="ar"/>
        </w:rPr>
        <w:t>%。变动的主要原因：202</w:t>
      </w:r>
      <w:r>
        <w:rPr>
          <w:rFonts w:hint="eastAsia" w:ascii="宋体" w:hAnsi="宋体" w:cs="宋体"/>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val="en-US" w:eastAsia="zh-CN" w:bidi="ar"/>
        </w:rPr>
        <w:t>年</w:t>
      </w:r>
      <w:r>
        <w:rPr>
          <w:rFonts w:hint="eastAsia" w:ascii="宋体" w:hAnsi="宋体" w:cs="宋体"/>
          <w:color w:val="auto"/>
          <w:kern w:val="0"/>
          <w:sz w:val="24"/>
          <w:szCs w:val="24"/>
          <w:highlight w:val="none"/>
          <w:lang w:val="en-US" w:eastAsia="zh-CN" w:bidi="ar"/>
        </w:rPr>
        <w:t>投资性房地产评估价值降低</w:t>
      </w:r>
      <w:r>
        <w:rPr>
          <w:rFonts w:hint="eastAsia" w:ascii="宋体" w:hAnsi="宋体" w:eastAsia="宋体" w:cs="宋体"/>
          <w:color w:val="auto"/>
          <w:kern w:val="0"/>
          <w:sz w:val="24"/>
          <w:szCs w:val="24"/>
          <w:highlight w:val="none"/>
          <w:lang w:val="en-US" w:eastAsia="zh-CN" w:bidi="ar"/>
        </w:rPr>
        <w:t>。</w:t>
      </w:r>
    </w:p>
    <w:p>
      <w:pPr>
        <w:keepNext w:val="0"/>
        <w:keepLines w:val="0"/>
        <w:pageBreakBefore w:val="0"/>
        <w:widowControl w:val="0"/>
        <w:kinsoku/>
        <w:wordWrap/>
        <w:overflowPunct/>
        <w:topLinePunct w:val="0"/>
        <w:bidi w:val="0"/>
        <w:snapToGrid/>
        <w:spacing w:line="400" w:lineRule="exact"/>
        <w:ind w:firstLine="480" w:firstLineChars="20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⑦营业外支出</w:t>
      </w:r>
    </w:p>
    <w:p>
      <w:pPr>
        <w:keepNext w:val="0"/>
        <w:keepLines w:val="0"/>
        <w:pageBreakBefore w:val="0"/>
        <w:widowControl w:val="0"/>
        <w:kinsoku/>
        <w:wordWrap/>
        <w:overflowPunct/>
        <w:topLinePunct w:val="0"/>
        <w:bidi w:val="0"/>
        <w:snapToGrid/>
        <w:spacing w:line="400" w:lineRule="exact"/>
        <w:ind w:firstLine="480" w:firstLineChars="200"/>
        <w:jc w:val="left"/>
        <w:rPr>
          <w:rFonts w:hint="default"/>
          <w:color w:val="auto"/>
          <w:highlight w:val="none"/>
          <w:lang w:val="en-US" w:eastAsia="zh-CN"/>
        </w:rPr>
      </w:pPr>
      <w:r>
        <w:rPr>
          <w:rFonts w:hint="eastAsia" w:ascii="宋体" w:hAnsi="宋体" w:eastAsia="宋体" w:cs="宋体"/>
          <w:b w:val="0"/>
          <w:bCs w:val="0"/>
          <w:color w:val="auto"/>
          <w:kern w:val="0"/>
          <w:sz w:val="24"/>
          <w:szCs w:val="24"/>
          <w:highlight w:val="none"/>
          <w:lang w:eastAsia="zh-CN" w:bidi="ar"/>
        </w:rPr>
        <w:t>公司</w:t>
      </w:r>
      <w:r>
        <w:rPr>
          <w:rFonts w:hint="eastAsia" w:ascii="宋体" w:hAnsi="宋体" w:eastAsia="宋体" w:cs="宋体"/>
          <w:b w:val="0"/>
          <w:bCs w:val="0"/>
          <w:color w:val="auto"/>
          <w:kern w:val="0"/>
          <w:sz w:val="24"/>
          <w:szCs w:val="24"/>
          <w:highlight w:val="none"/>
          <w:lang w:val="en-US" w:eastAsia="zh-CN" w:bidi="ar"/>
        </w:rPr>
        <w:t>202</w:t>
      </w:r>
      <w:r>
        <w:rPr>
          <w:rFonts w:hint="eastAsia" w:ascii="宋体" w:hAnsi="宋体" w:cs="宋体"/>
          <w:b w:val="0"/>
          <w:bCs w:val="0"/>
          <w:color w:val="auto"/>
          <w:kern w:val="0"/>
          <w:sz w:val="24"/>
          <w:szCs w:val="24"/>
          <w:highlight w:val="none"/>
          <w:lang w:val="en-US" w:eastAsia="zh-CN" w:bidi="ar"/>
        </w:rPr>
        <w:t>4</w:t>
      </w:r>
      <w:r>
        <w:rPr>
          <w:rFonts w:hint="eastAsia" w:ascii="宋体" w:hAnsi="宋体" w:eastAsia="宋体" w:cs="宋体"/>
          <w:b w:val="0"/>
          <w:bCs w:val="0"/>
          <w:color w:val="auto"/>
          <w:kern w:val="0"/>
          <w:sz w:val="24"/>
          <w:szCs w:val="24"/>
          <w:highlight w:val="none"/>
          <w:lang w:val="en-US" w:eastAsia="zh-CN" w:bidi="ar"/>
        </w:rPr>
        <w:t>年营业外支出</w:t>
      </w:r>
      <w:r>
        <w:rPr>
          <w:rFonts w:hint="eastAsia" w:ascii="宋体" w:hAnsi="宋体" w:eastAsia="宋体" w:cs="宋体"/>
          <w:i w:val="0"/>
          <w:iCs w:val="0"/>
          <w:color w:val="auto"/>
          <w:kern w:val="0"/>
          <w:sz w:val="20"/>
          <w:szCs w:val="20"/>
          <w:highlight w:val="none"/>
          <w:u w:val="none"/>
          <w:lang w:val="en-US" w:eastAsia="zh-CN" w:bidi="ar"/>
        </w:rPr>
        <w:t>251,642,589.40</w:t>
      </w:r>
      <w:r>
        <w:rPr>
          <w:rFonts w:hint="eastAsia" w:ascii="宋体" w:hAnsi="宋体" w:eastAsia="宋体" w:cs="宋体"/>
          <w:color w:val="auto"/>
          <w:kern w:val="0"/>
          <w:sz w:val="24"/>
          <w:szCs w:val="24"/>
          <w:highlight w:val="none"/>
          <w:lang w:eastAsia="zh-CN" w:bidi="ar"/>
        </w:rPr>
        <w:t>元，同比</w:t>
      </w:r>
      <w:r>
        <w:rPr>
          <w:rFonts w:hint="eastAsia" w:ascii="宋体" w:hAnsi="宋体" w:cs="宋体"/>
          <w:color w:val="auto"/>
          <w:kern w:val="0"/>
          <w:sz w:val="24"/>
          <w:szCs w:val="24"/>
          <w:highlight w:val="none"/>
          <w:lang w:val="en-US" w:eastAsia="zh-CN" w:bidi="ar"/>
        </w:rPr>
        <w:t>增加</w:t>
      </w:r>
      <w:r>
        <w:rPr>
          <w:rFonts w:hint="eastAsia" w:ascii="宋体" w:hAnsi="宋体" w:eastAsia="宋体" w:cs="宋体"/>
          <w:color w:val="auto"/>
          <w:kern w:val="0"/>
          <w:sz w:val="24"/>
          <w:szCs w:val="24"/>
          <w:highlight w:val="none"/>
          <w:lang w:bidi="ar"/>
        </w:rPr>
        <w:t>111</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bidi="ar"/>
        </w:rPr>
        <w:t>555</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bidi="ar"/>
        </w:rPr>
        <w:t>817.09</w:t>
      </w:r>
      <w:r>
        <w:rPr>
          <w:rFonts w:hint="eastAsia" w:ascii="宋体" w:hAnsi="宋体" w:eastAsia="宋体" w:cs="宋体"/>
          <w:color w:val="auto"/>
          <w:kern w:val="0"/>
          <w:sz w:val="24"/>
          <w:szCs w:val="24"/>
          <w:highlight w:val="none"/>
          <w:lang w:eastAsia="zh-CN" w:bidi="ar"/>
        </w:rPr>
        <w:t>元，</w:t>
      </w:r>
      <w:r>
        <w:rPr>
          <w:rFonts w:hint="eastAsia" w:ascii="宋体" w:hAnsi="宋体" w:cs="宋体"/>
          <w:color w:val="auto"/>
          <w:kern w:val="0"/>
          <w:sz w:val="24"/>
          <w:szCs w:val="24"/>
          <w:highlight w:val="none"/>
          <w:lang w:val="en-US" w:eastAsia="zh-CN" w:bidi="ar"/>
        </w:rPr>
        <w:t>增</w:t>
      </w:r>
      <w:r>
        <w:rPr>
          <w:rFonts w:hint="eastAsia" w:ascii="宋体" w:hAnsi="宋体" w:eastAsia="宋体" w:cs="宋体"/>
          <w:color w:val="auto"/>
          <w:kern w:val="0"/>
          <w:sz w:val="24"/>
          <w:szCs w:val="24"/>
          <w:highlight w:val="none"/>
          <w:lang w:eastAsia="zh-CN" w:bidi="ar"/>
        </w:rPr>
        <w:t>幅</w:t>
      </w:r>
      <w:r>
        <w:rPr>
          <w:rFonts w:hint="eastAsia" w:ascii="宋体" w:hAnsi="宋体" w:cs="宋体"/>
          <w:color w:val="auto"/>
          <w:kern w:val="0"/>
          <w:sz w:val="24"/>
          <w:szCs w:val="24"/>
          <w:highlight w:val="none"/>
          <w:lang w:val="en-US" w:eastAsia="zh-CN" w:bidi="ar"/>
        </w:rPr>
        <w:t>79.63</w:t>
      </w:r>
      <w:r>
        <w:rPr>
          <w:rFonts w:hint="eastAsia" w:ascii="宋体" w:hAnsi="宋体" w:eastAsia="宋体" w:cs="宋体"/>
          <w:color w:val="auto"/>
          <w:kern w:val="0"/>
          <w:sz w:val="24"/>
          <w:szCs w:val="24"/>
          <w:highlight w:val="none"/>
          <w:lang w:val="en-US" w:eastAsia="zh-CN" w:bidi="ar"/>
        </w:rPr>
        <w:t>%。变动的主要原因：</w:t>
      </w:r>
      <w:r>
        <w:rPr>
          <w:rFonts w:hint="eastAsia" w:ascii="宋体" w:hAnsi="宋体" w:cs="宋体"/>
          <w:color w:val="auto"/>
          <w:kern w:val="0"/>
          <w:sz w:val="24"/>
          <w:szCs w:val="24"/>
          <w:highlight w:val="none"/>
          <w:lang w:val="en-US" w:eastAsia="zh-CN" w:bidi="ar"/>
        </w:rPr>
        <w:t>火电碳排放履约费用增加。</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color w:val="auto"/>
          <w:kern w:val="0"/>
          <w:sz w:val="24"/>
          <w:szCs w:val="24"/>
          <w:highlight w:val="none"/>
          <w:lang w:bidi="ar"/>
        </w:rPr>
      </w:pPr>
      <w:r>
        <w:rPr>
          <w:rFonts w:hint="eastAsia" w:ascii="宋体" w:hAnsi="宋体" w:cs="宋体"/>
          <w:color w:val="auto"/>
          <w:kern w:val="0"/>
          <w:sz w:val="24"/>
          <w:szCs w:val="24"/>
          <w:highlight w:val="none"/>
          <w:lang w:bidi="ar"/>
        </w:rPr>
        <w:t>⑧营业利润</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b w:val="0"/>
          <w:bCs w:val="0"/>
          <w:color w:val="auto"/>
          <w:kern w:val="0"/>
          <w:sz w:val="24"/>
          <w:szCs w:val="24"/>
          <w:highlight w:val="none"/>
          <w:lang w:val="en-US" w:eastAsia="zh-CN"/>
        </w:rPr>
      </w:pPr>
      <w:r>
        <w:rPr>
          <w:rFonts w:hint="eastAsia" w:ascii="宋体" w:hAnsi="宋体" w:eastAsia="宋体" w:cs="宋体"/>
          <w:color w:val="auto"/>
          <w:kern w:val="0"/>
          <w:sz w:val="24"/>
          <w:szCs w:val="24"/>
          <w:highlight w:val="none"/>
          <w:lang w:eastAsia="zh-CN" w:bidi="ar"/>
        </w:rPr>
        <w:t>公司</w:t>
      </w:r>
      <w:r>
        <w:rPr>
          <w:rFonts w:hint="eastAsia" w:ascii="宋体" w:hAnsi="宋体" w:eastAsia="宋体" w:cs="宋体"/>
          <w:color w:val="auto"/>
          <w:kern w:val="0"/>
          <w:sz w:val="24"/>
          <w:szCs w:val="24"/>
          <w:highlight w:val="none"/>
          <w:lang w:bidi="ar"/>
        </w:rPr>
        <w:t>202</w:t>
      </w:r>
      <w:r>
        <w:rPr>
          <w:rFonts w:hint="eastAsia" w:ascii="宋体" w:hAnsi="宋体" w:cs="宋体"/>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bidi="ar"/>
        </w:rPr>
        <w:t>年营业利润405,339,170.12元，同比</w:t>
      </w:r>
      <w:r>
        <w:rPr>
          <w:rFonts w:hint="eastAsia" w:ascii="宋体" w:hAnsi="宋体" w:cs="宋体"/>
          <w:color w:val="auto"/>
          <w:kern w:val="0"/>
          <w:sz w:val="24"/>
          <w:szCs w:val="24"/>
          <w:highlight w:val="none"/>
          <w:lang w:val="en-US" w:eastAsia="zh-CN" w:bidi="ar"/>
        </w:rPr>
        <w:t>增加</w:t>
      </w:r>
      <w:r>
        <w:rPr>
          <w:rFonts w:hint="eastAsia" w:ascii="宋体" w:hAnsi="宋体" w:eastAsia="宋体" w:cs="宋体"/>
          <w:color w:val="auto"/>
          <w:kern w:val="0"/>
          <w:sz w:val="24"/>
          <w:szCs w:val="24"/>
          <w:highlight w:val="none"/>
          <w:lang w:bidi="ar"/>
        </w:rPr>
        <w:t>2</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bidi="ar"/>
        </w:rPr>
        <w:t>007</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bidi="ar"/>
        </w:rPr>
        <w:t>749</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bidi="ar"/>
        </w:rPr>
        <w:t>171.92元，</w:t>
      </w:r>
      <w:r>
        <w:rPr>
          <w:rFonts w:hint="eastAsia" w:ascii="宋体" w:hAnsi="宋体" w:cs="宋体"/>
          <w:color w:val="auto"/>
          <w:kern w:val="0"/>
          <w:sz w:val="24"/>
          <w:szCs w:val="24"/>
          <w:highlight w:val="none"/>
          <w:lang w:val="en-US" w:eastAsia="zh-CN" w:bidi="ar"/>
        </w:rPr>
        <w:t>增</w:t>
      </w:r>
      <w:r>
        <w:rPr>
          <w:rFonts w:hint="eastAsia" w:ascii="宋体" w:hAnsi="宋体" w:eastAsia="宋体" w:cs="宋体"/>
          <w:color w:val="auto"/>
          <w:kern w:val="0"/>
          <w:sz w:val="24"/>
          <w:szCs w:val="24"/>
          <w:highlight w:val="none"/>
          <w:lang w:eastAsia="zh-CN" w:bidi="ar"/>
        </w:rPr>
        <w:t>幅</w:t>
      </w:r>
      <w:r>
        <w:rPr>
          <w:rFonts w:hint="eastAsia" w:ascii="宋体" w:hAnsi="宋体" w:eastAsia="宋体" w:cs="宋体"/>
          <w:color w:val="auto"/>
          <w:kern w:val="0"/>
          <w:sz w:val="24"/>
          <w:szCs w:val="24"/>
          <w:highlight w:val="none"/>
          <w:lang w:val="en-US" w:eastAsia="zh-CN" w:bidi="ar"/>
        </w:rPr>
        <w:t>1</w:t>
      </w:r>
      <w:r>
        <w:rPr>
          <w:rFonts w:hint="eastAsia" w:ascii="宋体" w:hAnsi="宋体" w:cs="宋体"/>
          <w:color w:val="auto"/>
          <w:kern w:val="0"/>
          <w:sz w:val="24"/>
          <w:szCs w:val="24"/>
          <w:highlight w:val="none"/>
          <w:lang w:val="en-US" w:eastAsia="zh-CN" w:bidi="ar"/>
        </w:rPr>
        <w:t>25.3</w:t>
      </w:r>
      <w:r>
        <w:rPr>
          <w:rFonts w:hint="eastAsia" w:ascii="宋体" w:hAnsi="宋体" w:eastAsia="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bidi="ar"/>
        </w:rPr>
        <w:t>。</w:t>
      </w:r>
      <w:r>
        <w:rPr>
          <w:rFonts w:hint="eastAsia" w:ascii="宋体" w:hAnsi="宋体" w:eastAsia="宋体" w:cs="宋体"/>
          <w:b w:val="0"/>
          <w:bCs w:val="0"/>
          <w:color w:val="auto"/>
          <w:kern w:val="0"/>
          <w:sz w:val="24"/>
          <w:szCs w:val="24"/>
          <w:highlight w:val="none"/>
          <w:lang w:val="en-US" w:eastAsia="zh-CN"/>
        </w:rPr>
        <w:t>同期剔除一次性事项（</w:t>
      </w:r>
      <w:r>
        <w:rPr>
          <w:rFonts w:hint="eastAsia" w:ascii="宋体" w:hAnsi="宋体" w:cs="宋体"/>
          <w:b w:val="0"/>
          <w:bCs w:val="0"/>
          <w:color w:val="auto"/>
          <w:kern w:val="0"/>
          <w:sz w:val="24"/>
          <w:szCs w:val="24"/>
          <w:highlight w:val="none"/>
          <w:lang w:val="en-US" w:eastAsia="zh-CN"/>
        </w:rPr>
        <w:t>2023年</w:t>
      </w:r>
      <w:r>
        <w:rPr>
          <w:rFonts w:hint="eastAsia" w:ascii="宋体" w:hAnsi="宋体" w:eastAsia="宋体" w:cs="宋体"/>
          <w:b w:val="0"/>
          <w:bCs w:val="0"/>
          <w:color w:val="auto"/>
          <w:kern w:val="0"/>
          <w:sz w:val="24"/>
          <w:szCs w:val="24"/>
          <w:highlight w:val="none"/>
          <w:lang w:val="en-US" w:eastAsia="zh-CN"/>
        </w:rPr>
        <w:t>收购绥阳公司股权损失8.13亿元及计提泰元公司减值13.5亿元）后</w:t>
      </w:r>
      <w:r>
        <w:rPr>
          <w:rFonts w:hint="eastAsia" w:ascii="宋体" w:hAnsi="宋体" w:eastAsia="宋体" w:cs="宋体"/>
          <w:color w:val="auto"/>
          <w:kern w:val="0"/>
          <w:sz w:val="24"/>
          <w:szCs w:val="24"/>
          <w:highlight w:val="none"/>
          <w:lang w:bidi="ar"/>
        </w:rPr>
        <w:t>营业利润</w:t>
      </w:r>
      <w:r>
        <w:rPr>
          <w:rFonts w:hint="eastAsia" w:ascii="宋体" w:hAnsi="宋体" w:eastAsia="宋体" w:cs="宋体"/>
          <w:b w:val="0"/>
          <w:bCs w:val="0"/>
          <w:color w:val="auto"/>
          <w:kern w:val="0"/>
          <w:sz w:val="24"/>
          <w:szCs w:val="24"/>
          <w:highlight w:val="none"/>
          <w:lang w:val="en-US" w:eastAsia="zh-CN"/>
        </w:rPr>
        <w:t>为</w:t>
      </w:r>
      <w:r>
        <w:rPr>
          <w:rFonts w:hint="eastAsia" w:ascii="宋体" w:hAnsi="宋体" w:cs="宋体"/>
          <w:b w:val="0"/>
          <w:bCs w:val="0"/>
          <w:color w:val="auto"/>
          <w:kern w:val="0"/>
          <w:sz w:val="24"/>
          <w:szCs w:val="24"/>
          <w:highlight w:val="none"/>
          <w:lang w:val="en-US" w:eastAsia="zh-CN"/>
        </w:rPr>
        <w:t>5.61</w:t>
      </w:r>
      <w:r>
        <w:rPr>
          <w:rFonts w:hint="eastAsia" w:ascii="宋体" w:hAnsi="宋体" w:eastAsia="宋体" w:cs="宋体"/>
          <w:b w:val="0"/>
          <w:bCs w:val="0"/>
          <w:color w:val="auto"/>
          <w:kern w:val="0"/>
          <w:sz w:val="24"/>
          <w:szCs w:val="24"/>
          <w:highlight w:val="none"/>
          <w:lang w:val="en-US" w:eastAsia="zh-CN"/>
        </w:rPr>
        <w:t>亿元，同比</w:t>
      </w:r>
      <w:r>
        <w:rPr>
          <w:rFonts w:hint="eastAsia" w:ascii="宋体" w:hAnsi="宋体" w:cs="宋体"/>
          <w:b w:val="0"/>
          <w:bCs w:val="0"/>
          <w:color w:val="auto"/>
          <w:kern w:val="0"/>
          <w:sz w:val="24"/>
          <w:szCs w:val="24"/>
          <w:highlight w:val="none"/>
          <w:lang w:val="en-US" w:eastAsia="zh-CN"/>
        </w:rPr>
        <w:t>减利1.56</w:t>
      </w:r>
      <w:r>
        <w:rPr>
          <w:rFonts w:hint="eastAsia" w:ascii="宋体" w:hAnsi="宋体" w:eastAsia="宋体" w:cs="宋体"/>
          <w:b w:val="0"/>
          <w:bCs w:val="0"/>
          <w:color w:val="auto"/>
          <w:kern w:val="0"/>
          <w:sz w:val="24"/>
          <w:szCs w:val="24"/>
          <w:highlight w:val="none"/>
          <w:lang w:val="en-US" w:eastAsia="zh-CN"/>
        </w:rPr>
        <w:t>亿元</w:t>
      </w:r>
      <w:r>
        <w:rPr>
          <w:rFonts w:hint="eastAsia" w:ascii="宋体" w:hAnsi="宋体" w:cs="宋体"/>
          <w:b w:val="0"/>
          <w:bCs w:val="0"/>
          <w:color w:val="auto"/>
          <w:kern w:val="0"/>
          <w:sz w:val="24"/>
          <w:szCs w:val="24"/>
          <w:highlight w:val="none"/>
          <w:lang w:val="en-US" w:eastAsia="zh-CN"/>
        </w:rPr>
        <w:t>。</w:t>
      </w:r>
    </w:p>
    <w:p>
      <w:pPr>
        <w:keepNext w:val="0"/>
        <w:keepLines w:val="0"/>
        <w:pageBreakBefore w:val="0"/>
        <w:widowControl/>
        <w:numPr>
          <w:ilvl w:val="0"/>
          <w:numId w:val="0"/>
        </w:numPr>
        <w:kinsoku/>
        <w:wordWrap/>
        <w:overflowPunct/>
        <w:topLinePunct w:val="0"/>
        <w:autoSpaceDE/>
        <w:autoSpaceDN/>
        <w:bidi w:val="0"/>
        <w:adjustRightInd/>
        <w:snapToGrid w:val="0"/>
        <w:spacing w:line="400" w:lineRule="exact"/>
        <w:ind w:firstLine="470" w:firstLineChars="196"/>
        <w:jc w:val="left"/>
        <w:textAlignment w:val="auto"/>
        <w:rPr>
          <w:rFonts w:hint="eastAsia"/>
        </w:rPr>
      </w:pPr>
      <w:r>
        <w:rPr>
          <w:rFonts w:hint="eastAsia" w:ascii="宋体" w:hAnsi="宋体" w:cs="宋体"/>
          <w:b w:val="0"/>
          <w:bCs w:val="0"/>
          <w:color w:val="auto"/>
          <w:kern w:val="0"/>
          <w:sz w:val="24"/>
          <w:szCs w:val="24"/>
          <w:highlight w:val="none"/>
          <w:lang w:val="en-US" w:eastAsia="zh-CN"/>
        </w:rPr>
        <w:t>营业利润</w:t>
      </w:r>
      <w:r>
        <w:rPr>
          <w:rFonts w:hint="eastAsia" w:ascii="宋体" w:hAnsi="宋体" w:eastAsia="宋体" w:cs="宋体"/>
          <w:b w:val="0"/>
          <w:bCs w:val="0"/>
          <w:color w:val="auto"/>
          <w:kern w:val="0"/>
          <w:sz w:val="24"/>
          <w:szCs w:val="24"/>
          <w:highlight w:val="none"/>
          <w:lang w:val="en-US" w:eastAsia="zh-CN"/>
        </w:rPr>
        <w:t>同比</w:t>
      </w:r>
      <w:r>
        <w:rPr>
          <w:rFonts w:hint="eastAsia" w:ascii="宋体" w:hAnsi="宋体" w:cs="宋体"/>
          <w:b w:val="0"/>
          <w:bCs w:val="0"/>
          <w:color w:val="auto"/>
          <w:kern w:val="0"/>
          <w:sz w:val="24"/>
          <w:szCs w:val="24"/>
          <w:highlight w:val="none"/>
          <w:lang w:val="en-US" w:eastAsia="zh-CN"/>
        </w:rPr>
        <w:t>减利1.56</w:t>
      </w:r>
      <w:r>
        <w:rPr>
          <w:rFonts w:hint="eastAsia" w:ascii="宋体" w:hAnsi="宋体" w:eastAsia="宋体" w:cs="宋体"/>
          <w:b w:val="0"/>
          <w:bCs w:val="0"/>
          <w:color w:val="auto"/>
          <w:kern w:val="0"/>
          <w:sz w:val="24"/>
          <w:szCs w:val="24"/>
          <w:highlight w:val="none"/>
          <w:lang w:val="en-US" w:eastAsia="zh-CN"/>
        </w:rPr>
        <w:t>亿元</w:t>
      </w:r>
      <w:r>
        <w:rPr>
          <w:rFonts w:hint="eastAsia" w:ascii="宋体" w:hAnsi="宋体" w:eastAsia="宋体" w:cs="宋体"/>
          <w:color w:val="auto"/>
          <w:kern w:val="0"/>
          <w:sz w:val="24"/>
          <w:szCs w:val="24"/>
          <w:highlight w:val="none"/>
        </w:rPr>
        <w:t>的主要原因：</w:t>
      </w:r>
      <w:r>
        <w:rPr>
          <w:rFonts w:hint="eastAsia" w:ascii="宋体" w:hAnsi="宋体" w:cs="宋体"/>
          <w:color w:val="auto"/>
          <w:kern w:val="0"/>
          <w:sz w:val="24"/>
          <w:szCs w:val="24"/>
          <w:highlight w:val="none"/>
          <w:lang w:val="en-US" w:eastAsia="zh-CN"/>
        </w:rPr>
        <w:t>一是</w:t>
      </w:r>
      <w:r>
        <w:rPr>
          <w:rFonts w:hint="eastAsia" w:ascii="宋体" w:hAnsi="宋体" w:eastAsia="宋体" w:cs="宋体"/>
          <w:b w:val="0"/>
          <w:bCs w:val="0"/>
          <w:color w:val="auto"/>
          <w:kern w:val="0"/>
          <w:sz w:val="24"/>
          <w:szCs w:val="24"/>
          <w:highlight w:val="none"/>
          <w:lang w:val="en-US" w:eastAsia="zh-CN"/>
        </w:rPr>
        <w:t>绥阳公司</w:t>
      </w:r>
      <w:r>
        <w:rPr>
          <w:rFonts w:hint="eastAsia" w:ascii="宋体" w:hAnsi="宋体" w:cs="宋体"/>
          <w:b w:val="0"/>
          <w:bCs w:val="0"/>
          <w:color w:val="auto"/>
          <w:kern w:val="0"/>
          <w:sz w:val="24"/>
          <w:szCs w:val="24"/>
          <w:highlight w:val="none"/>
          <w:lang w:val="en-US" w:eastAsia="zh-CN"/>
        </w:rPr>
        <w:t>因铁合金市场低迷，售价降低779.77元/吨，</w:t>
      </w:r>
      <w:r>
        <w:rPr>
          <w:rFonts w:hint="eastAsia" w:ascii="宋体" w:hAnsi="宋体" w:eastAsia="宋体" w:cs="宋体"/>
          <w:b w:val="0"/>
          <w:bCs w:val="0"/>
          <w:color w:val="auto"/>
          <w:kern w:val="0"/>
          <w:sz w:val="24"/>
          <w:szCs w:val="24"/>
          <w:highlight w:val="none"/>
          <w:lang w:val="en-US" w:eastAsia="zh-CN"/>
        </w:rPr>
        <w:t>同比</w:t>
      </w:r>
      <w:r>
        <w:rPr>
          <w:rFonts w:hint="eastAsia" w:ascii="宋体" w:hAnsi="宋体" w:cs="宋体"/>
          <w:b w:val="0"/>
          <w:bCs w:val="0"/>
          <w:color w:val="auto"/>
          <w:kern w:val="0"/>
          <w:sz w:val="24"/>
          <w:szCs w:val="24"/>
          <w:highlight w:val="none"/>
          <w:lang w:val="en-US" w:eastAsia="zh-CN"/>
        </w:rPr>
        <w:t>增亏2.07</w:t>
      </w:r>
      <w:r>
        <w:rPr>
          <w:rFonts w:hint="eastAsia" w:ascii="宋体" w:hAnsi="宋体" w:eastAsia="宋体" w:cs="宋体"/>
          <w:b w:val="0"/>
          <w:bCs w:val="0"/>
          <w:color w:val="auto"/>
          <w:kern w:val="0"/>
          <w:sz w:val="24"/>
          <w:szCs w:val="24"/>
          <w:highlight w:val="none"/>
          <w:lang w:val="en-US" w:eastAsia="zh-CN"/>
        </w:rPr>
        <w:t>亿元</w:t>
      </w:r>
      <w:r>
        <w:rPr>
          <w:rFonts w:hint="eastAsia" w:ascii="宋体" w:hAnsi="宋体" w:cs="宋体"/>
          <w:b w:val="0"/>
          <w:bCs w:val="0"/>
          <w:color w:val="auto"/>
          <w:kern w:val="0"/>
          <w:sz w:val="24"/>
          <w:szCs w:val="24"/>
          <w:highlight w:val="none"/>
          <w:lang w:val="en-US" w:eastAsia="zh-CN"/>
        </w:rPr>
        <w:t>；二是由于</w:t>
      </w:r>
      <w:r>
        <w:rPr>
          <w:rFonts w:hint="eastAsia" w:ascii="宋体" w:hAnsi="宋体" w:eastAsia="宋体" w:cs="宋体"/>
          <w:b w:val="0"/>
          <w:bCs w:val="0"/>
          <w:color w:val="auto"/>
          <w:kern w:val="0"/>
          <w:sz w:val="24"/>
          <w:szCs w:val="24"/>
          <w:highlight w:val="none"/>
          <w:lang w:val="en-US" w:eastAsia="zh-CN"/>
        </w:rPr>
        <w:t>能发公司</w:t>
      </w:r>
      <w:r>
        <w:rPr>
          <w:rFonts w:hint="eastAsia" w:ascii="宋体" w:hAnsi="宋体" w:cs="宋体"/>
          <w:b w:val="0"/>
          <w:bCs w:val="0"/>
          <w:color w:val="auto"/>
          <w:kern w:val="0"/>
          <w:sz w:val="24"/>
          <w:szCs w:val="24"/>
          <w:highlight w:val="none"/>
          <w:lang w:val="en-US" w:eastAsia="zh-CN"/>
        </w:rPr>
        <w:t>股权转让，贵州金元对债权进行重估，造成暂时性损失2.99</w:t>
      </w:r>
      <w:r>
        <w:rPr>
          <w:rFonts w:hint="eastAsia" w:ascii="宋体" w:hAnsi="宋体" w:eastAsia="宋体" w:cs="宋体"/>
          <w:color w:val="auto"/>
          <w:kern w:val="0"/>
          <w:sz w:val="24"/>
          <w:szCs w:val="24"/>
          <w:highlight w:val="none"/>
          <w:lang w:val="en-US" w:eastAsia="zh-CN" w:bidi="ar-SA"/>
        </w:rPr>
        <w:t>亿元</w:t>
      </w:r>
      <w:r>
        <w:rPr>
          <w:rFonts w:hint="eastAsia" w:ascii="宋体" w:hAnsi="宋体" w:cs="宋体"/>
          <w:color w:val="auto"/>
          <w:kern w:val="0"/>
          <w:sz w:val="24"/>
          <w:szCs w:val="24"/>
          <w:highlight w:val="none"/>
          <w:lang w:val="en-US" w:eastAsia="zh-CN" w:bidi="ar-SA"/>
        </w:rPr>
        <w:t>，待债权收回后逐年转回损失。</w:t>
      </w:r>
      <w:r>
        <w:rPr>
          <w:rFonts w:hint="eastAsia" w:ascii="宋体" w:hAnsi="宋体" w:eastAsia="宋体" w:cs="宋体"/>
          <w:color w:val="auto"/>
          <w:kern w:val="0"/>
          <w:sz w:val="24"/>
          <w:szCs w:val="24"/>
          <w:highlight w:val="none"/>
          <w:lang w:val="en-US" w:eastAsia="zh-CN" w:bidi="ar-SA"/>
        </w:rPr>
        <w:t>基于以上</w:t>
      </w:r>
      <w:r>
        <w:rPr>
          <w:rFonts w:hint="eastAsia" w:ascii="宋体" w:hAnsi="宋体" w:cs="宋体"/>
          <w:color w:val="auto"/>
          <w:kern w:val="0"/>
          <w:sz w:val="24"/>
          <w:szCs w:val="24"/>
          <w:highlight w:val="none"/>
          <w:lang w:val="en-US" w:eastAsia="zh-CN" w:bidi="ar-SA"/>
        </w:rPr>
        <w:t>因素合计减利5.06亿元，</w:t>
      </w:r>
      <w:r>
        <w:rPr>
          <w:rFonts w:hint="eastAsia" w:ascii="宋体" w:hAnsi="宋体" w:eastAsia="宋体" w:cs="宋体"/>
          <w:color w:val="auto"/>
          <w:kern w:val="0"/>
          <w:sz w:val="24"/>
          <w:szCs w:val="24"/>
          <w:highlight w:val="none"/>
          <w:lang w:val="en-US" w:eastAsia="zh-CN" w:bidi="ar-SA"/>
        </w:rPr>
        <w:t>贵州金元2024年千方百计抢抓发电量</w:t>
      </w:r>
      <w:r>
        <w:rPr>
          <w:rFonts w:hint="eastAsia" w:ascii="宋体" w:hAnsi="宋体" w:cs="宋体"/>
          <w:color w:val="auto"/>
          <w:kern w:val="0"/>
          <w:sz w:val="24"/>
          <w:szCs w:val="24"/>
          <w:highlight w:val="none"/>
          <w:lang w:val="en-US" w:eastAsia="zh-CN" w:bidi="ar-SA"/>
        </w:rPr>
        <w:t>、通过压降成本、处置低效无效资产等措施，共计增加营业利润4.35亿元，其中：一是</w:t>
      </w:r>
      <w:r>
        <w:rPr>
          <w:rFonts w:hint="eastAsia" w:ascii="宋体" w:hAnsi="宋体" w:eastAsia="宋体" w:cs="宋体"/>
          <w:i w:val="0"/>
          <w:iCs w:val="0"/>
          <w:caps w:val="0"/>
          <w:color w:val="auto"/>
          <w:spacing w:val="0"/>
          <w:kern w:val="0"/>
          <w:sz w:val="24"/>
          <w:szCs w:val="24"/>
          <w:highlight w:val="none"/>
          <w:shd w:val="clear"/>
          <w:lang w:val="en-US" w:eastAsia="zh-CN"/>
        </w:rPr>
        <w:t>水电板块</w:t>
      </w:r>
      <w:r>
        <w:rPr>
          <w:rFonts w:hint="eastAsia" w:ascii="宋体" w:hAnsi="宋体" w:cs="宋体"/>
          <w:i w:val="0"/>
          <w:iCs w:val="0"/>
          <w:caps w:val="0"/>
          <w:color w:val="auto"/>
          <w:spacing w:val="0"/>
          <w:kern w:val="0"/>
          <w:sz w:val="24"/>
          <w:szCs w:val="24"/>
          <w:highlight w:val="none"/>
          <w:shd w:val="clear"/>
          <w:lang w:val="en-US" w:eastAsia="zh-CN"/>
        </w:rPr>
        <w:t>通过</w:t>
      </w:r>
      <w:r>
        <w:rPr>
          <w:rFonts w:hint="eastAsia" w:ascii="宋体" w:hAnsi="宋体" w:eastAsia="宋体" w:cs="宋体"/>
          <w:i w:val="0"/>
          <w:iCs w:val="0"/>
          <w:caps w:val="0"/>
          <w:color w:val="auto"/>
          <w:spacing w:val="0"/>
          <w:kern w:val="0"/>
          <w:sz w:val="24"/>
          <w:szCs w:val="24"/>
          <w:highlight w:val="none"/>
          <w:shd w:val="clear"/>
          <w:lang w:val="en-US" w:eastAsia="zh-CN"/>
        </w:rPr>
        <w:t>增发电量</w:t>
      </w:r>
      <w:r>
        <w:rPr>
          <w:rFonts w:hint="eastAsia" w:ascii="宋体" w:hAnsi="宋体" w:cs="宋体"/>
          <w:i w:val="0"/>
          <w:iCs w:val="0"/>
          <w:caps w:val="0"/>
          <w:color w:val="auto"/>
          <w:spacing w:val="0"/>
          <w:kern w:val="0"/>
          <w:sz w:val="24"/>
          <w:szCs w:val="24"/>
          <w:highlight w:val="none"/>
          <w:shd w:val="clear"/>
          <w:lang w:val="en-US" w:eastAsia="zh-CN"/>
        </w:rPr>
        <w:t>、</w:t>
      </w:r>
      <w:r>
        <w:rPr>
          <w:rFonts w:hint="eastAsia" w:ascii="宋体" w:hAnsi="宋体" w:eastAsia="宋体" w:cs="宋体"/>
          <w:i w:val="0"/>
          <w:iCs w:val="0"/>
          <w:caps w:val="0"/>
          <w:color w:val="auto"/>
          <w:spacing w:val="0"/>
          <w:kern w:val="0"/>
          <w:sz w:val="24"/>
          <w:szCs w:val="24"/>
          <w:highlight w:val="none"/>
          <w:shd w:val="clear"/>
          <w:lang w:val="en-US" w:eastAsia="zh-CN"/>
        </w:rPr>
        <w:t>控降成本费用，</w:t>
      </w:r>
      <w:r>
        <w:rPr>
          <w:rFonts w:hint="eastAsia" w:ascii="宋体" w:hAnsi="宋体" w:eastAsia="宋体" w:cs="宋体"/>
          <w:b w:val="0"/>
          <w:snapToGrid/>
          <w:color w:val="auto"/>
          <w:kern w:val="0"/>
          <w:sz w:val="24"/>
          <w:szCs w:val="24"/>
          <w:highlight w:val="none"/>
          <w:lang w:val="en-US" w:eastAsia="zh-CN"/>
        </w:rPr>
        <w:t>新能源板块克服市场化交易带来的电价下行，通过控降三项费用、财务费用等措施</w:t>
      </w:r>
      <w:r>
        <w:rPr>
          <w:rFonts w:hint="eastAsia" w:ascii="宋体" w:hAnsi="宋体" w:cs="宋体"/>
          <w:b w:val="0"/>
          <w:snapToGrid/>
          <w:color w:val="auto"/>
          <w:kern w:val="0"/>
          <w:sz w:val="24"/>
          <w:szCs w:val="24"/>
          <w:highlight w:val="none"/>
          <w:lang w:val="en-US" w:eastAsia="zh-CN"/>
        </w:rPr>
        <w:t>，共计提升</w:t>
      </w:r>
      <w:r>
        <w:rPr>
          <w:rFonts w:hint="eastAsia" w:ascii="宋体" w:hAnsi="宋体" w:cs="宋体"/>
          <w:i w:val="0"/>
          <w:iCs w:val="0"/>
          <w:caps w:val="0"/>
          <w:color w:val="auto"/>
          <w:spacing w:val="0"/>
          <w:kern w:val="0"/>
          <w:sz w:val="24"/>
          <w:szCs w:val="24"/>
          <w:highlight w:val="none"/>
          <w:shd w:val="clear"/>
          <w:lang w:val="en-US" w:eastAsia="zh-CN"/>
        </w:rPr>
        <w:t>售电单位利润21.12</w:t>
      </w:r>
      <w:r>
        <w:rPr>
          <w:rFonts w:hint="eastAsia" w:ascii="宋体" w:hAnsi="宋体" w:eastAsia="宋体" w:cs="宋体"/>
          <w:i w:val="0"/>
          <w:iCs w:val="0"/>
          <w:caps w:val="0"/>
          <w:color w:val="auto"/>
          <w:spacing w:val="0"/>
          <w:kern w:val="0"/>
          <w:sz w:val="24"/>
          <w:szCs w:val="24"/>
          <w:highlight w:val="none"/>
          <w:shd w:val="clear"/>
          <w:lang w:val="en-US" w:eastAsia="zh-CN"/>
        </w:rPr>
        <w:t>元/千千瓦时，</w:t>
      </w:r>
      <w:r>
        <w:rPr>
          <w:rFonts w:hint="eastAsia" w:ascii="宋体" w:hAnsi="宋体" w:eastAsia="宋体" w:cs="宋体"/>
          <w:b w:val="0"/>
          <w:bCs w:val="0"/>
          <w:color w:val="auto"/>
          <w:kern w:val="0"/>
          <w:sz w:val="24"/>
          <w:szCs w:val="24"/>
          <w:highlight w:val="none"/>
          <w:lang w:val="en-US" w:eastAsia="zh-CN"/>
        </w:rPr>
        <w:t>增加</w:t>
      </w:r>
      <w:r>
        <w:rPr>
          <w:rFonts w:hint="eastAsia" w:ascii="宋体" w:hAnsi="宋体" w:cs="宋体"/>
          <w:color w:val="auto"/>
          <w:kern w:val="0"/>
          <w:sz w:val="24"/>
          <w:szCs w:val="24"/>
          <w:highlight w:val="none"/>
          <w:lang w:val="en-US" w:eastAsia="zh-CN" w:bidi="ar-SA"/>
        </w:rPr>
        <w:t>营业利润3.05</w:t>
      </w:r>
      <w:r>
        <w:rPr>
          <w:rFonts w:hint="eastAsia" w:ascii="宋体" w:hAnsi="宋体" w:eastAsia="宋体" w:cs="宋体"/>
          <w:b w:val="0"/>
          <w:bCs w:val="0"/>
          <w:color w:val="auto"/>
          <w:kern w:val="0"/>
          <w:sz w:val="24"/>
          <w:szCs w:val="24"/>
          <w:highlight w:val="none"/>
          <w:lang w:val="en-US" w:eastAsia="zh-CN"/>
        </w:rPr>
        <w:t>亿元</w:t>
      </w:r>
      <w:r>
        <w:rPr>
          <w:rFonts w:hint="eastAsia" w:ascii="宋体" w:hAnsi="宋体" w:cs="宋体"/>
          <w:b w:val="0"/>
          <w:bCs w:val="0"/>
          <w:color w:val="auto"/>
          <w:kern w:val="0"/>
          <w:sz w:val="24"/>
          <w:szCs w:val="24"/>
          <w:highlight w:val="none"/>
          <w:lang w:val="en-US" w:eastAsia="zh-CN"/>
        </w:rPr>
        <w:t>；</w:t>
      </w:r>
      <w:r>
        <w:rPr>
          <w:rFonts w:hint="eastAsia" w:ascii="宋体" w:hAnsi="宋体" w:eastAsia="宋体" w:cs="宋体"/>
          <w:b w:val="0"/>
          <w:snapToGrid/>
          <w:color w:val="auto"/>
          <w:kern w:val="0"/>
          <w:sz w:val="24"/>
          <w:szCs w:val="24"/>
          <w:highlight w:val="none"/>
          <w:lang w:val="en-US" w:eastAsia="zh-CN"/>
        </w:rPr>
        <w:t>二是通过</w:t>
      </w:r>
      <w:r>
        <w:rPr>
          <w:rFonts w:hint="eastAsia" w:ascii="宋体" w:hAnsi="宋体" w:eastAsia="宋体" w:cs="宋体"/>
          <w:b w:val="0"/>
          <w:snapToGrid/>
          <w:color w:val="auto"/>
          <w:kern w:val="0"/>
          <w:sz w:val="24"/>
          <w:szCs w:val="24"/>
          <w:highlight w:val="none"/>
        </w:rPr>
        <w:t>积极开展</w:t>
      </w:r>
      <w:r>
        <w:rPr>
          <w:rFonts w:hint="eastAsia" w:ascii="宋体" w:hAnsi="宋体" w:eastAsia="宋体" w:cs="宋体"/>
          <w:b w:val="0"/>
          <w:snapToGrid/>
          <w:color w:val="auto"/>
          <w:kern w:val="0"/>
          <w:sz w:val="24"/>
          <w:szCs w:val="24"/>
          <w:highlight w:val="none"/>
          <w:lang w:val="en-US" w:eastAsia="zh-CN"/>
        </w:rPr>
        <w:t>小水电</w:t>
      </w:r>
      <w:r>
        <w:rPr>
          <w:rFonts w:hint="eastAsia" w:ascii="宋体" w:hAnsi="宋体" w:eastAsia="宋体" w:cs="宋体"/>
          <w:b w:val="0"/>
          <w:snapToGrid/>
          <w:color w:val="auto"/>
          <w:kern w:val="0"/>
          <w:sz w:val="24"/>
          <w:szCs w:val="24"/>
          <w:highlight w:val="none"/>
        </w:rPr>
        <w:t>资产处置</w:t>
      </w:r>
      <w:r>
        <w:rPr>
          <w:rFonts w:hint="eastAsia" w:ascii="宋体" w:hAnsi="宋体" w:eastAsia="宋体" w:cs="宋体"/>
          <w:b w:val="0"/>
          <w:snapToGrid/>
          <w:color w:val="auto"/>
          <w:kern w:val="0"/>
          <w:sz w:val="24"/>
          <w:szCs w:val="24"/>
          <w:highlight w:val="none"/>
          <w:lang w:eastAsia="zh-CN"/>
        </w:rPr>
        <w:t>，</w:t>
      </w:r>
      <w:r>
        <w:rPr>
          <w:rFonts w:hint="eastAsia" w:ascii="宋体" w:hAnsi="宋体" w:eastAsia="宋体" w:cs="宋体"/>
          <w:b w:val="0"/>
          <w:snapToGrid/>
          <w:color w:val="auto"/>
          <w:kern w:val="0"/>
          <w:sz w:val="24"/>
          <w:szCs w:val="24"/>
          <w:highlight w:val="none"/>
          <w:lang w:val="en-US" w:eastAsia="zh-CN"/>
        </w:rPr>
        <w:t>并</w:t>
      </w:r>
      <w:r>
        <w:rPr>
          <w:rFonts w:hint="eastAsia" w:ascii="宋体" w:hAnsi="宋体" w:eastAsia="宋体" w:cs="宋体"/>
          <w:b w:val="0"/>
          <w:snapToGrid/>
          <w:color w:val="auto"/>
          <w:kern w:val="0"/>
          <w:sz w:val="24"/>
          <w:szCs w:val="24"/>
          <w:highlight w:val="none"/>
        </w:rPr>
        <w:t>与政府协商</w:t>
      </w:r>
      <w:r>
        <w:rPr>
          <w:rFonts w:hint="eastAsia" w:ascii="宋体" w:hAnsi="宋体" w:eastAsia="宋体" w:cs="宋体"/>
          <w:b w:val="0"/>
          <w:snapToGrid/>
          <w:color w:val="auto"/>
          <w:kern w:val="0"/>
          <w:sz w:val="24"/>
          <w:szCs w:val="24"/>
          <w:highlight w:val="none"/>
          <w:lang w:val="en-US" w:eastAsia="zh-CN"/>
        </w:rPr>
        <w:t>获取</w:t>
      </w:r>
      <w:r>
        <w:rPr>
          <w:rFonts w:hint="eastAsia" w:ascii="宋体" w:hAnsi="宋体" w:eastAsia="宋体" w:cs="宋体"/>
          <w:b w:val="0"/>
          <w:bCs w:val="0"/>
          <w:color w:val="auto"/>
          <w:kern w:val="0"/>
          <w:sz w:val="24"/>
          <w:szCs w:val="24"/>
          <w:highlight w:val="none"/>
          <w:lang w:val="en-US" w:eastAsia="zh-CN"/>
        </w:rPr>
        <w:t>明英电站赔偿款</w:t>
      </w:r>
      <w:r>
        <w:rPr>
          <w:rFonts w:hint="eastAsia" w:ascii="宋体" w:hAnsi="宋体" w:eastAsia="宋体" w:cs="宋体"/>
          <w:b w:val="0"/>
          <w:snapToGrid/>
          <w:color w:val="auto"/>
          <w:kern w:val="0"/>
          <w:sz w:val="24"/>
          <w:szCs w:val="24"/>
          <w:highlight w:val="none"/>
          <w:lang w:eastAsia="zh-CN"/>
        </w:rPr>
        <w:t>，</w:t>
      </w:r>
      <w:r>
        <w:rPr>
          <w:rFonts w:hint="eastAsia" w:ascii="宋体" w:hAnsi="宋体" w:eastAsia="宋体" w:cs="宋体"/>
          <w:b w:val="0"/>
          <w:bCs w:val="0"/>
          <w:color w:val="auto"/>
          <w:kern w:val="0"/>
          <w:sz w:val="24"/>
          <w:szCs w:val="24"/>
          <w:highlight w:val="none"/>
          <w:lang w:val="en-US" w:eastAsia="zh-CN"/>
        </w:rPr>
        <w:t>增加</w:t>
      </w:r>
      <w:r>
        <w:rPr>
          <w:rFonts w:hint="eastAsia" w:ascii="宋体" w:hAnsi="宋体" w:cs="宋体"/>
          <w:color w:val="auto"/>
          <w:kern w:val="0"/>
          <w:sz w:val="24"/>
          <w:szCs w:val="24"/>
          <w:highlight w:val="none"/>
          <w:lang w:val="en-US" w:eastAsia="zh-CN" w:bidi="ar-SA"/>
        </w:rPr>
        <w:t>营业利润</w:t>
      </w:r>
      <w:r>
        <w:rPr>
          <w:rFonts w:hint="eastAsia" w:ascii="宋体" w:hAnsi="宋体" w:eastAsia="宋体" w:cs="宋体"/>
          <w:b w:val="0"/>
          <w:bCs w:val="0"/>
          <w:color w:val="auto"/>
          <w:kern w:val="0"/>
          <w:sz w:val="24"/>
          <w:szCs w:val="24"/>
          <w:highlight w:val="none"/>
          <w:lang w:val="en-US" w:eastAsia="zh-CN"/>
        </w:rPr>
        <w:t>1.</w:t>
      </w:r>
      <w:r>
        <w:rPr>
          <w:rFonts w:hint="eastAsia" w:ascii="宋体" w:hAnsi="宋体" w:cs="宋体"/>
          <w:b w:val="0"/>
          <w:bCs w:val="0"/>
          <w:color w:val="auto"/>
          <w:kern w:val="0"/>
          <w:sz w:val="24"/>
          <w:szCs w:val="24"/>
          <w:highlight w:val="none"/>
          <w:lang w:val="en-US" w:eastAsia="zh-CN"/>
        </w:rPr>
        <w:t>3</w:t>
      </w:r>
      <w:r>
        <w:rPr>
          <w:rFonts w:hint="eastAsia" w:ascii="宋体" w:hAnsi="宋体" w:eastAsia="宋体" w:cs="宋体"/>
          <w:b w:val="0"/>
          <w:bCs w:val="0"/>
          <w:color w:val="auto"/>
          <w:kern w:val="0"/>
          <w:sz w:val="24"/>
          <w:szCs w:val="24"/>
          <w:highlight w:val="none"/>
          <w:lang w:val="en-US" w:eastAsia="zh-CN"/>
        </w:rPr>
        <w:t>亿元</w:t>
      </w:r>
      <w:r>
        <w:rPr>
          <w:rFonts w:hint="eastAsia" w:ascii="宋体" w:hAnsi="宋体" w:cs="宋体"/>
          <w:b w:val="0"/>
          <w:bCs w:val="0"/>
          <w:color w:val="auto"/>
          <w:kern w:val="0"/>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default"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bidi="ar"/>
        </w:rPr>
        <w:t>⑨</w:t>
      </w:r>
      <w:r>
        <w:rPr>
          <w:rFonts w:hint="eastAsia" w:ascii="宋体" w:hAnsi="宋体" w:cs="宋体"/>
          <w:color w:val="auto"/>
          <w:kern w:val="0"/>
          <w:sz w:val="24"/>
          <w:szCs w:val="24"/>
          <w:highlight w:val="none"/>
          <w:lang w:val="en-US" w:eastAsia="zh-CN" w:bidi="ar"/>
        </w:rPr>
        <w:t>净利润</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b w:val="0"/>
          <w:bCs w:val="0"/>
          <w:color w:val="auto"/>
          <w:kern w:val="0"/>
          <w:sz w:val="24"/>
          <w:szCs w:val="24"/>
          <w:highlight w:val="none"/>
          <w:lang w:val="en-US" w:eastAsia="zh-CN"/>
        </w:rPr>
      </w:pPr>
      <w:r>
        <w:rPr>
          <w:rFonts w:hint="eastAsia" w:ascii="宋体" w:hAnsi="宋体" w:eastAsia="宋体" w:cs="宋体"/>
          <w:color w:val="auto"/>
          <w:kern w:val="0"/>
          <w:sz w:val="24"/>
          <w:szCs w:val="24"/>
          <w:highlight w:val="none"/>
          <w:lang w:eastAsia="zh-CN" w:bidi="ar"/>
        </w:rPr>
        <w:t>公司</w:t>
      </w:r>
      <w:r>
        <w:rPr>
          <w:rFonts w:hint="eastAsia" w:ascii="宋体" w:hAnsi="宋体" w:eastAsia="宋体" w:cs="宋体"/>
          <w:color w:val="auto"/>
          <w:kern w:val="0"/>
          <w:sz w:val="24"/>
          <w:szCs w:val="24"/>
          <w:highlight w:val="none"/>
          <w:lang w:bidi="ar"/>
        </w:rPr>
        <w:t>202</w:t>
      </w:r>
      <w:r>
        <w:rPr>
          <w:rFonts w:hint="eastAsia" w:ascii="宋体" w:hAnsi="宋体" w:cs="宋体"/>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bidi="ar"/>
        </w:rPr>
        <w:t>年净利润</w:t>
      </w:r>
      <w:r>
        <w:rPr>
          <w:rFonts w:hint="eastAsia" w:ascii="宋体" w:hAnsi="宋体" w:eastAsia="宋体" w:cs="宋体"/>
          <w:i w:val="0"/>
          <w:iCs w:val="0"/>
          <w:color w:val="auto"/>
          <w:kern w:val="0"/>
          <w:sz w:val="24"/>
          <w:szCs w:val="24"/>
          <w:highlight w:val="none"/>
          <w:u w:val="none"/>
          <w:lang w:val="en-US" w:eastAsia="zh-CN" w:bidi="ar"/>
        </w:rPr>
        <w:t>70,098,978.14</w:t>
      </w:r>
      <w:r>
        <w:rPr>
          <w:rFonts w:hint="eastAsia" w:ascii="宋体" w:hAnsi="宋体" w:eastAsia="宋体" w:cs="宋体"/>
          <w:color w:val="auto"/>
          <w:kern w:val="0"/>
          <w:sz w:val="24"/>
          <w:szCs w:val="24"/>
          <w:highlight w:val="none"/>
          <w:lang w:bidi="ar"/>
        </w:rPr>
        <w:t>元，同比</w:t>
      </w:r>
      <w:r>
        <w:rPr>
          <w:rFonts w:hint="eastAsia" w:ascii="宋体" w:hAnsi="宋体" w:cs="宋体"/>
          <w:color w:val="auto"/>
          <w:kern w:val="0"/>
          <w:sz w:val="24"/>
          <w:szCs w:val="24"/>
          <w:highlight w:val="none"/>
          <w:lang w:val="en-US" w:eastAsia="zh-CN" w:bidi="ar"/>
        </w:rPr>
        <w:t>增加</w:t>
      </w:r>
      <w:r>
        <w:rPr>
          <w:rFonts w:hint="eastAsia" w:ascii="宋体" w:hAnsi="宋体" w:eastAsia="宋体" w:cs="宋体"/>
          <w:color w:val="auto"/>
          <w:kern w:val="0"/>
          <w:sz w:val="24"/>
          <w:szCs w:val="24"/>
          <w:highlight w:val="none"/>
          <w:lang w:bidi="ar"/>
        </w:rPr>
        <w:t>1</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bidi="ar"/>
        </w:rPr>
        <w:t>964</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bidi="ar"/>
        </w:rPr>
        <w:t>798</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bidi="ar"/>
        </w:rPr>
        <w:t>926.96元，</w:t>
      </w:r>
      <w:r>
        <w:rPr>
          <w:rFonts w:hint="eastAsia" w:ascii="宋体" w:hAnsi="宋体" w:cs="宋体"/>
          <w:color w:val="auto"/>
          <w:kern w:val="0"/>
          <w:sz w:val="24"/>
          <w:szCs w:val="24"/>
          <w:highlight w:val="none"/>
          <w:lang w:val="en-US" w:eastAsia="zh-CN" w:bidi="ar"/>
        </w:rPr>
        <w:t>增</w:t>
      </w:r>
      <w:r>
        <w:rPr>
          <w:rFonts w:hint="eastAsia" w:ascii="宋体" w:hAnsi="宋体" w:eastAsia="宋体" w:cs="宋体"/>
          <w:color w:val="auto"/>
          <w:kern w:val="0"/>
          <w:sz w:val="24"/>
          <w:szCs w:val="24"/>
          <w:highlight w:val="none"/>
          <w:lang w:eastAsia="zh-CN" w:bidi="ar"/>
        </w:rPr>
        <w:t>幅</w:t>
      </w:r>
      <w:r>
        <w:rPr>
          <w:rFonts w:hint="eastAsia" w:ascii="宋体" w:hAnsi="宋体" w:cs="宋体"/>
          <w:color w:val="auto"/>
          <w:kern w:val="0"/>
          <w:sz w:val="24"/>
          <w:szCs w:val="24"/>
          <w:highlight w:val="none"/>
          <w:lang w:val="en-US" w:eastAsia="zh-CN" w:bidi="ar"/>
        </w:rPr>
        <w:t>103.7</w:t>
      </w:r>
      <w:r>
        <w:rPr>
          <w:rFonts w:hint="eastAsia" w:ascii="宋体" w:hAnsi="宋体" w:eastAsia="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bidi="ar"/>
        </w:rPr>
        <w:t>。</w:t>
      </w:r>
      <w:r>
        <w:rPr>
          <w:rFonts w:hint="eastAsia" w:ascii="宋体" w:hAnsi="宋体" w:eastAsia="宋体" w:cs="宋体"/>
          <w:b w:val="0"/>
          <w:bCs w:val="0"/>
          <w:color w:val="auto"/>
          <w:kern w:val="0"/>
          <w:sz w:val="24"/>
          <w:szCs w:val="24"/>
          <w:highlight w:val="none"/>
          <w:lang w:val="en-US" w:eastAsia="zh-CN"/>
        </w:rPr>
        <w:t>同期剔除一次性事项（</w:t>
      </w:r>
      <w:r>
        <w:rPr>
          <w:rFonts w:hint="eastAsia" w:ascii="宋体" w:hAnsi="宋体" w:cs="宋体"/>
          <w:b w:val="0"/>
          <w:bCs w:val="0"/>
          <w:color w:val="auto"/>
          <w:kern w:val="0"/>
          <w:sz w:val="24"/>
          <w:szCs w:val="24"/>
          <w:highlight w:val="none"/>
          <w:lang w:val="en-US" w:eastAsia="zh-CN"/>
        </w:rPr>
        <w:t>2023年</w:t>
      </w:r>
      <w:r>
        <w:rPr>
          <w:rFonts w:hint="eastAsia" w:ascii="宋体" w:hAnsi="宋体" w:eastAsia="宋体" w:cs="宋体"/>
          <w:b w:val="0"/>
          <w:bCs w:val="0"/>
          <w:color w:val="auto"/>
          <w:kern w:val="0"/>
          <w:sz w:val="24"/>
          <w:szCs w:val="24"/>
          <w:highlight w:val="none"/>
          <w:lang w:val="en-US" w:eastAsia="zh-CN"/>
        </w:rPr>
        <w:t>收购绥阳公司股权损失8.13亿元及计提泰元公司减值13.5亿元）后</w:t>
      </w:r>
      <w:r>
        <w:rPr>
          <w:rFonts w:hint="eastAsia" w:ascii="宋体" w:hAnsi="宋体" w:cs="宋体"/>
          <w:b w:val="0"/>
          <w:bCs w:val="0"/>
          <w:color w:val="auto"/>
          <w:kern w:val="0"/>
          <w:sz w:val="24"/>
          <w:szCs w:val="24"/>
          <w:highlight w:val="none"/>
          <w:lang w:val="en-US" w:eastAsia="zh-CN"/>
        </w:rPr>
        <w:t>净利润</w:t>
      </w:r>
      <w:r>
        <w:rPr>
          <w:rFonts w:hint="eastAsia" w:ascii="宋体" w:hAnsi="宋体" w:eastAsia="宋体" w:cs="宋体"/>
          <w:b w:val="0"/>
          <w:bCs w:val="0"/>
          <w:color w:val="auto"/>
          <w:kern w:val="0"/>
          <w:sz w:val="24"/>
          <w:szCs w:val="24"/>
          <w:highlight w:val="none"/>
          <w:lang w:val="en-US" w:eastAsia="zh-CN"/>
        </w:rPr>
        <w:t>为</w:t>
      </w:r>
      <w:r>
        <w:rPr>
          <w:rFonts w:hint="eastAsia" w:ascii="宋体" w:hAnsi="宋体" w:cs="宋体"/>
          <w:b w:val="0"/>
          <w:bCs w:val="0"/>
          <w:color w:val="auto"/>
          <w:kern w:val="0"/>
          <w:sz w:val="24"/>
          <w:szCs w:val="24"/>
          <w:highlight w:val="none"/>
          <w:lang w:val="en-US" w:eastAsia="zh-CN"/>
        </w:rPr>
        <w:t>2.68</w:t>
      </w:r>
      <w:r>
        <w:rPr>
          <w:rFonts w:hint="eastAsia" w:ascii="宋体" w:hAnsi="宋体" w:eastAsia="宋体" w:cs="宋体"/>
          <w:b w:val="0"/>
          <w:bCs w:val="0"/>
          <w:color w:val="auto"/>
          <w:kern w:val="0"/>
          <w:sz w:val="24"/>
          <w:szCs w:val="24"/>
          <w:highlight w:val="none"/>
          <w:lang w:val="en-US" w:eastAsia="zh-CN"/>
        </w:rPr>
        <w:t>亿元，同比</w:t>
      </w:r>
      <w:r>
        <w:rPr>
          <w:rFonts w:hint="eastAsia" w:ascii="宋体" w:hAnsi="宋体" w:cs="宋体"/>
          <w:b w:val="0"/>
          <w:bCs w:val="0"/>
          <w:color w:val="auto"/>
          <w:kern w:val="0"/>
          <w:sz w:val="24"/>
          <w:szCs w:val="24"/>
          <w:highlight w:val="none"/>
          <w:lang w:val="en-US" w:eastAsia="zh-CN"/>
        </w:rPr>
        <w:t>减利1.98</w:t>
      </w:r>
      <w:r>
        <w:rPr>
          <w:rFonts w:hint="eastAsia" w:ascii="宋体" w:hAnsi="宋体" w:eastAsia="宋体" w:cs="宋体"/>
          <w:b w:val="0"/>
          <w:bCs w:val="0"/>
          <w:color w:val="auto"/>
          <w:kern w:val="0"/>
          <w:sz w:val="24"/>
          <w:szCs w:val="24"/>
          <w:highlight w:val="none"/>
          <w:lang w:val="en-US" w:eastAsia="zh-CN"/>
        </w:rPr>
        <w:t>亿元</w:t>
      </w:r>
      <w:r>
        <w:rPr>
          <w:rFonts w:hint="eastAsia" w:ascii="宋体" w:hAnsi="宋体" w:cs="宋体"/>
          <w:b w:val="0"/>
          <w:bCs w:val="0"/>
          <w:color w:val="auto"/>
          <w:kern w:val="0"/>
          <w:sz w:val="24"/>
          <w:szCs w:val="24"/>
          <w:highlight w:val="none"/>
          <w:lang w:val="en-US" w:eastAsia="zh-CN"/>
        </w:rPr>
        <w:t>。</w:t>
      </w:r>
    </w:p>
    <w:p>
      <w:pPr>
        <w:keepNext w:val="0"/>
        <w:keepLines w:val="0"/>
        <w:pageBreakBefore w:val="0"/>
        <w:widowControl/>
        <w:numPr>
          <w:ilvl w:val="0"/>
          <w:numId w:val="0"/>
        </w:numPr>
        <w:kinsoku/>
        <w:wordWrap/>
        <w:overflowPunct/>
        <w:topLinePunct w:val="0"/>
        <w:autoSpaceDE/>
        <w:autoSpaceDN/>
        <w:bidi w:val="0"/>
        <w:adjustRightInd/>
        <w:snapToGrid w:val="0"/>
        <w:spacing w:line="400" w:lineRule="exact"/>
        <w:ind w:firstLine="470" w:firstLineChars="196"/>
        <w:jc w:val="left"/>
        <w:textAlignment w:val="auto"/>
        <w:rPr>
          <w:rFonts w:hint="eastAsia" w:ascii="宋体" w:hAnsi="宋体" w:cs="宋体"/>
          <w:color w:val="auto"/>
          <w:kern w:val="0"/>
          <w:sz w:val="24"/>
          <w:highlight w:val="none"/>
        </w:rPr>
      </w:pPr>
      <w:r>
        <w:rPr>
          <w:rFonts w:hint="eastAsia" w:ascii="宋体" w:hAnsi="宋体" w:cs="宋体"/>
          <w:b w:val="0"/>
          <w:bCs w:val="0"/>
          <w:color w:val="auto"/>
          <w:kern w:val="0"/>
          <w:sz w:val="24"/>
          <w:szCs w:val="24"/>
          <w:highlight w:val="none"/>
          <w:lang w:val="en-US" w:eastAsia="zh-CN"/>
        </w:rPr>
        <w:t>净利润</w:t>
      </w:r>
      <w:r>
        <w:rPr>
          <w:rFonts w:hint="eastAsia" w:ascii="宋体" w:hAnsi="宋体" w:eastAsia="宋体" w:cs="宋体"/>
          <w:b w:val="0"/>
          <w:bCs w:val="0"/>
          <w:color w:val="auto"/>
          <w:kern w:val="0"/>
          <w:sz w:val="24"/>
          <w:szCs w:val="24"/>
          <w:highlight w:val="none"/>
          <w:lang w:val="en-US" w:eastAsia="zh-CN"/>
        </w:rPr>
        <w:t>同比</w:t>
      </w:r>
      <w:r>
        <w:rPr>
          <w:rFonts w:hint="eastAsia" w:ascii="宋体" w:hAnsi="宋体" w:cs="宋体"/>
          <w:b w:val="0"/>
          <w:bCs w:val="0"/>
          <w:color w:val="auto"/>
          <w:kern w:val="0"/>
          <w:sz w:val="24"/>
          <w:szCs w:val="24"/>
          <w:highlight w:val="none"/>
          <w:lang w:val="en-US" w:eastAsia="zh-CN"/>
        </w:rPr>
        <w:t>减利1.56</w:t>
      </w:r>
      <w:r>
        <w:rPr>
          <w:rFonts w:hint="eastAsia" w:ascii="宋体" w:hAnsi="宋体" w:eastAsia="宋体" w:cs="宋体"/>
          <w:b w:val="0"/>
          <w:bCs w:val="0"/>
          <w:color w:val="auto"/>
          <w:kern w:val="0"/>
          <w:sz w:val="24"/>
          <w:szCs w:val="24"/>
          <w:highlight w:val="none"/>
          <w:lang w:val="en-US" w:eastAsia="zh-CN"/>
        </w:rPr>
        <w:t>亿元</w:t>
      </w:r>
      <w:r>
        <w:rPr>
          <w:rFonts w:hint="eastAsia" w:ascii="宋体" w:hAnsi="宋体" w:eastAsia="宋体" w:cs="宋体"/>
          <w:color w:val="auto"/>
          <w:kern w:val="0"/>
          <w:sz w:val="24"/>
          <w:szCs w:val="24"/>
          <w:highlight w:val="none"/>
        </w:rPr>
        <w:t>的主要原因：</w:t>
      </w:r>
      <w:r>
        <w:rPr>
          <w:rFonts w:hint="eastAsia" w:ascii="宋体" w:hAnsi="宋体" w:cs="宋体"/>
          <w:color w:val="auto"/>
          <w:kern w:val="0"/>
          <w:sz w:val="24"/>
          <w:szCs w:val="24"/>
          <w:highlight w:val="none"/>
          <w:lang w:val="en-US" w:eastAsia="zh-CN"/>
        </w:rPr>
        <w:t>一是</w:t>
      </w:r>
      <w:r>
        <w:rPr>
          <w:rFonts w:hint="eastAsia" w:ascii="宋体" w:hAnsi="宋体" w:eastAsia="宋体" w:cs="宋体"/>
          <w:b w:val="0"/>
          <w:bCs w:val="0"/>
          <w:color w:val="auto"/>
          <w:kern w:val="0"/>
          <w:sz w:val="24"/>
          <w:szCs w:val="24"/>
          <w:highlight w:val="none"/>
          <w:lang w:val="en-US" w:eastAsia="zh-CN"/>
        </w:rPr>
        <w:t>绥阳公司</w:t>
      </w:r>
      <w:r>
        <w:rPr>
          <w:rFonts w:hint="eastAsia" w:ascii="宋体" w:hAnsi="宋体" w:cs="宋体"/>
          <w:b w:val="0"/>
          <w:bCs w:val="0"/>
          <w:color w:val="auto"/>
          <w:kern w:val="0"/>
          <w:sz w:val="24"/>
          <w:szCs w:val="24"/>
          <w:highlight w:val="none"/>
          <w:lang w:val="en-US" w:eastAsia="zh-CN"/>
        </w:rPr>
        <w:t>因铁合金市场低迷，售价降低779.77元/吨，</w:t>
      </w:r>
      <w:r>
        <w:rPr>
          <w:rFonts w:hint="eastAsia" w:ascii="宋体" w:hAnsi="宋体" w:eastAsia="宋体" w:cs="宋体"/>
          <w:b w:val="0"/>
          <w:bCs w:val="0"/>
          <w:color w:val="auto"/>
          <w:kern w:val="0"/>
          <w:sz w:val="24"/>
          <w:szCs w:val="24"/>
          <w:highlight w:val="none"/>
          <w:lang w:val="en-US" w:eastAsia="zh-CN"/>
        </w:rPr>
        <w:t>同比</w:t>
      </w:r>
      <w:r>
        <w:rPr>
          <w:rFonts w:hint="eastAsia" w:ascii="宋体" w:hAnsi="宋体" w:cs="宋体"/>
          <w:b w:val="0"/>
          <w:bCs w:val="0"/>
          <w:color w:val="auto"/>
          <w:kern w:val="0"/>
          <w:sz w:val="24"/>
          <w:szCs w:val="24"/>
          <w:highlight w:val="none"/>
          <w:lang w:val="en-US" w:eastAsia="zh-CN"/>
        </w:rPr>
        <w:t>增亏2.39</w:t>
      </w:r>
      <w:r>
        <w:rPr>
          <w:rFonts w:hint="eastAsia" w:ascii="宋体" w:hAnsi="宋体" w:eastAsia="宋体" w:cs="宋体"/>
          <w:b w:val="0"/>
          <w:bCs w:val="0"/>
          <w:color w:val="auto"/>
          <w:kern w:val="0"/>
          <w:sz w:val="24"/>
          <w:szCs w:val="24"/>
          <w:highlight w:val="none"/>
          <w:lang w:val="en-US" w:eastAsia="zh-CN"/>
        </w:rPr>
        <w:t>亿元</w:t>
      </w:r>
      <w:r>
        <w:rPr>
          <w:rFonts w:hint="eastAsia" w:ascii="宋体" w:hAnsi="宋体" w:cs="宋体"/>
          <w:b w:val="0"/>
          <w:bCs w:val="0"/>
          <w:color w:val="auto"/>
          <w:kern w:val="0"/>
          <w:sz w:val="24"/>
          <w:szCs w:val="24"/>
          <w:highlight w:val="none"/>
          <w:lang w:val="en-US" w:eastAsia="zh-CN"/>
        </w:rPr>
        <w:t>；二是由于</w:t>
      </w:r>
      <w:r>
        <w:rPr>
          <w:rFonts w:hint="eastAsia" w:ascii="宋体" w:hAnsi="宋体" w:eastAsia="宋体" w:cs="宋体"/>
          <w:b w:val="0"/>
          <w:bCs w:val="0"/>
          <w:color w:val="auto"/>
          <w:kern w:val="0"/>
          <w:sz w:val="24"/>
          <w:szCs w:val="24"/>
          <w:highlight w:val="none"/>
          <w:lang w:val="en-US" w:eastAsia="zh-CN"/>
        </w:rPr>
        <w:t>能发公司</w:t>
      </w:r>
      <w:r>
        <w:rPr>
          <w:rFonts w:hint="eastAsia" w:ascii="宋体" w:hAnsi="宋体" w:cs="宋体"/>
          <w:b w:val="0"/>
          <w:bCs w:val="0"/>
          <w:color w:val="auto"/>
          <w:kern w:val="0"/>
          <w:sz w:val="24"/>
          <w:szCs w:val="24"/>
          <w:highlight w:val="none"/>
          <w:lang w:val="en-US" w:eastAsia="zh-CN"/>
        </w:rPr>
        <w:t>股权转让，贵州金元对债权进行重估，造成暂时性损失2.99</w:t>
      </w:r>
      <w:r>
        <w:rPr>
          <w:rFonts w:hint="eastAsia" w:ascii="宋体" w:hAnsi="宋体" w:eastAsia="宋体" w:cs="宋体"/>
          <w:color w:val="auto"/>
          <w:kern w:val="0"/>
          <w:sz w:val="24"/>
          <w:szCs w:val="24"/>
          <w:highlight w:val="none"/>
          <w:lang w:val="en-US" w:eastAsia="zh-CN" w:bidi="ar-SA"/>
        </w:rPr>
        <w:t>亿元</w:t>
      </w:r>
      <w:r>
        <w:rPr>
          <w:rFonts w:hint="eastAsia" w:ascii="宋体" w:hAnsi="宋体" w:cs="宋体"/>
          <w:color w:val="auto"/>
          <w:kern w:val="0"/>
          <w:sz w:val="24"/>
          <w:szCs w:val="24"/>
          <w:highlight w:val="none"/>
          <w:lang w:val="en-US" w:eastAsia="zh-CN" w:bidi="ar-SA"/>
        </w:rPr>
        <w:t>，待债权收回后逐年转回损失。</w:t>
      </w:r>
      <w:r>
        <w:rPr>
          <w:rFonts w:hint="eastAsia" w:ascii="宋体" w:hAnsi="宋体" w:eastAsia="宋体" w:cs="宋体"/>
          <w:color w:val="auto"/>
          <w:kern w:val="0"/>
          <w:sz w:val="24"/>
          <w:szCs w:val="24"/>
          <w:highlight w:val="none"/>
          <w:lang w:val="en-US" w:eastAsia="zh-CN" w:bidi="ar-SA"/>
        </w:rPr>
        <w:t>基于以上</w:t>
      </w:r>
      <w:r>
        <w:rPr>
          <w:rFonts w:hint="eastAsia" w:ascii="宋体" w:hAnsi="宋体" w:cs="宋体"/>
          <w:color w:val="auto"/>
          <w:kern w:val="0"/>
          <w:sz w:val="24"/>
          <w:szCs w:val="24"/>
          <w:highlight w:val="none"/>
          <w:lang w:val="en-US" w:eastAsia="zh-CN" w:bidi="ar-SA"/>
        </w:rPr>
        <w:t>因素合计减利5.38亿元，</w:t>
      </w:r>
      <w:r>
        <w:rPr>
          <w:rFonts w:hint="eastAsia" w:ascii="宋体" w:hAnsi="宋体" w:eastAsia="宋体" w:cs="宋体"/>
          <w:color w:val="auto"/>
          <w:kern w:val="0"/>
          <w:sz w:val="24"/>
          <w:szCs w:val="24"/>
          <w:highlight w:val="none"/>
          <w:lang w:val="en-US" w:eastAsia="zh-CN" w:bidi="ar-SA"/>
        </w:rPr>
        <w:t>贵州金元2024年千方百计抢抓发电量</w:t>
      </w:r>
      <w:r>
        <w:rPr>
          <w:rFonts w:hint="eastAsia" w:ascii="宋体" w:hAnsi="宋体" w:cs="宋体"/>
          <w:color w:val="auto"/>
          <w:kern w:val="0"/>
          <w:sz w:val="24"/>
          <w:szCs w:val="24"/>
          <w:highlight w:val="none"/>
          <w:lang w:val="en-US" w:eastAsia="zh-CN" w:bidi="ar-SA"/>
        </w:rPr>
        <w:t>、通过压降成本、处置低效无效资产等措施，共计增加营业利润3.84亿元，其中：一是</w:t>
      </w:r>
      <w:r>
        <w:rPr>
          <w:rFonts w:hint="eastAsia" w:ascii="宋体" w:hAnsi="宋体" w:eastAsia="宋体" w:cs="宋体"/>
          <w:i w:val="0"/>
          <w:iCs w:val="0"/>
          <w:caps w:val="0"/>
          <w:color w:val="auto"/>
          <w:spacing w:val="0"/>
          <w:kern w:val="0"/>
          <w:sz w:val="24"/>
          <w:szCs w:val="24"/>
          <w:highlight w:val="none"/>
          <w:shd w:val="clear"/>
          <w:lang w:val="en-US" w:eastAsia="zh-CN"/>
        </w:rPr>
        <w:t>水电板块</w:t>
      </w:r>
      <w:r>
        <w:rPr>
          <w:rFonts w:hint="eastAsia" w:ascii="宋体" w:hAnsi="宋体" w:cs="宋体"/>
          <w:i w:val="0"/>
          <w:iCs w:val="0"/>
          <w:caps w:val="0"/>
          <w:color w:val="auto"/>
          <w:spacing w:val="0"/>
          <w:kern w:val="0"/>
          <w:sz w:val="24"/>
          <w:szCs w:val="24"/>
          <w:highlight w:val="none"/>
          <w:shd w:val="clear"/>
          <w:lang w:val="en-US" w:eastAsia="zh-CN"/>
        </w:rPr>
        <w:t>通过</w:t>
      </w:r>
      <w:r>
        <w:rPr>
          <w:rFonts w:hint="eastAsia" w:ascii="宋体" w:hAnsi="宋体" w:eastAsia="宋体" w:cs="宋体"/>
          <w:i w:val="0"/>
          <w:iCs w:val="0"/>
          <w:caps w:val="0"/>
          <w:color w:val="auto"/>
          <w:spacing w:val="0"/>
          <w:kern w:val="0"/>
          <w:sz w:val="24"/>
          <w:szCs w:val="24"/>
          <w:highlight w:val="none"/>
          <w:shd w:val="clear"/>
          <w:lang w:val="en-US" w:eastAsia="zh-CN"/>
        </w:rPr>
        <w:t>增发电量</w:t>
      </w:r>
      <w:r>
        <w:rPr>
          <w:rFonts w:hint="eastAsia" w:ascii="宋体" w:hAnsi="宋体" w:cs="宋体"/>
          <w:i w:val="0"/>
          <w:iCs w:val="0"/>
          <w:caps w:val="0"/>
          <w:color w:val="auto"/>
          <w:spacing w:val="0"/>
          <w:kern w:val="0"/>
          <w:sz w:val="24"/>
          <w:szCs w:val="24"/>
          <w:highlight w:val="none"/>
          <w:shd w:val="clear"/>
          <w:lang w:val="en-US" w:eastAsia="zh-CN"/>
        </w:rPr>
        <w:t>、</w:t>
      </w:r>
      <w:r>
        <w:rPr>
          <w:rFonts w:hint="eastAsia" w:ascii="宋体" w:hAnsi="宋体" w:eastAsia="宋体" w:cs="宋体"/>
          <w:i w:val="0"/>
          <w:iCs w:val="0"/>
          <w:caps w:val="0"/>
          <w:color w:val="auto"/>
          <w:spacing w:val="0"/>
          <w:kern w:val="0"/>
          <w:sz w:val="24"/>
          <w:szCs w:val="24"/>
          <w:highlight w:val="none"/>
          <w:shd w:val="clear"/>
          <w:lang w:val="en-US" w:eastAsia="zh-CN"/>
        </w:rPr>
        <w:t>控降成本费用，</w:t>
      </w:r>
      <w:r>
        <w:rPr>
          <w:rFonts w:hint="eastAsia" w:ascii="宋体" w:hAnsi="宋体" w:eastAsia="宋体" w:cs="宋体"/>
          <w:b w:val="0"/>
          <w:snapToGrid/>
          <w:color w:val="auto"/>
          <w:kern w:val="0"/>
          <w:sz w:val="24"/>
          <w:szCs w:val="24"/>
          <w:highlight w:val="none"/>
          <w:lang w:val="en-US" w:eastAsia="zh-CN"/>
        </w:rPr>
        <w:t>新能源板块克服市场化交易带来的电价下行，通过控降三项费用、财务费用等措施</w:t>
      </w:r>
      <w:r>
        <w:rPr>
          <w:rFonts w:hint="eastAsia" w:ascii="宋体" w:hAnsi="宋体" w:cs="宋体"/>
          <w:b w:val="0"/>
          <w:snapToGrid/>
          <w:color w:val="auto"/>
          <w:kern w:val="0"/>
          <w:sz w:val="24"/>
          <w:szCs w:val="24"/>
          <w:highlight w:val="none"/>
          <w:lang w:val="en-US" w:eastAsia="zh-CN"/>
        </w:rPr>
        <w:t>，共计提升</w:t>
      </w:r>
      <w:r>
        <w:rPr>
          <w:rFonts w:hint="eastAsia" w:ascii="宋体" w:hAnsi="宋体" w:cs="宋体"/>
          <w:i w:val="0"/>
          <w:iCs w:val="0"/>
          <w:caps w:val="0"/>
          <w:color w:val="auto"/>
          <w:spacing w:val="0"/>
          <w:kern w:val="0"/>
          <w:sz w:val="24"/>
          <w:szCs w:val="24"/>
          <w:highlight w:val="none"/>
          <w:shd w:val="clear"/>
          <w:lang w:val="en-US" w:eastAsia="zh-CN"/>
        </w:rPr>
        <w:t>售电单位利润21.12</w:t>
      </w:r>
      <w:r>
        <w:rPr>
          <w:rFonts w:hint="eastAsia" w:ascii="宋体" w:hAnsi="宋体" w:eastAsia="宋体" w:cs="宋体"/>
          <w:i w:val="0"/>
          <w:iCs w:val="0"/>
          <w:caps w:val="0"/>
          <w:color w:val="auto"/>
          <w:spacing w:val="0"/>
          <w:kern w:val="0"/>
          <w:sz w:val="24"/>
          <w:szCs w:val="24"/>
          <w:highlight w:val="none"/>
          <w:shd w:val="clear"/>
          <w:lang w:val="en-US" w:eastAsia="zh-CN"/>
        </w:rPr>
        <w:t>元/千千瓦时，</w:t>
      </w:r>
      <w:r>
        <w:rPr>
          <w:rFonts w:hint="eastAsia" w:ascii="宋体" w:hAnsi="宋体" w:eastAsia="宋体" w:cs="宋体"/>
          <w:b w:val="0"/>
          <w:bCs w:val="0"/>
          <w:color w:val="auto"/>
          <w:kern w:val="0"/>
          <w:sz w:val="24"/>
          <w:szCs w:val="24"/>
          <w:highlight w:val="none"/>
          <w:lang w:val="en-US" w:eastAsia="zh-CN"/>
        </w:rPr>
        <w:t>增加</w:t>
      </w:r>
      <w:r>
        <w:rPr>
          <w:rFonts w:hint="eastAsia" w:ascii="宋体" w:hAnsi="宋体" w:cs="宋体"/>
          <w:b w:val="0"/>
          <w:bCs w:val="0"/>
          <w:color w:val="auto"/>
          <w:kern w:val="0"/>
          <w:sz w:val="24"/>
          <w:szCs w:val="24"/>
          <w:highlight w:val="none"/>
          <w:lang w:val="en-US" w:eastAsia="zh-CN"/>
        </w:rPr>
        <w:t>净利润</w:t>
      </w:r>
      <w:r>
        <w:rPr>
          <w:rFonts w:hint="eastAsia" w:ascii="宋体" w:hAnsi="宋体" w:cs="宋体"/>
          <w:color w:val="auto"/>
          <w:kern w:val="0"/>
          <w:sz w:val="24"/>
          <w:szCs w:val="24"/>
          <w:highlight w:val="none"/>
          <w:lang w:val="en-US" w:eastAsia="zh-CN" w:bidi="ar-SA"/>
        </w:rPr>
        <w:t>2.54</w:t>
      </w:r>
      <w:r>
        <w:rPr>
          <w:rFonts w:hint="eastAsia" w:ascii="宋体" w:hAnsi="宋体" w:eastAsia="宋体" w:cs="宋体"/>
          <w:b w:val="0"/>
          <w:bCs w:val="0"/>
          <w:color w:val="auto"/>
          <w:kern w:val="0"/>
          <w:sz w:val="24"/>
          <w:szCs w:val="24"/>
          <w:highlight w:val="none"/>
          <w:lang w:val="en-US" w:eastAsia="zh-CN"/>
        </w:rPr>
        <w:t>亿元</w:t>
      </w:r>
      <w:r>
        <w:rPr>
          <w:rFonts w:hint="eastAsia" w:ascii="宋体" w:hAnsi="宋体" w:cs="宋体"/>
          <w:b w:val="0"/>
          <w:bCs w:val="0"/>
          <w:color w:val="auto"/>
          <w:kern w:val="0"/>
          <w:sz w:val="24"/>
          <w:szCs w:val="24"/>
          <w:highlight w:val="none"/>
          <w:lang w:val="en-US" w:eastAsia="zh-CN"/>
        </w:rPr>
        <w:t>；</w:t>
      </w:r>
      <w:r>
        <w:rPr>
          <w:rFonts w:hint="eastAsia" w:ascii="宋体" w:hAnsi="宋体" w:eastAsia="宋体" w:cs="宋体"/>
          <w:b w:val="0"/>
          <w:snapToGrid/>
          <w:color w:val="auto"/>
          <w:kern w:val="0"/>
          <w:sz w:val="24"/>
          <w:szCs w:val="24"/>
          <w:highlight w:val="none"/>
          <w:lang w:val="en-US" w:eastAsia="zh-CN"/>
        </w:rPr>
        <w:t>二是通过</w:t>
      </w:r>
      <w:r>
        <w:rPr>
          <w:rFonts w:hint="eastAsia" w:ascii="宋体" w:hAnsi="宋体" w:eastAsia="宋体" w:cs="宋体"/>
          <w:b w:val="0"/>
          <w:snapToGrid/>
          <w:color w:val="auto"/>
          <w:kern w:val="0"/>
          <w:sz w:val="24"/>
          <w:szCs w:val="24"/>
          <w:highlight w:val="none"/>
        </w:rPr>
        <w:t>积极开展</w:t>
      </w:r>
      <w:r>
        <w:rPr>
          <w:rFonts w:hint="eastAsia" w:ascii="宋体" w:hAnsi="宋体" w:eastAsia="宋体" w:cs="宋体"/>
          <w:b w:val="0"/>
          <w:snapToGrid/>
          <w:color w:val="auto"/>
          <w:kern w:val="0"/>
          <w:sz w:val="24"/>
          <w:szCs w:val="24"/>
          <w:highlight w:val="none"/>
          <w:lang w:val="en-US" w:eastAsia="zh-CN"/>
        </w:rPr>
        <w:t>小水电</w:t>
      </w:r>
      <w:r>
        <w:rPr>
          <w:rFonts w:hint="eastAsia" w:ascii="宋体" w:hAnsi="宋体" w:eastAsia="宋体" w:cs="宋体"/>
          <w:b w:val="0"/>
          <w:snapToGrid/>
          <w:color w:val="auto"/>
          <w:kern w:val="0"/>
          <w:sz w:val="24"/>
          <w:szCs w:val="24"/>
          <w:highlight w:val="none"/>
        </w:rPr>
        <w:t>资产处置</w:t>
      </w:r>
      <w:r>
        <w:rPr>
          <w:rFonts w:hint="eastAsia" w:ascii="宋体" w:hAnsi="宋体" w:eastAsia="宋体" w:cs="宋体"/>
          <w:b w:val="0"/>
          <w:snapToGrid/>
          <w:color w:val="auto"/>
          <w:kern w:val="0"/>
          <w:sz w:val="24"/>
          <w:szCs w:val="24"/>
          <w:highlight w:val="none"/>
          <w:lang w:eastAsia="zh-CN"/>
        </w:rPr>
        <w:t>，</w:t>
      </w:r>
      <w:r>
        <w:rPr>
          <w:rFonts w:hint="eastAsia" w:ascii="宋体" w:hAnsi="宋体" w:eastAsia="宋体" w:cs="宋体"/>
          <w:b w:val="0"/>
          <w:snapToGrid/>
          <w:color w:val="auto"/>
          <w:kern w:val="0"/>
          <w:sz w:val="24"/>
          <w:szCs w:val="24"/>
          <w:highlight w:val="none"/>
          <w:lang w:val="en-US" w:eastAsia="zh-CN"/>
        </w:rPr>
        <w:t>并</w:t>
      </w:r>
      <w:r>
        <w:rPr>
          <w:rFonts w:hint="eastAsia" w:ascii="宋体" w:hAnsi="宋体" w:eastAsia="宋体" w:cs="宋体"/>
          <w:b w:val="0"/>
          <w:snapToGrid/>
          <w:color w:val="auto"/>
          <w:kern w:val="0"/>
          <w:sz w:val="24"/>
          <w:szCs w:val="24"/>
          <w:highlight w:val="none"/>
        </w:rPr>
        <w:t>与政府协商</w:t>
      </w:r>
      <w:r>
        <w:rPr>
          <w:rFonts w:hint="eastAsia" w:ascii="宋体" w:hAnsi="宋体" w:eastAsia="宋体" w:cs="宋体"/>
          <w:b w:val="0"/>
          <w:snapToGrid/>
          <w:color w:val="auto"/>
          <w:kern w:val="0"/>
          <w:sz w:val="24"/>
          <w:szCs w:val="24"/>
          <w:highlight w:val="none"/>
          <w:lang w:val="en-US" w:eastAsia="zh-CN"/>
        </w:rPr>
        <w:t>获取</w:t>
      </w:r>
      <w:r>
        <w:rPr>
          <w:rFonts w:hint="eastAsia" w:ascii="宋体" w:hAnsi="宋体" w:eastAsia="宋体" w:cs="宋体"/>
          <w:b w:val="0"/>
          <w:bCs w:val="0"/>
          <w:color w:val="auto"/>
          <w:kern w:val="0"/>
          <w:sz w:val="24"/>
          <w:szCs w:val="24"/>
          <w:highlight w:val="none"/>
          <w:lang w:val="en-US" w:eastAsia="zh-CN"/>
        </w:rPr>
        <w:t>明英电站赔偿款</w:t>
      </w:r>
      <w:r>
        <w:rPr>
          <w:rFonts w:hint="eastAsia" w:ascii="宋体" w:hAnsi="宋体" w:eastAsia="宋体" w:cs="宋体"/>
          <w:b w:val="0"/>
          <w:snapToGrid/>
          <w:color w:val="auto"/>
          <w:kern w:val="0"/>
          <w:sz w:val="24"/>
          <w:szCs w:val="24"/>
          <w:highlight w:val="none"/>
          <w:lang w:eastAsia="zh-CN"/>
        </w:rPr>
        <w:t>，</w:t>
      </w:r>
      <w:r>
        <w:rPr>
          <w:rFonts w:hint="eastAsia" w:ascii="宋体" w:hAnsi="宋体" w:eastAsia="宋体" w:cs="宋体"/>
          <w:b w:val="0"/>
          <w:bCs w:val="0"/>
          <w:color w:val="auto"/>
          <w:kern w:val="0"/>
          <w:sz w:val="24"/>
          <w:szCs w:val="24"/>
          <w:highlight w:val="none"/>
          <w:lang w:val="en-US" w:eastAsia="zh-CN"/>
        </w:rPr>
        <w:t>增加</w:t>
      </w:r>
      <w:r>
        <w:rPr>
          <w:rFonts w:hint="eastAsia" w:ascii="宋体" w:hAnsi="宋体" w:cs="宋体"/>
          <w:color w:val="auto"/>
          <w:kern w:val="0"/>
          <w:sz w:val="24"/>
          <w:szCs w:val="24"/>
          <w:highlight w:val="none"/>
          <w:lang w:val="en-US" w:eastAsia="zh-CN" w:bidi="ar-SA"/>
        </w:rPr>
        <w:t>营业利润</w:t>
      </w:r>
      <w:r>
        <w:rPr>
          <w:rFonts w:hint="eastAsia" w:ascii="宋体" w:hAnsi="宋体" w:eastAsia="宋体" w:cs="宋体"/>
          <w:b w:val="0"/>
          <w:bCs w:val="0"/>
          <w:color w:val="auto"/>
          <w:kern w:val="0"/>
          <w:sz w:val="24"/>
          <w:szCs w:val="24"/>
          <w:highlight w:val="none"/>
          <w:lang w:val="en-US" w:eastAsia="zh-CN"/>
        </w:rPr>
        <w:t>1.</w:t>
      </w:r>
      <w:r>
        <w:rPr>
          <w:rFonts w:hint="eastAsia" w:ascii="宋体" w:hAnsi="宋体" w:cs="宋体"/>
          <w:b w:val="0"/>
          <w:bCs w:val="0"/>
          <w:color w:val="auto"/>
          <w:kern w:val="0"/>
          <w:sz w:val="24"/>
          <w:szCs w:val="24"/>
          <w:highlight w:val="none"/>
          <w:lang w:val="en-US" w:eastAsia="zh-CN"/>
        </w:rPr>
        <w:t>3</w:t>
      </w:r>
      <w:r>
        <w:rPr>
          <w:rFonts w:hint="eastAsia" w:ascii="宋体" w:hAnsi="宋体" w:eastAsia="宋体" w:cs="宋体"/>
          <w:b w:val="0"/>
          <w:bCs w:val="0"/>
          <w:color w:val="auto"/>
          <w:kern w:val="0"/>
          <w:sz w:val="24"/>
          <w:szCs w:val="24"/>
          <w:highlight w:val="none"/>
          <w:lang w:val="en-US" w:eastAsia="zh-CN"/>
        </w:rPr>
        <w:t>亿元</w:t>
      </w:r>
      <w:r>
        <w:rPr>
          <w:rFonts w:hint="eastAsia" w:ascii="宋体" w:hAnsi="宋体" w:cs="宋体"/>
          <w:b w:val="0"/>
          <w:bCs w:val="0"/>
          <w:color w:val="auto"/>
          <w:kern w:val="0"/>
          <w:sz w:val="24"/>
          <w:szCs w:val="24"/>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80" w:firstLineChars="200"/>
        <w:jc w:val="left"/>
        <w:textAlignment w:val="auto"/>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lang w:eastAsia="zh-CN"/>
        </w:rPr>
        <w:t>）</w:t>
      </w:r>
      <w:r>
        <w:rPr>
          <w:rFonts w:hint="eastAsia" w:ascii="宋体" w:hAnsi="宋体" w:cs="宋体"/>
          <w:b w:val="0"/>
          <w:bCs w:val="0"/>
          <w:color w:val="auto"/>
          <w:sz w:val="24"/>
          <w:szCs w:val="24"/>
          <w:highlight w:val="none"/>
        </w:rPr>
        <w:t>收入</w:t>
      </w:r>
      <w:r>
        <w:rPr>
          <w:rFonts w:hint="eastAsia" w:ascii="宋体" w:hAnsi="宋体" w:cs="宋体"/>
          <w:b w:val="0"/>
          <w:bCs w:val="0"/>
          <w:color w:val="auto"/>
          <w:sz w:val="24"/>
          <w:szCs w:val="24"/>
          <w:highlight w:val="none"/>
          <w:lang w:eastAsia="zh-CN"/>
        </w:rPr>
        <w:t>、成本</w:t>
      </w:r>
      <w:r>
        <w:rPr>
          <w:rFonts w:hint="eastAsia" w:ascii="宋体" w:hAnsi="宋体" w:cs="宋体"/>
          <w:b w:val="0"/>
          <w:bCs w:val="0"/>
          <w:color w:val="auto"/>
          <w:sz w:val="24"/>
          <w:szCs w:val="24"/>
          <w:highlight w:val="none"/>
        </w:rPr>
        <w:t>构成</w:t>
      </w:r>
    </w:p>
    <w:p>
      <w:pPr>
        <w:pStyle w:val="15"/>
        <w:keepNext w:val="0"/>
        <w:keepLines w:val="0"/>
        <w:pageBreakBefore w:val="0"/>
        <w:numPr>
          <w:ilvl w:val="0"/>
          <w:numId w:val="0"/>
        </w:numPr>
        <w:kinsoku/>
        <w:overflowPunct/>
        <w:topLinePunct w:val="0"/>
        <w:bidi w:val="0"/>
        <w:spacing w:line="400" w:lineRule="exact"/>
        <w:ind w:leftChars="0"/>
        <w:jc w:val="left"/>
        <w:rPr>
          <w:rFonts w:hint="default" w:eastAsia="宋体"/>
          <w:b w:val="0"/>
          <w:bCs/>
          <w:color w:val="auto"/>
          <w:highlight w:val="none"/>
          <w:lang w:val="en-US" w:eastAsia="zh-CN"/>
        </w:rPr>
      </w:pPr>
      <w:r>
        <w:rPr>
          <w:rFonts w:hint="eastAsia" w:ascii="宋体" w:hAnsi="宋体" w:eastAsia="宋体" w:cs="宋体"/>
          <w:b w:val="0"/>
          <w:color w:val="auto"/>
          <w:kern w:val="0"/>
          <w:sz w:val="24"/>
          <w:szCs w:val="24"/>
          <w:highlight w:val="none"/>
          <w:lang w:val="en-US" w:eastAsia="zh-CN" w:bidi="ar-SA"/>
        </w:rPr>
        <w:t>单位：元</w:t>
      </w:r>
    </w:p>
    <w:tbl>
      <w:tblPr>
        <w:tblStyle w:val="22"/>
        <w:tblW w:w="0" w:type="auto"/>
        <w:tblInd w:w="0"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2036"/>
        <w:gridCol w:w="2225"/>
        <w:gridCol w:w="2133"/>
        <w:gridCol w:w="2133"/>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c>
          <w:tcPr>
            <w:tcW w:w="20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tabs>
                <w:tab w:val="left" w:pos="5140"/>
              </w:tabs>
              <w:kinsoku/>
              <w:overflowPunct/>
              <w:topLinePunct w:val="0"/>
              <w:bidi w:val="0"/>
              <w:spacing w:line="400" w:lineRule="exact"/>
              <w:jc w:val="left"/>
              <w:rPr>
                <w:rFonts w:hint="eastAsia" w:ascii="宋体" w:hAnsi="宋体" w:cs="宋体"/>
                <w:b w:val="0"/>
                <w:bCs w:val="0"/>
                <w:color w:val="auto"/>
                <w:kern w:val="0"/>
                <w:highlight w:val="none"/>
              </w:rPr>
            </w:pPr>
            <w:r>
              <w:rPr>
                <w:rFonts w:hint="eastAsia" w:ascii="宋体" w:hAnsi="宋体" w:cs="宋体"/>
                <w:b w:val="0"/>
                <w:bCs w:val="0"/>
                <w:color w:val="auto"/>
                <w:kern w:val="0"/>
                <w:highlight w:val="none"/>
              </w:rPr>
              <w:t>项目</w:t>
            </w:r>
          </w:p>
        </w:tc>
        <w:tc>
          <w:tcPr>
            <w:tcW w:w="22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tabs>
                <w:tab w:val="left" w:pos="5140"/>
              </w:tabs>
              <w:kinsoku/>
              <w:overflowPunct/>
              <w:topLinePunct w:val="0"/>
              <w:bidi w:val="0"/>
              <w:spacing w:line="400" w:lineRule="exact"/>
              <w:jc w:val="left"/>
              <w:rPr>
                <w:rFonts w:hint="eastAsia" w:ascii="宋体" w:hAnsi="宋体" w:cs="宋体"/>
                <w:b w:val="0"/>
                <w:bCs w:val="0"/>
                <w:color w:val="auto"/>
                <w:kern w:val="0"/>
                <w:highlight w:val="none"/>
              </w:rPr>
            </w:pPr>
            <w:r>
              <w:rPr>
                <w:rFonts w:hint="eastAsia" w:ascii="宋体" w:hAnsi="宋体" w:cs="宋体"/>
                <w:b w:val="0"/>
                <w:bCs w:val="0"/>
                <w:color w:val="auto"/>
                <w:kern w:val="0"/>
                <w:highlight w:val="none"/>
              </w:rPr>
              <w:t>本期金额</w:t>
            </w:r>
          </w:p>
        </w:tc>
        <w:tc>
          <w:tcPr>
            <w:tcW w:w="21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tabs>
                <w:tab w:val="left" w:pos="5140"/>
              </w:tabs>
              <w:kinsoku/>
              <w:overflowPunct/>
              <w:topLinePunct w:val="0"/>
              <w:bidi w:val="0"/>
              <w:spacing w:line="400" w:lineRule="exact"/>
              <w:jc w:val="left"/>
              <w:rPr>
                <w:rFonts w:hint="eastAsia" w:ascii="宋体" w:hAnsi="宋体" w:cs="宋体"/>
                <w:b w:val="0"/>
                <w:bCs w:val="0"/>
                <w:color w:val="auto"/>
                <w:kern w:val="0"/>
                <w:highlight w:val="none"/>
              </w:rPr>
            </w:pPr>
            <w:r>
              <w:rPr>
                <w:rFonts w:hint="eastAsia" w:ascii="宋体" w:hAnsi="宋体" w:cs="宋体"/>
                <w:b w:val="0"/>
                <w:bCs w:val="0"/>
                <w:color w:val="auto"/>
                <w:kern w:val="0"/>
                <w:highlight w:val="none"/>
              </w:rPr>
              <w:t>上期金额</w:t>
            </w:r>
          </w:p>
        </w:tc>
        <w:tc>
          <w:tcPr>
            <w:tcW w:w="213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tabs>
                <w:tab w:val="left" w:pos="5140"/>
              </w:tabs>
              <w:kinsoku/>
              <w:overflowPunct/>
              <w:topLinePunct w:val="0"/>
              <w:bidi w:val="0"/>
              <w:spacing w:line="400" w:lineRule="exact"/>
              <w:jc w:val="left"/>
              <w:rPr>
                <w:rFonts w:hint="eastAsia" w:ascii="宋体" w:hAnsi="宋体" w:cs="宋体"/>
                <w:b w:val="0"/>
                <w:bCs w:val="0"/>
                <w:color w:val="auto"/>
                <w:kern w:val="0"/>
                <w:highlight w:val="none"/>
              </w:rPr>
            </w:pPr>
            <w:r>
              <w:rPr>
                <w:rFonts w:hint="eastAsia" w:ascii="宋体" w:hAnsi="宋体" w:cs="宋体"/>
                <w:b w:val="0"/>
                <w:bCs w:val="0"/>
                <w:color w:val="auto"/>
                <w:kern w:val="0"/>
                <w:highlight w:val="none"/>
              </w:rPr>
              <w:t>增减</w:t>
            </w:r>
            <w:r>
              <w:rPr>
                <w:rFonts w:hint="eastAsia" w:ascii="宋体" w:hAnsi="宋体" w:cs="宋体"/>
                <w:b w:val="0"/>
                <w:bCs w:val="0"/>
                <w:color w:val="auto"/>
                <w:kern w:val="0"/>
                <w:highlight w:val="none"/>
                <w:lang w:eastAsia="zh-CN"/>
              </w:rPr>
              <w:t>变动</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c>
          <w:tcPr>
            <w:tcW w:w="20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主营业务收入</w:t>
            </w:r>
          </w:p>
        </w:tc>
        <w:tc>
          <w:tcPr>
            <w:tcW w:w="222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cs="宋体"/>
                <w:color w:val="auto"/>
                <w:kern w:val="0"/>
                <w:highlight w:val="none"/>
              </w:rPr>
            </w:pPr>
            <w:r>
              <w:rPr>
                <w:rFonts w:hint="eastAsia" w:ascii="宋体" w:hAnsi="宋体" w:eastAsia="宋体" w:cs="宋体"/>
                <w:i w:val="0"/>
                <w:iCs w:val="0"/>
                <w:color w:val="auto"/>
                <w:kern w:val="0"/>
                <w:sz w:val="20"/>
                <w:szCs w:val="20"/>
                <w:highlight w:val="none"/>
                <w:u w:val="none"/>
                <w:lang w:val="en-US" w:eastAsia="zh-CN" w:bidi="ar"/>
              </w:rPr>
              <w:t>15,338,363,901.00</w:t>
            </w:r>
          </w:p>
        </w:tc>
        <w:tc>
          <w:tcPr>
            <w:tcW w:w="213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cs="宋体"/>
                <w:color w:val="auto"/>
                <w:kern w:val="0"/>
                <w:highlight w:val="none"/>
              </w:rPr>
            </w:pPr>
            <w:r>
              <w:rPr>
                <w:rFonts w:hint="eastAsia" w:ascii="宋体" w:hAnsi="宋体" w:eastAsia="宋体" w:cs="宋体"/>
                <w:i w:val="0"/>
                <w:iCs w:val="0"/>
                <w:color w:val="auto"/>
                <w:kern w:val="0"/>
                <w:sz w:val="20"/>
                <w:szCs w:val="20"/>
                <w:highlight w:val="none"/>
                <w:u w:val="none"/>
                <w:lang w:val="en-US" w:eastAsia="zh-CN" w:bidi="ar"/>
              </w:rPr>
              <w:t>16,216,652,633.18</w:t>
            </w:r>
          </w:p>
        </w:tc>
        <w:tc>
          <w:tcPr>
            <w:tcW w:w="213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cs="宋体"/>
                <w:color w:val="auto"/>
                <w:kern w:val="0"/>
                <w:highlight w:val="none"/>
              </w:rPr>
            </w:pPr>
            <w:r>
              <w:rPr>
                <w:rFonts w:hint="eastAsia" w:ascii="宋体" w:hAnsi="宋体" w:eastAsia="宋体" w:cs="宋体"/>
                <w:i w:val="0"/>
                <w:iCs w:val="0"/>
                <w:color w:val="auto"/>
                <w:kern w:val="0"/>
                <w:sz w:val="20"/>
                <w:szCs w:val="20"/>
                <w:highlight w:val="none"/>
                <w:u w:val="none"/>
                <w:lang w:val="en-US" w:eastAsia="zh-CN" w:bidi="ar"/>
              </w:rPr>
              <w:t>-5.42%</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c>
          <w:tcPr>
            <w:tcW w:w="20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其他业务收入</w:t>
            </w:r>
          </w:p>
        </w:tc>
        <w:tc>
          <w:tcPr>
            <w:tcW w:w="222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cs="宋体"/>
                <w:color w:val="auto"/>
                <w:kern w:val="0"/>
                <w:highlight w:val="none"/>
              </w:rPr>
            </w:pPr>
            <w:r>
              <w:rPr>
                <w:rFonts w:hint="eastAsia" w:ascii="宋体" w:hAnsi="宋体" w:eastAsia="宋体" w:cs="宋体"/>
                <w:i w:val="0"/>
                <w:iCs w:val="0"/>
                <w:color w:val="auto"/>
                <w:kern w:val="0"/>
                <w:sz w:val="20"/>
                <w:szCs w:val="20"/>
                <w:highlight w:val="none"/>
                <w:u w:val="none"/>
                <w:lang w:val="en-US" w:eastAsia="zh-CN" w:bidi="ar"/>
              </w:rPr>
              <w:t>982,641,978.66</w:t>
            </w:r>
          </w:p>
        </w:tc>
        <w:tc>
          <w:tcPr>
            <w:tcW w:w="213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cs="宋体"/>
                <w:color w:val="auto"/>
                <w:kern w:val="0"/>
                <w:highlight w:val="none"/>
              </w:rPr>
            </w:pPr>
            <w:r>
              <w:rPr>
                <w:rFonts w:hint="eastAsia" w:ascii="宋体" w:hAnsi="宋体" w:eastAsia="宋体" w:cs="宋体"/>
                <w:i w:val="0"/>
                <w:iCs w:val="0"/>
                <w:color w:val="auto"/>
                <w:kern w:val="0"/>
                <w:sz w:val="20"/>
                <w:szCs w:val="20"/>
                <w:highlight w:val="none"/>
                <w:u w:val="none"/>
                <w:lang w:val="en-US" w:eastAsia="zh-CN" w:bidi="ar"/>
              </w:rPr>
              <w:t>1,004,588,293.56</w:t>
            </w:r>
          </w:p>
        </w:tc>
        <w:tc>
          <w:tcPr>
            <w:tcW w:w="213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cs="宋体"/>
                <w:color w:val="auto"/>
                <w:kern w:val="0"/>
                <w:highlight w:val="none"/>
              </w:rPr>
            </w:pPr>
            <w:r>
              <w:rPr>
                <w:rFonts w:hint="eastAsia" w:ascii="宋体" w:hAnsi="宋体" w:eastAsia="宋体" w:cs="宋体"/>
                <w:i w:val="0"/>
                <w:iCs w:val="0"/>
                <w:color w:val="auto"/>
                <w:kern w:val="0"/>
                <w:sz w:val="20"/>
                <w:szCs w:val="20"/>
                <w:highlight w:val="none"/>
                <w:u w:val="none"/>
                <w:lang w:val="en-US" w:eastAsia="zh-CN" w:bidi="ar"/>
              </w:rPr>
              <w:t>-2.18%</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0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主营业务成本</w:t>
            </w:r>
          </w:p>
        </w:tc>
        <w:tc>
          <w:tcPr>
            <w:tcW w:w="222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cs="宋体"/>
                <w:color w:val="auto"/>
                <w:kern w:val="0"/>
                <w:highlight w:val="none"/>
              </w:rPr>
            </w:pPr>
            <w:r>
              <w:rPr>
                <w:rFonts w:hint="eastAsia" w:ascii="宋体" w:hAnsi="宋体" w:eastAsia="宋体" w:cs="宋体"/>
                <w:i w:val="0"/>
                <w:iCs w:val="0"/>
                <w:color w:val="auto"/>
                <w:kern w:val="0"/>
                <w:sz w:val="20"/>
                <w:szCs w:val="20"/>
                <w:highlight w:val="none"/>
                <w:u w:val="none"/>
                <w:lang w:val="en-US" w:eastAsia="zh-CN" w:bidi="ar"/>
              </w:rPr>
              <w:t>13,922,336,128.69</w:t>
            </w:r>
          </w:p>
        </w:tc>
        <w:tc>
          <w:tcPr>
            <w:tcW w:w="213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cs="宋体"/>
                <w:color w:val="auto"/>
                <w:kern w:val="0"/>
                <w:highlight w:val="none"/>
              </w:rPr>
            </w:pPr>
            <w:r>
              <w:rPr>
                <w:rFonts w:hint="eastAsia" w:ascii="宋体" w:hAnsi="宋体" w:eastAsia="宋体" w:cs="宋体"/>
                <w:i w:val="0"/>
                <w:iCs w:val="0"/>
                <w:color w:val="auto"/>
                <w:kern w:val="0"/>
                <w:sz w:val="20"/>
                <w:szCs w:val="20"/>
                <w:highlight w:val="none"/>
                <w:u w:val="none"/>
                <w:lang w:val="en-US" w:eastAsia="zh-CN" w:bidi="ar"/>
              </w:rPr>
              <w:t>13,598,972,464.36</w:t>
            </w:r>
          </w:p>
        </w:tc>
        <w:tc>
          <w:tcPr>
            <w:tcW w:w="213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cs="宋体"/>
                <w:color w:val="auto"/>
                <w:kern w:val="0"/>
                <w:highlight w:val="none"/>
              </w:rPr>
            </w:pPr>
            <w:r>
              <w:rPr>
                <w:rFonts w:hint="eastAsia" w:ascii="宋体" w:hAnsi="宋体" w:eastAsia="宋体" w:cs="宋体"/>
                <w:i w:val="0"/>
                <w:iCs w:val="0"/>
                <w:color w:val="auto"/>
                <w:kern w:val="0"/>
                <w:sz w:val="20"/>
                <w:szCs w:val="20"/>
                <w:highlight w:val="none"/>
                <w:u w:val="none"/>
                <w:lang w:val="en-US" w:eastAsia="zh-CN" w:bidi="ar"/>
              </w:rPr>
              <w:t>2.38%</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c>
          <w:tcPr>
            <w:tcW w:w="20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其他业务成本</w:t>
            </w:r>
          </w:p>
        </w:tc>
        <w:tc>
          <w:tcPr>
            <w:tcW w:w="222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cs="宋体"/>
                <w:color w:val="auto"/>
                <w:kern w:val="0"/>
                <w:highlight w:val="none"/>
              </w:rPr>
            </w:pPr>
            <w:r>
              <w:rPr>
                <w:rFonts w:hint="eastAsia" w:ascii="宋体" w:hAnsi="宋体" w:eastAsia="宋体" w:cs="宋体"/>
                <w:i w:val="0"/>
                <w:iCs w:val="0"/>
                <w:color w:val="auto"/>
                <w:kern w:val="0"/>
                <w:sz w:val="20"/>
                <w:szCs w:val="20"/>
                <w:highlight w:val="none"/>
                <w:u w:val="none"/>
                <w:lang w:val="en-US" w:eastAsia="zh-CN" w:bidi="ar"/>
              </w:rPr>
              <w:t>862,235,433.87</w:t>
            </w:r>
          </w:p>
        </w:tc>
        <w:tc>
          <w:tcPr>
            <w:tcW w:w="213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cs="宋体"/>
                <w:color w:val="auto"/>
                <w:kern w:val="0"/>
                <w:highlight w:val="none"/>
              </w:rPr>
            </w:pPr>
            <w:r>
              <w:rPr>
                <w:rFonts w:hint="eastAsia" w:ascii="宋体" w:hAnsi="宋体" w:eastAsia="宋体" w:cs="宋体"/>
                <w:i w:val="0"/>
                <w:iCs w:val="0"/>
                <w:color w:val="auto"/>
                <w:kern w:val="0"/>
                <w:sz w:val="20"/>
                <w:szCs w:val="20"/>
                <w:highlight w:val="none"/>
                <w:u w:val="none"/>
                <w:lang w:val="en-US" w:eastAsia="zh-CN" w:bidi="ar"/>
              </w:rPr>
              <w:t>915,242,049.31</w:t>
            </w:r>
          </w:p>
        </w:tc>
        <w:tc>
          <w:tcPr>
            <w:tcW w:w="21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cs="宋体"/>
                <w:color w:val="auto"/>
                <w:kern w:val="0"/>
                <w:highlight w:val="none"/>
              </w:rPr>
            </w:pPr>
            <w:r>
              <w:rPr>
                <w:rFonts w:hint="eastAsia" w:ascii="宋体" w:hAnsi="宋体" w:eastAsia="宋体" w:cs="宋体"/>
                <w:i w:val="0"/>
                <w:iCs w:val="0"/>
                <w:color w:val="auto"/>
                <w:kern w:val="0"/>
                <w:sz w:val="22"/>
                <w:szCs w:val="22"/>
                <w:highlight w:val="none"/>
                <w:u w:val="none"/>
                <w:lang w:val="en-US" w:eastAsia="zh-CN" w:bidi="ar"/>
              </w:rPr>
              <w:t>-5.79%</w:t>
            </w:r>
          </w:p>
        </w:tc>
      </w:tr>
    </w:tbl>
    <w:p>
      <w:pPr>
        <w:keepNext w:val="0"/>
        <w:keepLines w:val="0"/>
        <w:pageBreakBefore w:val="0"/>
        <w:kinsoku/>
        <w:overflowPunct/>
        <w:topLinePunct w:val="0"/>
        <w:bidi w:val="0"/>
        <w:spacing w:line="400" w:lineRule="exact"/>
        <w:jc w:val="left"/>
        <w:rPr>
          <w:rFonts w:hint="eastAsia" w:ascii="宋体" w:hAnsi="宋体" w:cs="宋体"/>
          <w:bCs/>
          <w:color w:val="auto"/>
          <w:sz w:val="24"/>
          <w:szCs w:val="24"/>
          <w:highlight w:val="none"/>
        </w:rPr>
      </w:pPr>
      <w:r>
        <w:rPr>
          <w:rFonts w:hint="eastAsia" w:ascii="宋体" w:hAnsi="宋体" w:cs="宋体"/>
          <w:bCs/>
          <w:color w:val="auto"/>
          <w:sz w:val="24"/>
          <w:szCs w:val="24"/>
          <w:highlight w:val="none"/>
        </w:rPr>
        <w:t xml:space="preserve">   项目重大变动原因：</w:t>
      </w:r>
    </w:p>
    <w:p>
      <w:pPr>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 1 \* GB3 \* MERGEFORMAT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color w:val="auto"/>
          <w:sz w:val="24"/>
          <w:szCs w:val="24"/>
          <w:highlight w:val="none"/>
        </w:rPr>
        <w:t>①</w:t>
      </w:r>
      <w:r>
        <w:rPr>
          <w:rFonts w:hint="eastAsia" w:ascii="宋体" w:hAnsi="宋体" w:eastAsia="宋体" w:cs="宋体"/>
          <w:bCs/>
          <w:color w:val="auto"/>
          <w:sz w:val="24"/>
          <w:szCs w:val="24"/>
          <w:highlight w:val="none"/>
        </w:rPr>
        <w:fldChar w:fldCharType="end"/>
      </w:r>
      <w:r>
        <w:rPr>
          <w:rFonts w:hint="eastAsia" w:ascii="宋体" w:hAnsi="宋体" w:cs="宋体"/>
          <w:bCs w:val="0"/>
          <w:color w:val="auto"/>
          <w:kern w:val="0"/>
          <w:sz w:val="24"/>
          <w:szCs w:val="24"/>
          <w:highlight w:val="none"/>
          <w:lang w:val="en-US" w:eastAsia="zh-CN" w:bidi="ar"/>
        </w:rPr>
        <w:t>主营</w:t>
      </w:r>
      <w:r>
        <w:rPr>
          <w:rFonts w:hint="eastAsia" w:ascii="宋体" w:hAnsi="宋体" w:eastAsia="宋体" w:cs="宋体"/>
          <w:bCs/>
          <w:color w:val="auto"/>
          <w:sz w:val="24"/>
          <w:szCs w:val="24"/>
          <w:highlight w:val="none"/>
        </w:rPr>
        <w:t>业务收入</w:t>
      </w:r>
    </w:p>
    <w:p>
      <w:pPr>
        <w:pStyle w:val="5"/>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宋体" w:hAnsi="宋体" w:cs="宋体"/>
          <w:color w:val="auto"/>
          <w:sz w:val="24"/>
          <w:szCs w:val="24"/>
          <w:highlight w:val="none"/>
        </w:rPr>
      </w:pPr>
      <w:r>
        <w:rPr>
          <w:rFonts w:hint="eastAsia" w:ascii="宋体" w:hAnsi="宋体" w:eastAsia="宋体" w:cs="宋体"/>
          <w:color w:val="auto"/>
          <w:kern w:val="0"/>
          <w:sz w:val="24"/>
          <w:szCs w:val="24"/>
          <w:highlight w:val="none"/>
          <w:lang w:eastAsia="zh-CN" w:bidi="ar"/>
        </w:rPr>
        <w:t>公司</w:t>
      </w:r>
      <w:r>
        <w:rPr>
          <w:rFonts w:hint="eastAsia" w:ascii="宋体" w:hAnsi="宋体" w:cs="宋体"/>
          <w:bCs/>
          <w:color w:val="auto"/>
          <w:sz w:val="24"/>
          <w:szCs w:val="24"/>
          <w:highlight w:val="none"/>
        </w:rPr>
        <w:t>202</w:t>
      </w:r>
      <w:r>
        <w:rPr>
          <w:rFonts w:hint="eastAsia" w:ascii="宋体" w:hAnsi="宋体" w:cs="宋体"/>
          <w:bCs/>
          <w:color w:val="auto"/>
          <w:sz w:val="24"/>
          <w:szCs w:val="24"/>
          <w:highlight w:val="none"/>
          <w:lang w:val="en-US" w:eastAsia="zh-CN"/>
        </w:rPr>
        <w:t>4</w:t>
      </w:r>
      <w:r>
        <w:rPr>
          <w:rFonts w:hint="eastAsia" w:ascii="宋体" w:hAnsi="宋体" w:cs="宋体"/>
          <w:bCs/>
          <w:color w:val="auto"/>
          <w:sz w:val="24"/>
          <w:szCs w:val="24"/>
          <w:highlight w:val="none"/>
        </w:rPr>
        <w:t>年</w:t>
      </w:r>
      <w:r>
        <w:rPr>
          <w:rFonts w:hint="eastAsia" w:ascii="宋体" w:hAnsi="宋体" w:cs="宋体"/>
          <w:bCs/>
          <w:color w:val="auto"/>
          <w:sz w:val="24"/>
          <w:szCs w:val="24"/>
          <w:highlight w:val="none"/>
          <w:lang w:val="en-US" w:eastAsia="zh-CN"/>
        </w:rPr>
        <w:t>主营</w:t>
      </w:r>
      <w:r>
        <w:rPr>
          <w:rFonts w:hint="eastAsia" w:ascii="宋体" w:hAnsi="宋体" w:cs="宋体"/>
          <w:bCs/>
          <w:color w:val="auto"/>
          <w:sz w:val="24"/>
          <w:szCs w:val="24"/>
          <w:highlight w:val="none"/>
        </w:rPr>
        <w:t>业务收入</w:t>
      </w:r>
      <w:r>
        <w:rPr>
          <w:rFonts w:hint="eastAsia" w:ascii="宋体" w:hAnsi="宋体" w:eastAsia="宋体" w:cs="宋体"/>
          <w:bCs/>
          <w:i w:val="0"/>
          <w:iCs w:val="0"/>
          <w:color w:val="auto"/>
          <w:kern w:val="2"/>
          <w:sz w:val="24"/>
          <w:szCs w:val="24"/>
          <w:highlight w:val="none"/>
          <w:u w:val="none"/>
          <w:lang w:val="en-US" w:eastAsia="zh-CN" w:bidi="ar"/>
        </w:rPr>
        <w:t>15,338,363,901.00</w:t>
      </w:r>
      <w:r>
        <w:rPr>
          <w:rFonts w:hint="eastAsia" w:ascii="宋体" w:hAnsi="宋体" w:cs="宋体"/>
          <w:color w:val="auto"/>
          <w:sz w:val="24"/>
          <w:szCs w:val="24"/>
          <w:highlight w:val="none"/>
        </w:rPr>
        <w:t>元，同比</w:t>
      </w:r>
      <w:r>
        <w:rPr>
          <w:rFonts w:hint="eastAsia" w:ascii="宋体" w:hAnsi="宋体" w:cs="宋体"/>
          <w:color w:val="auto"/>
          <w:sz w:val="24"/>
          <w:szCs w:val="24"/>
          <w:highlight w:val="none"/>
          <w:lang w:val="en-US" w:eastAsia="zh-CN"/>
        </w:rPr>
        <w:t>减少</w:t>
      </w:r>
      <w:r>
        <w:rPr>
          <w:rFonts w:hint="eastAsia" w:ascii="宋体" w:hAnsi="宋体" w:cs="宋体"/>
          <w:color w:val="auto"/>
          <w:sz w:val="24"/>
          <w:szCs w:val="24"/>
          <w:highlight w:val="none"/>
        </w:rPr>
        <w:t>878</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288</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732.18元，</w:t>
      </w:r>
      <w:r>
        <w:rPr>
          <w:rFonts w:hint="eastAsia" w:ascii="宋体" w:hAnsi="宋体" w:cs="宋体"/>
          <w:color w:val="auto"/>
          <w:sz w:val="24"/>
          <w:szCs w:val="24"/>
          <w:highlight w:val="none"/>
          <w:lang w:val="en-US" w:eastAsia="zh-CN"/>
        </w:rPr>
        <w:t>降</w:t>
      </w:r>
      <w:r>
        <w:rPr>
          <w:rFonts w:hint="eastAsia" w:ascii="宋体" w:hAnsi="宋体" w:cs="宋体"/>
          <w:color w:val="auto"/>
          <w:sz w:val="24"/>
          <w:szCs w:val="24"/>
          <w:highlight w:val="none"/>
          <w:lang w:eastAsia="zh-CN"/>
        </w:rPr>
        <w:t>幅</w:t>
      </w:r>
      <w:r>
        <w:rPr>
          <w:rFonts w:hint="eastAsia" w:ascii="宋体" w:hAnsi="宋体" w:cs="宋体"/>
          <w:color w:val="auto"/>
          <w:sz w:val="24"/>
          <w:szCs w:val="24"/>
          <w:highlight w:val="none"/>
          <w:lang w:val="en-US" w:eastAsia="zh-CN"/>
        </w:rPr>
        <w:t>5.42%</w:t>
      </w:r>
      <w:r>
        <w:rPr>
          <w:rFonts w:hint="eastAsia" w:ascii="宋体" w:hAnsi="宋体" w:cs="宋体"/>
          <w:color w:val="auto"/>
          <w:sz w:val="24"/>
          <w:szCs w:val="24"/>
          <w:highlight w:val="none"/>
        </w:rPr>
        <w:t>。变动的主要原因：</w:t>
      </w:r>
      <w:r>
        <w:rPr>
          <w:rFonts w:hint="eastAsia" w:ascii="宋体" w:hAnsi="宋体" w:cs="宋体"/>
          <w:color w:val="auto"/>
          <w:sz w:val="24"/>
          <w:szCs w:val="24"/>
          <w:highlight w:val="none"/>
          <w:lang w:val="en-US" w:eastAsia="zh-CN"/>
        </w:rPr>
        <w:t>火电板块负荷率同比下降</w:t>
      </w:r>
      <w:r>
        <w:rPr>
          <w:rFonts w:hint="eastAsia" w:ascii="宋体" w:hAnsi="宋体" w:cs="宋体"/>
          <w:color w:val="auto"/>
          <w:sz w:val="24"/>
          <w:szCs w:val="24"/>
          <w:highlight w:val="none"/>
        </w:rPr>
        <w:t>。</w:t>
      </w:r>
    </w:p>
    <w:p>
      <w:pPr>
        <w:keepNext w:val="0"/>
        <w:keepLines w:val="0"/>
        <w:pageBreakBefore w:val="0"/>
        <w:numPr>
          <w:ilvl w:val="0"/>
          <w:numId w:val="0"/>
        </w:numPr>
        <w:kinsoku/>
        <w:wordWrap/>
        <w:overflowPunct/>
        <w:topLinePunct w:val="0"/>
        <w:autoSpaceDE/>
        <w:autoSpaceDN/>
        <w:bidi w:val="0"/>
        <w:adjustRightInd/>
        <w:spacing w:line="400" w:lineRule="exact"/>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color w:val="auto"/>
          <w:kern w:val="0"/>
          <w:sz w:val="24"/>
          <w:szCs w:val="24"/>
          <w:highlight w:val="none"/>
          <w:lang w:bidi="ar"/>
        </w:rPr>
        <w:fldChar w:fldCharType="begin"/>
      </w:r>
      <w:r>
        <w:rPr>
          <w:rFonts w:hint="eastAsia" w:ascii="宋体" w:hAnsi="宋体" w:eastAsia="宋体" w:cs="宋体"/>
          <w:color w:val="auto"/>
          <w:kern w:val="0"/>
          <w:sz w:val="24"/>
          <w:szCs w:val="24"/>
          <w:highlight w:val="none"/>
          <w:lang w:bidi="ar"/>
        </w:rPr>
        <w:instrText xml:space="preserve"> = 2 \* GB3 \* MERGEFORMAT </w:instrText>
      </w:r>
      <w:r>
        <w:rPr>
          <w:rFonts w:hint="eastAsia" w:ascii="宋体" w:hAnsi="宋体" w:eastAsia="宋体" w:cs="宋体"/>
          <w:color w:val="auto"/>
          <w:kern w:val="0"/>
          <w:sz w:val="24"/>
          <w:szCs w:val="24"/>
          <w:highlight w:val="none"/>
          <w:lang w:bidi="ar"/>
        </w:rPr>
        <w:fldChar w:fldCharType="separate"/>
      </w:r>
      <w:r>
        <w:rPr>
          <w:rFonts w:hint="eastAsia" w:ascii="宋体" w:hAnsi="宋体" w:eastAsia="宋体" w:cs="宋体"/>
          <w:color w:val="auto"/>
          <w:kern w:val="0"/>
          <w:sz w:val="24"/>
          <w:szCs w:val="24"/>
          <w:highlight w:val="none"/>
          <w:lang w:bidi="ar"/>
        </w:rPr>
        <w:t>②</w:t>
      </w:r>
      <w:r>
        <w:rPr>
          <w:rFonts w:hint="eastAsia" w:ascii="宋体" w:hAnsi="宋体" w:eastAsia="宋体" w:cs="宋体"/>
          <w:color w:val="auto"/>
          <w:kern w:val="0"/>
          <w:sz w:val="24"/>
          <w:szCs w:val="24"/>
          <w:highlight w:val="none"/>
          <w:lang w:bidi="ar"/>
        </w:rPr>
        <w:fldChar w:fldCharType="end"/>
      </w:r>
      <w:r>
        <w:rPr>
          <w:rFonts w:hint="eastAsia" w:ascii="宋体" w:hAnsi="宋体" w:cs="宋体"/>
          <w:bCs w:val="0"/>
          <w:color w:val="auto"/>
          <w:kern w:val="0"/>
          <w:sz w:val="24"/>
          <w:szCs w:val="24"/>
          <w:highlight w:val="none"/>
          <w:lang w:val="en-US" w:eastAsia="zh-CN" w:bidi="ar"/>
        </w:rPr>
        <w:t>主营</w:t>
      </w:r>
      <w:r>
        <w:rPr>
          <w:rFonts w:hint="eastAsia" w:ascii="宋体" w:hAnsi="宋体" w:eastAsia="宋体" w:cs="宋体"/>
          <w:bCs/>
          <w:color w:val="auto"/>
          <w:sz w:val="24"/>
          <w:szCs w:val="24"/>
          <w:highlight w:val="none"/>
        </w:rPr>
        <w:t>业务成本</w:t>
      </w:r>
    </w:p>
    <w:p>
      <w:pPr>
        <w:pStyle w:val="5"/>
        <w:keepNext w:val="0"/>
        <w:keepLines w:val="0"/>
        <w:pageBreakBefore w:val="0"/>
        <w:kinsoku/>
        <w:overflowPunct/>
        <w:topLinePunct w:val="0"/>
        <w:bidi w:val="0"/>
        <w:spacing w:line="400" w:lineRule="exact"/>
        <w:ind w:firstLine="480" w:firstLineChars="200"/>
        <w:jc w:val="left"/>
        <w:rPr>
          <w:rFonts w:hint="eastAsia" w:ascii="宋体" w:hAnsi="宋体" w:cs="宋体"/>
          <w:bCs/>
          <w:color w:val="auto"/>
          <w:sz w:val="24"/>
          <w:highlight w:val="none"/>
        </w:rPr>
      </w:pPr>
      <w:r>
        <w:rPr>
          <w:rFonts w:hint="eastAsia" w:ascii="宋体" w:hAnsi="宋体" w:eastAsia="宋体" w:cs="宋体"/>
          <w:bCs/>
          <w:color w:val="auto"/>
          <w:kern w:val="2"/>
          <w:sz w:val="24"/>
          <w:szCs w:val="24"/>
          <w:highlight w:val="none"/>
          <w:lang w:eastAsia="zh-CN" w:bidi="ar"/>
        </w:rPr>
        <w:t>公司</w:t>
      </w:r>
      <w:r>
        <w:rPr>
          <w:rFonts w:hint="eastAsia" w:ascii="宋体" w:hAnsi="宋体" w:cs="宋体"/>
          <w:bCs/>
          <w:color w:val="auto"/>
          <w:sz w:val="24"/>
          <w:szCs w:val="24"/>
          <w:highlight w:val="none"/>
        </w:rPr>
        <w:t>202</w:t>
      </w:r>
      <w:r>
        <w:rPr>
          <w:rFonts w:hint="eastAsia" w:ascii="宋体" w:hAnsi="宋体" w:cs="宋体"/>
          <w:bCs/>
          <w:color w:val="auto"/>
          <w:sz w:val="24"/>
          <w:szCs w:val="24"/>
          <w:highlight w:val="none"/>
          <w:lang w:val="en-US" w:eastAsia="zh-CN"/>
        </w:rPr>
        <w:t>4</w:t>
      </w:r>
      <w:r>
        <w:rPr>
          <w:rFonts w:hint="eastAsia" w:ascii="宋体" w:hAnsi="宋体" w:cs="宋体"/>
          <w:bCs/>
          <w:color w:val="auto"/>
          <w:sz w:val="24"/>
          <w:szCs w:val="24"/>
          <w:highlight w:val="none"/>
        </w:rPr>
        <w:t>年</w:t>
      </w:r>
      <w:r>
        <w:rPr>
          <w:rFonts w:hint="eastAsia" w:ascii="宋体" w:hAnsi="宋体" w:cs="宋体"/>
          <w:bCs/>
          <w:color w:val="auto"/>
          <w:kern w:val="2"/>
          <w:sz w:val="24"/>
          <w:szCs w:val="24"/>
          <w:highlight w:val="none"/>
          <w:lang w:val="en-US" w:eastAsia="zh-CN" w:bidi="ar"/>
        </w:rPr>
        <w:t>主营</w:t>
      </w:r>
      <w:r>
        <w:rPr>
          <w:rFonts w:hint="eastAsia" w:ascii="宋体" w:hAnsi="宋体" w:eastAsia="宋体" w:cs="宋体"/>
          <w:bCs/>
          <w:color w:val="auto"/>
          <w:sz w:val="24"/>
          <w:szCs w:val="24"/>
          <w:highlight w:val="none"/>
        </w:rPr>
        <w:t>业务成本</w:t>
      </w:r>
      <w:r>
        <w:rPr>
          <w:rFonts w:hint="eastAsia" w:ascii="宋体" w:hAnsi="宋体" w:eastAsia="宋体" w:cs="宋体"/>
          <w:bCs/>
          <w:i w:val="0"/>
          <w:iCs w:val="0"/>
          <w:color w:val="auto"/>
          <w:kern w:val="2"/>
          <w:sz w:val="24"/>
          <w:szCs w:val="24"/>
          <w:highlight w:val="none"/>
          <w:u w:val="none"/>
          <w:lang w:val="en-US" w:eastAsia="zh-CN" w:bidi="ar"/>
        </w:rPr>
        <w:t>13,922,336,128.69</w:t>
      </w:r>
      <w:r>
        <w:rPr>
          <w:rFonts w:hint="eastAsia" w:ascii="宋体" w:hAnsi="宋体" w:cs="宋体"/>
          <w:bCs/>
          <w:color w:val="auto"/>
          <w:sz w:val="24"/>
          <w:szCs w:val="24"/>
          <w:highlight w:val="none"/>
        </w:rPr>
        <w:t>元。同比</w:t>
      </w:r>
      <w:r>
        <w:rPr>
          <w:rFonts w:hint="eastAsia" w:ascii="宋体" w:hAnsi="宋体" w:cs="宋体"/>
          <w:bCs/>
          <w:color w:val="auto"/>
          <w:sz w:val="24"/>
          <w:szCs w:val="24"/>
          <w:highlight w:val="none"/>
          <w:lang w:val="en-US" w:eastAsia="zh-CN"/>
        </w:rPr>
        <w:t>增加</w:t>
      </w:r>
      <w:r>
        <w:rPr>
          <w:rFonts w:hint="eastAsia" w:ascii="宋体" w:hAnsi="宋体" w:cs="宋体"/>
          <w:bCs/>
          <w:color w:val="auto"/>
          <w:sz w:val="24"/>
          <w:szCs w:val="24"/>
          <w:highlight w:val="none"/>
        </w:rPr>
        <w:t>323</w:t>
      </w:r>
      <w:r>
        <w:rPr>
          <w:rFonts w:hint="eastAsia" w:ascii="宋体" w:hAnsi="宋体" w:cs="宋体"/>
          <w:bCs/>
          <w:color w:val="auto"/>
          <w:sz w:val="24"/>
          <w:szCs w:val="24"/>
          <w:highlight w:val="none"/>
          <w:lang w:val="en-US" w:eastAsia="zh-CN"/>
        </w:rPr>
        <w:t>,</w:t>
      </w:r>
      <w:r>
        <w:rPr>
          <w:rFonts w:hint="eastAsia" w:ascii="宋体" w:hAnsi="宋体" w:cs="宋体"/>
          <w:bCs/>
          <w:color w:val="auto"/>
          <w:sz w:val="24"/>
          <w:szCs w:val="24"/>
          <w:highlight w:val="none"/>
        </w:rPr>
        <w:t>363</w:t>
      </w:r>
      <w:r>
        <w:rPr>
          <w:rFonts w:hint="eastAsia" w:ascii="宋体" w:hAnsi="宋体" w:cs="宋体"/>
          <w:bCs/>
          <w:color w:val="auto"/>
          <w:sz w:val="24"/>
          <w:szCs w:val="24"/>
          <w:highlight w:val="none"/>
          <w:lang w:val="en-US" w:eastAsia="zh-CN"/>
        </w:rPr>
        <w:t>,</w:t>
      </w:r>
      <w:r>
        <w:rPr>
          <w:rFonts w:hint="eastAsia" w:ascii="宋体" w:hAnsi="宋体" w:cs="宋体"/>
          <w:bCs/>
          <w:color w:val="auto"/>
          <w:sz w:val="24"/>
          <w:szCs w:val="24"/>
          <w:highlight w:val="none"/>
        </w:rPr>
        <w:t>664.33元，</w:t>
      </w:r>
      <w:r>
        <w:rPr>
          <w:rFonts w:hint="eastAsia" w:ascii="宋体" w:hAnsi="宋体" w:cs="宋体"/>
          <w:bCs/>
          <w:color w:val="auto"/>
          <w:sz w:val="24"/>
          <w:szCs w:val="24"/>
          <w:highlight w:val="none"/>
          <w:lang w:val="en-US" w:eastAsia="zh-CN"/>
        </w:rPr>
        <w:t>增</w:t>
      </w:r>
      <w:r>
        <w:rPr>
          <w:rFonts w:hint="eastAsia" w:ascii="宋体" w:hAnsi="宋体" w:cs="宋体"/>
          <w:bCs/>
          <w:color w:val="auto"/>
          <w:sz w:val="24"/>
          <w:szCs w:val="24"/>
          <w:highlight w:val="none"/>
          <w:lang w:eastAsia="zh-CN"/>
        </w:rPr>
        <w:t>幅</w:t>
      </w:r>
      <w:r>
        <w:rPr>
          <w:rFonts w:hint="eastAsia" w:ascii="宋体" w:hAnsi="宋体" w:cs="宋体"/>
          <w:bCs/>
          <w:color w:val="auto"/>
          <w:kern w:val="2"/>
          <w:sz w:val="24"/>
          <w:szCs w:val="24"/>
          <w:highlight w:val="none"/>
          <w:lang w:val="en-US" w:eastAsia="zh-CN" w:bidi="ar"/>
        </w:rPr>
        <w:t>2.38%</w:t>
      </w:r>
      <w:r>
        <w:rPr>
          <w:rFonts w:hint="eastAsia" w:ascii="宋体" w:hAnsi="宋体" w:cs="宋体"/>
          <w:bCs/>
          <w:color w:val="auto"/>
          <w:sz w:val="24"/>
          <w:szCs w:val="24"/>
          <w:highlight w:val="none"/>
        </w:rPr>
        <w:t>。</w:t>
      </w:r>
      <w:r>
        <w:rPr>
          <w:rFonts w:hint="eastAsia" w:ascii="宋体" w:hAnsi="宋体" w:cs="宋体"/>
          <w:bCs/>
          <w:color w:val="auto"/>
          <w:sz w:val="24"/>
          <w:szCs w:val="24"/>
          <w:highlight w:val="none"/>
          <w:shd w:val="clear"/>
        </w:rPr>
        <w:t>变动的主要原因：</w:t>
      </w:r>
      <w:r>
        <w:rPr>
          <w:rFonts w:hint="eastAsia" w:ascii="宋体" w:hAnsi="宋体" w:eastAsia="宋体" w:cs="宋体"/>
          <w:b w:val="0"/>
          <w:bCs/>
          <w:color w:val="auto"/>
          <w:kern w:val="2"/>
          <w:sz w:val="24"/>
          <w:szCs w:val="24"/>
          <w:highlight w:val="none"/>
          <w:u w:val="none"/>
          <w:lang w:val="en-US" w:eastAsia="zh-CN" w:bidi="ar"/>
        </w:rPr>
        <w:t>贵州能源对能发燃料公司定向增发，在控股权转让过程中，合作双方对涉及会计估计差异及前期煤炭销售热值差异进行调整，</w:t>
      </w:r>
      <w:r>
        <w:rPr>
          <w:rFonts w:hint="eastAsia" w:ascii="宋体" w:hAnsi="宋体" w:eastAsia="宋体" w:cs="宋体"/>
          <w:bCs/>
          <w:color w:val="auto"/>
          <w:kern w:val="2"/>
          <w:sz w:val="24"/>
          <w:szCs w:val="24"/>
          <w:highlight w:val="none"/>
          <w:u w:val="none"/>
          <w:lang w:val="en-US" w:eastAsia="zh-CN" w:bidi="ar"/>
        </w:rPr>
        <w:t>营业成本同比增加。</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3</w:t>
      </w:r>
      <w:r>
        <w:rPr>
          <w:rFonts w:hint="eastAsia" w:ascii="宋体" w:hAnsi="宋体" w:eastAsia="宋体" w:cs="宋体"/>
          <w:b w:val="0"/>
          <w:bCs/>
          <w:color w:val="auto"/>
          <w:sz w:val="24"/>
          <w:szCs w:val="24"/>
          <w:highlight w:val="none"/>
          <w:lang w:val="en-US" w:eastAsia="zh-CN"/>
        </w:rPr>
        <w:t>.</w:t>
      </w:r>
      <w:r>
        <w:rPr>
          <w:rFonts w:hint="eastAsia" w:ascii="宋体" w:hAnsi="宋体" w:eastAsia="宋体" w:cs="宋体"/>
          <w:b w:val="0"/>
          <w:bCs/>
          <w:color w:val="auto"/>
          <w:sz w:val="24"/>
          <w:szCs w:val="24"/>
          <w:highlight w:val="none"/>
        </w:rPr>
        <w:t>现金流量状况</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color w:val="auto"/>
          <w:highlight w:val="none"/>
        </w:rPr>
      </w:pPr>
      <w:r>
        <w:rPr>
          <w:rFonts w:hint="eastAsia"/>
          <w:color w:val="auto"/>
          <w:highlight w:val="none"/>
        </w:rPr>
        <w:t>单位</w:t>
      </w:r>
      <w:r>
        <w:rPr>
          <w:color w:val="auto"/>
          <w:highlight w:val="none"/>
        </w:rPr>
        <w:t>：</w:t>
      </w:r>
      <w:r>
        <w:rPr>
          <w:rFonts w:hint="eastAsia"/>
          <w:color w:val="auto"/>
          <w:highlight w:val="none"/>
        </w:rPr>
        <w:t>元</w:t>
      </w:r>
    </w:p>
    <w:tbl>
      <w:tblPr>
        <w:tblStyle w:val="22"/>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021"/>
        <w:gridCol w:w="2183"/>
        <w:gridCol w:w="2033"/>
        <w:gridCol w:w="129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3021" w:type="dxa"/>
            <w:tcBorders>
              <w:top w:val="single" w:color="auto" w:sz="4" w:space="0"/>
              <w:left w:val="single" w:color="auto" w:sz="4" w:space="0"/>
            </w:tcBorders>
            <w:noWrap w:val="0"/>
            <w:vAlign w:val="center"/>
          </w:tcPr>
          <w:p>
            <w:pPr>
              <w:keepNext w:val="0"/>
              <w:keepLines w:val="0"/>
              <w:pageBreakBefore w:val="0"/>
              <w:tabs>
                <w:tab w:val="left" w:pos="5140"/>
              </w:tabs>
              <w:kinsoku/>
              <w:overflowPunct/>
              <w:topLinePunct w:val="0"/>
              <w:bidi w:val="0"/>
              <w:spacing w:line="400" w:lineRule="exact"/>
              <w:jc w:val="left"/>
              <w:rPr>
                <w:rFonts w:hint="eastAsia" w:ascii="宋体" w:hAnsi="宋体" w:cs="宋体"/>
                <w:b w:val="0"/>
                <w:bCs w:val="0"/>
                <w:color w:val="auto"/>
                <w:kern w:val="0"/>
                <w:highlight w:val="none"/>
              </w:rPr>
            </w:pPr>
            <w:r>
              <w:rPr>
                <w:rFonts w:hint="eastAsia" w:ascii="宋体" w:hAnsi="宋体" w:cs="宋体"/>
                <w:b w:val="0"/>
                <w:bCs w:val="0"/>
                <w:color w:val="auto"/>
                <w:kern w:val="0"/>
                <w:highlight w:val="none"/>
              </w:rPr>
              <w:t>项目</w:t>
            </w:r>
          </w:p>
        </w:tc>
        <w:tc>
          <w:tcPr>
            <w:tcW w:w="2183" w:type="dxa"/>
            <w:tcBorders>
              <w:top w:val="single" w:color="auto" w:sz="4" w:space="0"/>
            </w:tcBorders>
            <w:noWrap w:val="0"/>
            <w:vAlign w:val="center"/>
          </w:tcPr>
          <w:p>
            <w:pPr>
              <w:keepNext w:val="0"/>
              <w:keepLines w:val="0"/>
              <w:pageBreakBefore w:val="0"/>
              <w:tabs>
                <w:tab w:val="left" w:pos="5140"/>
              </w:tabs>
              <w:kinsoku/>
              <w:overflowPunct/>
              <w:topLinePunct w:val="0"/>
              <w:bidi w:val="0"/>
              <w:spacing w:line="400" w:lineRule="exact"/>
              <w:jc w:val="left"/>
              <w:rPr>
                <w:rFonts w:hint="eastAsia" w:ascii="宋体" w:hAnsi="宋体" w:cs="宋体"/>
                <w:b w:val="0"/>
                <w:bCs w:val="0"/>
                <w:color w:val="auto"/>
                <w:kern w:val="0"/>
                <w:highlight w:val="none"/>
              </w:rPr>
            </w:pPr>
            <w:r>
              <w:rPr>
                <w:rFonts w:hint="eastAsia" w:ascii="宋体" w:hAnsi="宋体" w:cs="宋体"/>
                <w:b w:val="0"/>
                <w:bCs w:val="0"/>
                <w:color w:val="auto"/>
                <w:kern w:val="0"/>
                <w:highlight w:val="none"/>
              </w:rPr>
              <w:t>本期金额</w:t>
            </w:r>
          </w:p>
        </w:tc>
        <w:tc>
          <w:tcPr>
            <w:tcW w:w="2033" w:type="dxa"/>
            <w:tcBorders>
              <w:top w:val="single" w:color="auto" w:sz="4" w:space="0"/>
            </w:tcBorders>
            <w:noWrap w:val="0"/>
            <w:vAlign w:val="center"/>
          </w:tcPr>
          <w:p>
            <w:pPr>
              <w:keepNext w:val="0"/>
              <w:keepLines w:val="0"/>
              <w:pageBreakBefore w:val="0"/>
              <w:tabs>
                <w:tab w:val="left" w:pos="5140"/>
              </w:tabs>
              <w:kinsoku/>
              <w:overflowPunct/>
              <w:topLinePunct w:val="0"/>
              <w:bidi w:val="0"/>
              <w:spacing w:line="400" w:lineRule="exact"/>
              <w:jc w:val="left"/>
              <w:rPr>
                <w:rFonts w:hint="eastAsia" w:ascii="宋体" w:hAnsi="宋体" w:cs="宋体"/>
                <w:b w:val="0"/>
                <w:bCs w:val="0"/>
                <w:color w:val="auto"/>
                <w:kern w:val="0"/>
                <w:highlight w:val="none"/>
              </w:rPr>
            </w:pPr>
            <w:r>
              <w:rPr>
                <w:rFonts w:hint="eastAsia" w:ascii="宋体" w:hAnsi="宋体" w:cs="宋体"/>
                <w:b w:val="0"/>
                <w:bCs w:val="0"/>
                <w:color w:val="auto"/>
                <w:kern w:val="0"/>
                <w:highlight w:val="none"/>
              </w:rPr>
              <w:t>上期金额</w:t>
            </w:r>
          </w:p>
        </w:tc>
        <w:tc>
          <w:tcPr>
            <w:tcW w:w="1290" w:type="dxa"/>
            <w:tcBorders>
              <w:top w:val="single" w:color="auto" w:sz="4" w:space="0"/>
              <w:right w:val="single" w:color="auto" w:sz="4" w:space="0"/>
            </w:tcBorders>
            <w:noWrap w:val="0"/>
            <w:vAlign w:val="top"/>
          </w:tcPr>
          <w:p>
            <w:pPr>
              <w:keepNext w:val="0"/>
              <w:keepLines w:val="0"/>
              <w:pageBreakBefore w:val="0"/>
              <w:tabs>
                <w:tab w:val="left" w:pos="5140"/>
              </w:tabs>
              <w:kinsoku/>
              <w:overflowPunct/>
              <w:topLinePunct w:val="0"/>
              <w:bidi w:val="0"/>
              <w:spacing w:line="400" w:lineRule="exact"/>
              <w:jc w:val="left"/>
              <w:rPr>
                <w:rFonts w:hint="eastAsia" w:ascii="宋体" w:hAnsi="宋体" w:cs="宋体"/>
                <w:b w:val="0"/>
                <w:bCs w:val="0"/>
                <w:color w:val="auto"/>
                <w:kern w:val="0"/>
                <w:highlight w:val="none"/>
              </w:rPr>
            </w:pPr>
            <w:r>
              <w:rPr>
                <w:rFonts w:hint="eastAsia" w:ascii="宋体" w:hAnsi="宋体" w:cs="宋体"/>
                <w:b w:val="0"/>
                <w:bCs w:val="0"/>
                <w:color w:val="auto"/>
                <w:kern w:val="0"/>
                <w:highlight w:val="none"/>
              </w:rPr>
              <w:t>增减</w:t>
            </w:r>
            <w:r>
              <w:rPr>
                <w:rFonts w:hint="eastAsia" w:ascii="宋体" w:hAnsi="宋体" w:cs="宋体"/>
                <w:b w:val="0"/>
                <w:bCs w:val="0"/>
                <w:color w:val="auto"/>
                <w:kern w:val="0"/>
                <w:highlight w:val="none"/>
                <w:lang w:eastAsia="zh-CN"/>
              </w:rPr>
              <w:t>变动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3021" w:type="dxa"/>
            <w:tcBorders>
              <w:left w:val="single" w:color="auto" w:sz="4" w:space="0"/>
            </w:tcBorders>
            <w:noWrap w:val="0"/>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经营活动产生的现金流量净额</w:t>
            </w:r>
          </w:p>
        </w:tc>
        <w:tc>
          <w:tcPr>
            <w:tcW w:w="2183" w:type="dxa"/>
            <w:noWrap w:val="0"/>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cs="宋体"/>
                <w:color w:val="auto"/>
                <w:kern w:val="0"/>
                <w:highlight w:val="none"/>
              </w:rPr>
            </w:pPr>
            <w:r>
              <w:rPr>
                <w:rFonts w:hint="eastAsia" w:ascii="宋体" w:hAnsi="宋体" w:eastAsia="宋体" w:cs="宋体"/>
                <w:i w:val="0"/>
                <w:iCs w:val="0"/>
                <w:color w:val="auto"/>
                <w:kern w:val="0"/>
                <w:sz w:val="20"/>
                <w:szCs w:val="20"/>
                <w:highlight w:val="none"/>
                <w:u w:val="none"/>
                <w:lang w:val="en-US" w:eastAsia="zh-CN" w:bidi="ar"/>
              </w:rPr>
              <w:t>5,190,784,702.52</w:t>
            </w:r>
          </w:p>
        </w:tc>
        <w:tc>
          <w:tcPr>
            <w:tcW w:w="2033" w:type="dxa"/>
            <w:noWrap w:val="0"/>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cs="宋体"/>
                <w:color w:val="auto"/>
                <w:kern w:val="0"/>
                <w:highlight w:val="none"/>
              </w:rPr>
            </w:pPr>
            <w:r>
              <w:rPr>
                <w:rFonts w:hint="eastAsia" w:ascii="宋体" w:hAnsi="宋体" w:eastAsia="宋体" w:cs="宋体"/>
                <w:i w:val="0"/>
                <w:iCs w:val="0"/>
                <w:color w:val="auto"/>
                <w:kern w:val="0"/>
                <w:sz w:val="20"/>
                <w:szCs w:val="20"/>
                <w:highlight w:val="none"/>
                <w:u w:val="none"/>
                <w:lang w:val="en-US" w:eastAsia="zh-CN" w:bidi="ar"/>
              </w:rPr>
              <w:t>3,523,385,554.48</w:t>
            </w:r>
          </w:p>
        </w:tc>
        <w:tc>
          <w:tcPr>
            <w:tcW w:w="1290" w:type="dxa"/>
            <w:tcBorders>
              <w:right w:val="single" w:color="auto" w:sz="4" w:space="0"/>
            </w:tcBorders>
            <w:noWrap w:val="0"/>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cs="宋体"/>
                <w:color w:val="auto"/>
                <w:kern w:val="0"/>
                <w:highlight w:val="none"/>
              </w:rPr>
            </w:pPr>
            <w:r>
              <w:rPr>
                <w:rFonts w:hint="eastAsia" w:ascii="宋体" w:hAnsi="宋体" w:eastAsia="宋体" w:cs="宋体"/>
                <w:i w:val="0"/>
                <w:iCs w:val="0"/>
                <w:color w:val="auto"/>
                <w:kern w:val="0"/>
                <w:sz w:val="20"/>
                <w:szCs w:val="20"/>
                <w:highlight w:val="none"/>
                <w:u w:val="none"/>
                <w:lang w:val="en-US" w:eastAsia="zh-CN" w:bidi="ar"/>
              </w:rPr>
              <w:t>47.32%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3021" w:type="dxa"/>
            <w:tcBorders>
              <w:left w:val="single" w:color="auto" w:sz="4" w:space="0"/>
            </w:tcBorders>
            <w:noWrap w:val="0"/>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投资活动产生的现金流量净额</w:t>
            </w:r>
          </w:p>
        </w:tc>
        <w:tc>
          <w:tcPr>
            <w:tcW w:w="2183" w:type="dxa"/>
            <w:noWrap w:val="0"/>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cs="宋体"/>
                <w:color w:val="auto"/>
                <w:kern w:val="0"/>
                <w:highlight w:val="none"/>
              </w:rPr>
            </w:pPr>
            <w:r>
              <w:rPr>
                <w:rFonts w:hint="eastAsia" w:ascii="宋体" w:hAnsi="宋体" w:eastAsia="宋体" w:cs="宋体"/>
                <w:i w:val="0"/>
                <w:iCs w:val="0"/>
                <w:color w:val="auto"/>
                <w:kern w:val="0"/>
                <w:sz w:val="20"/>
                <w:szCs w:val="20"/>
                <w:highlight w:val="none"/>
                <w:u w:val="none"/>
                <w:lang w:val="en-US" w:eastAsia="zh-CN" w:bidi="ar"/>
              </w:rPr>
              <w:t>-5,587,553,763.03</w:t>
            </w:r>
          </w:p>
        </w:tc>
        <w:tc>
          <w:tcPr>
            <w:tcW w:w="2033" w:type="dxa"/>
            <w:noWrap w:val="0"/>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cs="宋体"/>
                <w:color w:val="auto"/>
                <w:kern w:val="0"/>
                <w:highlight w:val="none"/>
              </w:rPr>
            </w:pPr>
            <w:r>
              <w:rPr>
                <w:rFonts w:hint="eastAsia" w:ascii="宋体" w:hAnsi="宋体" w:eastAsia="宋体" w:cs="宋体"/>
                <w:i w:val="0"/>
                <w:iCs w:val="0"/>
                <w:color w:val="auto"/>
                <w:kern w:val="0"/>
                <w:sz w:val="20"/>
                <w:szCs w:val="20"/>
                <w:highlight w:val="none"/>
                <w:u w:val="none"/>
                <w:lang w:val="en-US" w:eastAsia="zh-CN" w:bidi="ar"/>
              </w:rPr>
              <w:t>-7,018,623,832.53</w:t>
            </w:r>
          </w:p>
        </w:tc>
        <w:tc>
          <w:tcPr>
            <w:tcW w:w="1290" w:type="dxa"/>
            <w:tcBorders>
              <w:right w:val="single" w:color="auto" w:sz="4" w:space="0"/>
            </w:tcBorders>
            <w:noWrap w:val="0"/>
            <w:vAlign w:val="top"/>
          </w:tcPr>
          <w:p>
            <w:pPr>
              <w:keepNext w:val="0"/>
              <w:keepLines w:val="0"/>
              <w:pageBreakBefore w:val="0"/>
              <w:widowControl/>
              <w:suppressLineNumbers w:val="0"/>
              <w:kinsoku/>
              <w:overflowPunct/>
              <w:topLinePunct w:val="0"/>
              <w:bidi w:val="0"/>
              <w:spacing w:line="400" w:lineRule="exact"/>
              <w:jc w:val="left"/>
              <w:textAlignment w:val="top"/>
              <w:rPr>
                <w:rFonts w:hint="eastAsia" w:ascii="宋体" w:hAnsi="宋体" w:cs="宋体"/>
                <w:color w:val="auto"/>
                <w:kern w:val="0"/>
                <w:highlight w:val="none"/>
              </w:rPr>
            </w:pPr>
            <w:r>
              <w:rPr>
                <w:rFonts w:hint="eastAsia" w:ascii="宋体" w:hAnsi="宋体" w:eastAsia="宋体" w:cs="宋体"/>
                <w:i w:val="0"/>
                <w:iCs w:val="0"/>
                <w:color w:val="auto"/>
                <w:kern w:val="0"/>
                <w:sz w:val="20"/>
                <w:szCs w:val="20"/>
                <w:highlight w:val="none"/>
                <w:u w:val="none"/>
                <w:lang w:val="en-US" w:eastAsia="zh-CN" w:bidi="ar"/>
              </w:rPr>
              <w:t>-20.39%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3021" w:type="dxa"/>
            <w:tcBorders>
              <w:left w:val="single" w:color="auto" w:sz="4" w:space="0"/>
              <w:bottom w:val="single" w:color="auto" w:sz="4" w:space="0"/>
            </w:tcBorders>
            <w:noWrap w:val="0"/>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筹资活动产生的现金流量净额</w:t>
            </w:r>
          </w:p>
        </w:tc>
        <w:tc>
          <w:tcPr>
            <w:tcW w:w="2183" w:type="dxa"/>
            <w:tcBorders>
              <w:bottom w:val="single" w:color="auto" w:sz="4" w:space="0"/>
            </w:tcBorders>
            <w:noWrap w:val="0"/>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cs="宋体"/>
                <w:color w:val="auto"/>
                <w:kern w:val="0"/>
                <w:highlight w:val="none"/>
              </w:rPr>
            </w:pPr>
            <w:r>
              <w:rPr>
                <w:rFonts w:hint="eastAsia" w:ascii="宋体" w:hAnsi="宋体" w:cs="宋体"/>
                <w:color w:val="auto"/>
                <w:kern w:val="0"/>
                <w:sz w:val="20"/>
                <w:szCs w:val="20"/>
                <w:highlight w:val="none"/>
                <w:u w:val="none"/>
                <w:lang w:bidi="ar"/>
              </w:rPr>
              <w:t>913,678,994.29</w:t>
            </w:r>
          </w:p>
        </w:tc>
        <w:tc>
          <w:tcPr>
            <w:tcW w:w="2033" w:type="dxa"/>
            <w:tcBorders>
              <w:bottom w:val="single" w:color="auto" w:sz="4" w:space="0"/>
            </w:tcBorders>
            <w:noWrap w:val="0"/>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cs="宋体"/>
                <w:color w:val="auto"/>
                <w:kern w:val="0"/>
                <w:highlight w:val="none"/>
              </w:rPr>
            </w:pPr>
            <w:r>
              <w:rPr>
                <w:rFonts w:hint="eastAsia" w:ascii="宋体" w:hAnsi="宋体" w:cs="宋体"/>
                <w:color w:val="auto"/>
                <w:kern w:val="0"/>
                <w:sz w:val="20"/>
                <w:szCs w:val="20"/>
                <w:highlight w:val="none"/>
                <w:u w:val="none"/>
                <w:lang w:bidi="ar"/>
              </w:rPr>
              <w:t>1,044,180,158.89</w:t>
            </w:r>
          </w:p>
        </w:tc>
        <w:tc>
          <w:tcPr>
            <w:tcW w:w="1290" w:type="dxa"/>
            <w:tcBorders>
              <w:bottom w:val="single" w:color="auto" w:sz="4" w:space="0"/>
              <w:right w:val="single" w:color="auto" w:sz="4" w:space="0"/>
            </w:tcBorders>
            <w:noWrap w:val="0"/>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cs="宋体"/>
                <w:color w:val="auto"/>
                <w:kern w:val="0"/>
                <w:highlight w:val="none"/>
              </w:rPr>
            </w:pPr>
            <w:r>
              <w:rPr>
                <w:rFonts w:hint="eastAsia" w:ascii="宋体" w:hAnsi="宋体" w:eastAsia="宋体" w:cs="宋体"/>
                <w:i w:val="0"/>
                <w:iCs w:val="0"/>
                <w:color w:val="auto"/>
                <w:kern w:val="0"/>
                <w:sz w:val="20"/>
                <w:szCs w:val="20"/>
                <w:highlight w:val="none"/>
                <w:u w:val="none"/>
                <w:lang w:val="en-US" w:eastAsia="zh-CN" w:bidi="ar"/>
              </w:rPr>
              <w:t>-12.50%</w:t>
            </w:r>
          </w:p>
        </w:tc>
      </w:tr>
    </w:tbl>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bCs/>
          <w:color w:val="auto"/>
          <w:sz w:val="24"/>
          <w:szCs w:val="24"/>
          <w:highlight w:val="none"/>
        </w:rPr>
      </w:pPr>
    </w:p>
    <w:p>
      <w:pPr>
        <w:pStyle w:val="6"/>
        <w:keepNext w:val="0"/>
        <w:keepLines w:val="0"/>
        <w:pageBreakBefore w:val="0"/>
        <w:kinsoku/>
        <w:overflowPunct/>
        <w:topLinePunct w:val="0"/>
        <w:bidi w:val="0"/>
        <w:spacing w:line="400" w:lineRule="exact"/>
        <w:ind w:left="0"/>
        <w:jc w:val="center"/>
        <w:outlineLvl w:val="0"/>
        <w:rPr>
          <w:rFonts w:hint="eastAsia" w:ascii="黑体" w:hAnsi="黑体" w:eastAsia="黑体" w:cs="黑体"/>
          <w:b/>
          <w:bCs/>
          <w:color w:val="auto"/>
          <w:kern w:val="2"/>
          <w:sz w:val="28"/>
          <w:szCs w:val="28"/>
          <w:highlight w:val="none"/>
          <w:lang w:val="en-US" w:eastAsia="zh-CN" w:bidi="ar-SA"/>
        </w:rPr>
      </w:pPr>
      <w:r>
        <w:rPr>
          <w:rFonts w:hint="eastAsia" w:ascii="黑体" w:hAnsi="黑体" w:eastAsia="黑体" w:cs="黑体"/>
          <w:b/>
          <w:bCs/>
          <w:color w:val="auto"/>
          <w:kern w:val="2"/>
          <w:sz w:val="28"/>
          <w:szCs w:val="28"/>
          <w:highlight w:val="none"/>
          <w:lang w:val="en-US" w:eastAsia="zh-CN" w:bidi="ar-SA"/>
        </w:rPr>
        <w:fldChar w:fldCharType="begin"/>
      </w:r>
      <w:r>
        <w:rPr>
          <w:rFonts w:hint="eastAsia" w:ascii="黑体" w:hAnsi="黑体" w:eastAsia="黑体" w:cs="黑体"/>
          <w:b/>
          <w:bCs/>
          <w:color w:val="auto"/>
          <w:kern w:val="2"/>
          <w:sz w:val="28"/>
          <w:szCs w:val="28"/>
          <w:highlight w:val="none"/>
          <w:lang w:val="en-US" w:eastAsia="zh-CN" w:bidi="ar-SA"/>
        </w:rPr>
        <w:instrText xml:space="preserve"> HYPERLINK \l "_Toc129711704" </w:instrText>
      </w:r>
      <w:r>
        <w:rPr>
          <w:rFonts w:hint="eastAsia" w:ascii="黑体" w:hAnsi="黑体" w:eastAsia="黑体" w:cs="黑体"/>
          <w:b/>
          <w:bCs/>
          <w:color w:val="auto"/>
          <w:kern w:val="2"/>
          <w:sz w:val="28"/>
          <w:szCs w:val="28"/>
          <w:highlight w:val="none"/>
          <w:lang w:val="en-US" w:eastAsia="zh-CN" w:bidi="ar-SA"/>
        </w:rPr>
        <w:fldChar w:fldCharType="separate"/>
      </w:r>
      <w:r>
        <w:rPr>
          <w:rFonts w:hint="eastAsia" w:ascii="黑体" w:hAnsi="黑体" w:eastAsia="黑体" w:cs="黑体"/>
          <w:b/>
          <w:bCs/>
          <w:color w:val="auto"/>
          <w:kern w:val="2"/>
          <w:sz w:val="28"/>
          <w:szCs w:val="28"/>
          <w:highlight w:val="none"/>
          <w:lang w:val="en-US" w:eastAsia="zh-CN" w:bidi="ar-SA"/>
        </w:rPr>
        <w:t>第四节 董事、监事、高级管理人员情况</w:t>
      </w:r>
      <w:r>
        <w:rPr>
          <w:rFonts w:hint="eastAsia" w:ascii="黑体" w:hAnsi="黑体" w:eastAsia="黑体" w:cs="黑体"/>
          <w:b/>
          <w:bCs/>
          <w:color w:val="auto"/>
          <w:kern w:val="2"/>
          <w:sz w:val="28"/>
          <w:szCs w:val="28"/>
          <w:highlight w:val="none"/>
          <w:lang w:val="en-US" w:eastAsia="zh-CN" w:bidi="ar-SA"/>
        </w:rPr>
        <w:fldChar w:fldCharType="end"/>
      </w:r>
      <w:bookmarkEnd w:id="75"/>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center"/>
        <w:textAlignment w:val="auto"/>
        <w:rPr>
          <w:rFonts w:hint="eastAsia" w:eastAsia="宋体"/>
          <w:b/>
          <w:color w:val="auto"/>
          <w:sz w:val="24"/>
          <w:szCs w:val="24"/>
          <w:highlight w:val="none"/>
          <w:lang w:eastAsia="zh-CN"/>
        </w:rPr>
      </w:pPr>
      <w:r>
        <w:rPr>
          <w:rFonts w:hint="eastAsia"/>
          <w:b w:val="0"/>
          <w:bCs/>
          <w:color w:val="auto"/>
          <w:sz w:val="24"/>
          <w:szCs w:val="24"/>
          <w:highlight w:val="none"/>
        </w:rPr>
        <w:t>略</w:t>
      </w:r>
      <w:r>
        <w:rPr>
          <w:rFonts w:hint="eastAsia"/>
          <w:b w:val="0"/>
          <w:bCs/>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color w:val="auto"/>
          <w:sz w:val="24"/>
          <w:highlight w:val="none"/>
        </w:rPr>
      </w:pPr>
    </w:p>
    <w:p>
      <w:pPr>
        <w:pStyle w:val="6"/>
        <w:keepNext w:val="0"/>
        <w:keepLines w:val="0"/>
        <w:pageBreakBefore w:val="0"/>
        <w:kinsoku/>
        <w:overflowPunct/>
        <w:topLinePunct w:val="0"/>
        <w:bidi w:val="0"/>
        <w:spacing w:line="400" w:lineRule="exact"/>
        <w:ind w:left="0"/>
        <w:jc w:val="center"/>
        <w:outlineLvl w:val="0"/>
        <w:rPr>
          <w:rFonts w:hint="eastAsia" w:ascii="黑体" w:hAnsi="黑体" w:eastAsia="黑体" w:cs="黑体"/>
          <w:b/>
          <w:bCs/>
          <w:color w:val="auto"/>
          <w:kern w:val="2"/>
          <w:sz w:val="28"/>
          <w:szCs w:val="28"/>
          <w:highlight w:val="none"/>
          <w:lang w:val="en-US" w:eastAsia="zh-CN" w:bidi="ar-SA"/>
        </w:rPr>
      </w:pPr>
      <w:bookmarkStart w:id="76" w:name="_Toc28744"/>
      <w:r>
        <w:rPr>
          <w:rFonts w:hint="eastAsia" w:ascii="黑体" w:hAnsi="黑体" w:eastAsia="黑体" w:cs="黑体"/>
          <w:b/>
          <w:bCs/>
          <w:color w:val="auto"/>
          <w:kern w:val="2"/>
          <w:sz w:val="28"/>
          <w:szCs w:val="28"/>
          <w:highlight w:val="none"/>
          <w:lang w:val="en-US" w:eastAsia="zh-CN" w:bidi="ar-SA"/>
        </w:rPr>
        <w:fldChar w:fldCharType="begin"/>
      </w:r>
      <w:r>
        <w:rPr>
          <w:rFonts w:hint="eastAsia" w:ascii="黑体" w:hAnsi="黑体" w:eastAsia="黑体" w:cs="黑体"/>
          <w:b/>
          <w:bCs/>
          <w:color w:val="auto"/>
          <w:kern w:val="2"/>
          <w:sz w:val="28"/>
          <w:szCs w:val="28"/>
          <w:highlight w:val="none"/>
          <w:lang w:val="en-US" w:eastAsia="zh-CN" w:bidi="ar-SA"/>
        </w:rPr>
        <w:instrText xml:space="preserve"> HYPERLINK \l "_Toc129711705" </w:instrText>
      </w:r>
      <w:r>
        <w:rPr>
          <w:rFonts w:hint="eastAsia" w:ascii="黑体" w:hAnsi="黑体" w:eastAsia="黑体" w:cs="黑体"/>
          <w:b/>
          <w:bCs/>
          <w:color w:val="auto"/>
          <w:kern w:val="2"/>
          <w:sz w:val="28"/>
          <w:szCs w:val="28"/>
          <w:highlight w:val="none"/>
          <w:lang w:val="en-US" w:eastAsia="zh-CN" w:bidi="ar-SA"/>
        </w:rPr>
        <w:fldChar w:fldCharType="separate"/>
      </w:r>
      <w:r>
        <w:rPr>
          <w:rFonts w:hint="eastAsia" w:ascii="黑体" w:hAnsi="黑体" w:eastAsia="黑体" w:cs="黑体"/>
          <w:b/>
          <w:bCs/>
          <w:color w:val="auto"/>
          <w:kern w:val="2"/>
          <w:sz w:val="28"/>
          <w:szCs w:val="28"/>
          <w:highlight w:val="none"/>
          <w:lang w:val="en-US" w:eastAsia="zh-CN" w:bidi="ar-SA"/>
        </w:rPr>
        <w:t>第五节 公司治理、内部控制和投资者保护</w:t>
      </w:r>
      <w:r>
        <w:rPr>
          <w:rFonts w:hint="eastAsia" w:ascii="黑体" w:hAnsi="黑体" w:eastAsia="黑体" w:cs="黑体"/>
          <w:b/>
          <w:bCs/>
          <w:color w:val="auto"/>
          <w:kern w:val="2"/>
          <w:sz w:val="28"/>
          <w:szCs w:val="28"/>
          <w:highlight w:val="none"/>
          <w:lang w:val="en-US" w:eastAsia="zh-CN" w:bidi="ar-SA"/>
        </w:rPr>
        <w:fldChar w:fldCharType="end"/>
      </w:r>
      <w:bookmarkEnd w:id="76"/>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center"/>
        <w:textAlignment w:val="auto"/>
        <w:rPr>
          <w:rFonts w:hint="eastAsia"/>
          <w:b w:val="0"/>
          <w:bCs/>
          <w:color w:val="auto"/>
          <w:sz w:val="24"/>
          <w:szCs w:val="24"/>
          <w:highlight w:val="none"/>
          <w:lang w:eastAsia="zh-CN"/>
        </w:rPr>
      </w:pPr>
      <w:r>
        <w:rPr>
          <w:rFonts w:hint="eastAsia"/>
          <w:b w:val="0"/>
          <w:bCs/>
          <w:color w:val="auto"/>
          <w:sz w:val="24"/>
          <w:szCs w:val="24"/>
          <w:highlight w:val="none"/>
        </w:rPr>
        <w:t>略</w:t>
      </w:r>
      <w:r>
        <w:rPr>
          <w:rFonts w:hint="eastAsia"/>
          <w:b w:val="0"/>
          <w:bCs/>
          <w:color w:val="auto"/>
          <w:sz w:val="24"/>
          <w:szCs w:val="24"/>
          <w:highlight w:val="none"/>
          <w:lang w:eastAsia="zh-CN"/>
        </w:rPr>
        <w:t>。</w:t>
      </w:r>
    </w:p>
    <w:p>
      <w:pPr>
        <w:pStyle w:val="2"/>
        <w:rPr>
          <w:rFonts w:hint="eastAsia"/>
          <w:lang w:eastAsia="zh-CN"/>
        </w:rPr>
      </w:pPr>
    </w:p>
    <w:p>
      <w:pPr>
        <w:pStyle w:val="6"/>
        <w:keepNext w:val="0"/>
        <w:keepLines w:val="0"/>
        <w:pageBreakBefore w:val="0"/>
        <w:kinsoku/>
        <w:overflowPunct/>
        <w:topLinePunct w:val="0"/>
        <w:bidi w:val="0"/>
        <w:spacing w:line="400" w:lineRule="exact"/>
        <w:ind w:left="0"/>
        <w:jc w:val="center"/>
        <w:outlineLvl w:val="0"/>
        <w:rPr>
          <w:rFonts w:hint="eastAsia" w:ascii="黑体" w:hAnsi="黑体" w:eastAsia="黑体" w:cs="黑体"/>
          <w:b/>
          <w:bCs/>
          <w:color w:val="auto"/>
          <w:kern w:val="2"/>
          <w:sz w:val="28"/>
          <w:szCs w:val="28"/>
          <w:highlight w:val="none"/>
          <w:lang w:val="en-US" w:eastAsia="zh-CN" w:bidi="ar-SA"/>
        </w:rPr>
      </w:pPr>
      <w:bookmarkStart w:id="77" w:name="_Toc30720"/>
      <w:bookmarkStart w:id="78" w:name="_Toc17267"/>
      <w:r>
        <w:rPr>
          <w:rFonts w:hint="eastAsia" w:ascii="黑体" w:hAnsi="黑体" w:eastAsia="黑体" w:cs="黑体"/>
          <w:b/>
          <w:bCs/>
          <w:color w:val="auto"/>
          <w:kern w:val="2"/>
          <w:sz w:val="28"/>
          <w:szCs w:val="28"/>
          <w:highlight w:val="none"/>
          <w:lang w:val="en-US" w:eastAsia="zh-CN" w:bidi="ar-SA"/>
        </w:rPr>
        <w:t>第六节 重要事项</w:t>
      </w:r>
    </w:p>
    <w:p>
      <w:pPr>
        <w:pStyle w:val="15"/>
        <w:keepNext w:val="0"/>
        <w:keepLines w:val="0"/>
        <w:pageBreakBefore w:val="0"/>
        <w:kinsoku/>
        <w:overflowPunct/>
        <w:topLinePunct w:val="0"/>
        <w:bidi w:val="0"/>
        <w:spacing w:line="400" w:lineRule="exact"/>
        <w:ind w:firstLine="482" w:firstLineChars="200"/>
        <w:jc w:val="left"/>
        <w:rPr>
          <w:rFonts w:hint="default"/>
          <w:color w:val="auto"/>
          <w:highlight w:val="none"/>
          <w:lang w:val="en-US" w:eastAsia="zh-CN"/>
        </w:rPr>
      </w:pPr>
      <w:r>
        <w:rPr>
          <w:rFonts w:hint="eastAsia" w:ascii="宋体" w:hAnsi="宋体" w:cs="宋体"/>
          <w:b/>
          <w:color w:val="auto"/>
          <w:kern w:val="2"/>
          <w:sz w:val="24"/>
          <w:szCs w:val="24"/>
          <w:highlight w:val="none"/>
          <w:lang w:val="en-US" w:eastAsia="zh-CN" w:bidi="ar-SA"/>
        </w:rPr>
        <w:t>（一）股东及股份基本情况</w:t>
      </w:r>
    </w:p>
    <w:p>
      <w:pPr>
        <w:pStyle w:val="6"/>
        <w:keepNext w:val="0"/>
        <w:keepLines w:val="0"/>
        <w:pageBreakBefore w:val="0"/>
        <w:kinsoku/>
        <w:overflowPunct/>
        <w:topLinePunct w:val="0"/>
        <w:bidi w:val="0"/>
        <w:spacing w:line="400" w:lineRule="exact"/>
        <w:ind w:left="0"/>
        <w:jc w:val="left"/>
        <w:rPr>
          <w:rFonts w:hint="eastAsia"/>
          <w:color w:val="auto"/>
          <w:highlight w:val="none"/>
          <w:lang w:eastAsia="zh-CN"/>
        </w:rPr>
      </w:pPr>
      <w:r>
        <w:rPr>
          <w:rFonts w:hint="eastAsia" w:cs="宋体"/>
          <w:color w:val="auto"/>
          <w:sz w:val="21"/>
          <w:szCs w:val="21"/>
          <w:highlight w:val="none"/>
          <w:lang w:eastAsia="zh-CN"/>
        </w:rPr>
        <w:t>单位：万元</w:t>
      </w:r>
    </w:p>
    <w:tbl>
      <w:tblPr>
        <w:tblStyle w:val="22"/>
        <w:tblW w:w="8498" w:type="dxa"/>
        <w:tblInd w:w="-11"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751"/>
        <w:gridCol w:w="2705"/>
        <w:gridCol w:w="2049"/>
        <w:gridCol w:w="1417"/>
        <w:gridCol w:w="157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94" w:hRule="exact"/>
        </w:trPr>
        <w:tc>
          <w:tcPr>
            <w:tcW w:w="751" w:type="dxa"/>
            <w:noWrap w:val="0"/>
            <w:vAlign w:val="center"/>
          </w:tcPr>
          <w:p>
            <w:pPr>
              <w:pStyle w:val="40"/>
              <w:keepNext w:val="0"/>
              <w:keepLines w:val="0"/>
              <w:pageBreakBefore w:val="0"/>
              <w:kinsoku/>
              <w:overflowPunct/>
              <w:topLinePunct w:val="0"/>
              <w:bidi w:val="0"/>
              <w:spacing w:line="400" w:lineRule="exact"/>
              <w:ind w:left="103" w:right="103"/>
              <w:jc w:val="left"/>
              <w:rPr>
                <w:rFonts w:hint="eastAsia"/>
                <w:b/>
                <w:bCs/>
                <w:color w:val="auto"/>
                <w:sz w:val="21"/>
                <w:szCs w:val="21"/>
                <w:highlight w:val="none"/>
              </w:rPr>
            </w:pPr>
            <w:r>
              <w:rPr>
                <w:rFonts w:hint="eastAsia"/>
                <w:b/>
                <w:bCs/>
                <w:color w:val="auto"/>
                <w:sz w:val="21"/>
                <w:szCs w:val="21"/>
                <w:highlight w:val="none"/>
              </w:rPr>
              <w:t>序号</w:t>
            </w:r>
          </w:p>
        </w:tc>
        <w:tc>
          <w:tcPr>
            <w:tcW w:w="2705" w:type="dxa"/>
            <w:noWrap w:val="0"/>
            <w:vAlign w:val="center"/>
          </w:tcPr>
          <w:p>
            <w:pPr>
              <w:pStyle w:val="29"/>
              <w:keepNext w:val="0"/>
              <w:keepLines w:val="0"/>
              <w:pageBreakBefore w:val="0"/>
              <w:kinsoku/>
              <w:overflowPunct/>
              <w:topLinePunct w:val="0"/>
              <w:bidi w:val="0"/>
              <w:spacing w:line="400" w:lineRule="exact"/>
              <w:jc w:val="left"/>
              <w:rPr>
                <w:rFonts w:hint="eastAsia" w:ascii="宋体" w:hAnsi="宋体" w:eastAsia="宋体" w:cs="宋体"/>
                <w:b/>
                <w:bCs/>
                <w:color w:val="auto"/>
                <w:sz w:val="21"/>
                <w:szCs w:val="21"/>
                <w:highlight w:val="none"/>
                <w:lang w:eastAsia="en-US"/>
              </w:rPr>
            </w:pPr>
            <w:r>
              <w:rPr>
                <w:rFonts w:hint="eastAsia" w:ascii="宋体" w:hAnsi="宋体" w:eastAsia="宋体" w:cs="宋体"/>
                <w:b/>
                <w:bCs/>
                <w:color w:val="auto"/>
                <w:sz w:val="21"/>
                <w:szCs w:val="21"/>
                <w:highlight w:val="none"/>
                <w:lang w:eastAsia="en-US"/>
              </w:rPr>
              <w:t>股东名称</w:t>
            </w:r>
          </w:p>
        </w:tc>
        <w:tc>
          <w:tcPr>
            <w:tcW w:w="2049" w:type="dxa"/>
            <w:noWrap w:val="0"/>
            <w:vAlign w:val="center"/>
          </w:tcPr>
          <w:p>
            <w:pPr>
              <w:pStyle w:val="29"/>
              <w:keepNext w:val="0"/>
              <w:keepLines w:val="0"/>
              <w:pageBreakBefore w:val="0"/>
              <w:kinsoku/>
              <w:overflowPunct/>
              <w:topLinePunct w:val="0"/>
              <w:bidi w:val="0"/>
              <w:spacing w:line="400" w:lineRule="exact"/>
              <w:jc w:val="left"/>
              <w:rPr>
                <w:rFonts w:hint="eastAsia" w:ascii="宋体" w:hAnsi="宋体" w:eastAsia="宋体" w:cs="宋体"/>
                <w:b/>
                <w:bCs/>
                <w:color w:val="auto"/>
                <w:kern w:val="2"/>
                <w:sz w:val="21"/>
                <w:szCs w:val="21"/>
                <w:highlight w:val="none"/>
                <w:lang w:eastAsia="en-US"/>
              </w:rPr>
            </w:pPr>
            <w:r>
              <w:rPr>
                <w:rFonts w:hint="eastAsia" w:ascii="宋体" w:hAnsi="宋体" w:eastAsia="宋体" w:cs="宋体"/>
                <w:b/>
                <w:bCs/>
                <w:color w:val="auto"/>
                <w:sz w:val="21"/>
                <w:szCs w:val="21"/>
                <w:highlight w:val="none"/>
                <w:lang w:eastAsia="en-US"/>
              </w:rPr>
              <w:t>出资额</w:t>
            </w:r>
          </w:p>
        </w:tc>
        <w:tc>
          <w:tcPr>
            <w:tcW w:w="1417" w:type="dxa"/>
            <w:noWrap w:val="0"/>
            <w:vAlign w:val="center"/>
          </w:tcPr>
          <w:p>
            <w:pPr>
              <w:pStyle w:val="29"/>
              <w:keepNext w:val="0"/>
              <w:keepLines w:val="0"/>
              <w:pageBreakBefore w:val="0"/>
              <w:kinsoku/>
              <w:overflowPunct/>
              <w:topLinePunct w:val="0"/>
              <w:bidi w:val="0"/>
              <w:spacing w:line="400" w:lineRule="exact"/>
              <w:jc w:val="left"/>
              <w:rPr>
                <w:rFonts w:hint="eastAsia" w:ascii="宋体" w:hAnsi="宋体" w:eastAsia="宋体" w:cs="宋体"/>
                <w:b/>
                <w:bCs/>
                <w:color w:val="auto"/>
                <w:kern w:val="2"/>
                <w:sz w:val="21"/>
                <w:szCs w:val="21"/>
                <w:highlight w:val="none"/>
                <w:lang w:eastAsia="en-US"/>
              </w:rPr>
            </w:pPr>
            <w:r>
              <w:rPr>
                <w:rFonts w:hint="eastAsia" w:ascii="宋体" w:hAnsi="宋体" w:eastAsia="宋体" w:cs="宋体"/>
                <w:b/>
                <w:bCs/>
                <w:color w:val="auto"/>
                <w:sz w:val="21"/>
                <w:szCs w:val="21"/>
                <w:highlight w:val="none"/>
                <w:lang w:eastAsia="en-US"/>
              </w:rPr>
              <w:t>持股比例（%）</w:t>
            </w:r>
          </w:p>
        </w:tc>
        <w:tc>
          <w:tcPr>
            <w:tcW w:w="1576" w:type="dxa"/>
            <w:noWrap w:val="0"/>
            <w:vAlign w:val="center"/>
          </w:tcPr>
          <w:p>
            <w:pPr>
              <w:pStyle w:val="29"/>
              <w:keepNext w:val="0"/>
              <w:keepLines w:val="0"/>
              <w:pageBreakBefore w:val="0"/>
              <w:kinsoku/>
              <w:overflowPunct/>
              <w:topLinePunct w:val="0"/>
              <w:bidi w:val="0"/>
              <w:spacing w:line="400" w:lineRule="exact"/>
              <w:jc w:val="left"/>
              <w:rPr>
                <w:rFonts w:hint="eastAsia" w:ascii="宋体" w:hAnsi="宋体" w:cs="宋体"/>
                <w:b/>
                <w:bCs/>
                <w:color w:val="auto"/>
                <w:kern w:val="2"/>
                <w:sz w:val="21"/>
                <w:szCs w:val="21"/>
                <w:highlight w:val="none"/>
              </w:rPr>
            </w:pPr>
            <w:r>
              <w:rPr>
                <w:rFonts w:hint="eastAsia" w:ascii="宋体" w:hAnsi="宋体" w:eastAsia="宋体" w:cs="宋体"/>
                <w:b/>
                <w:bCs/>
                <w:color w:val="auto"/>
                <w:sz w:val="21"/>
                <w:szCs w:val="21"/>
                <w:highlight w:val="none"/>
              </w:rPr>
              <w:t>变动情况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12" w:hRule="exact"/>
        </w:trPr>
        <w:tc>
          <w:tcPr>
            <w:tcW w:w="751" w:type="dxa"/>
            <w:noWrap w:val="0"/>
            <w:vAlign w:val="top"/>
          </w:tcPr>
          <w:p>
            <w:pPr>
              <w:pStyle w:val="40"/>
              <w:keepNext w:val="0"/>
              <w:keepLines w:val="0"/>
              <w:pageBreakBefore w:val="0"/>
              <w:kinsoku/>
              <w:overflowPunct/>
              <w:topLinePunct w:val="0"/>
              <w:bidi w:val="0"/>
              <w:spacing w:line="400" w:lineRule="exact"/>
              <w:ind w:right="1"/>
              <w:jc w:val="left"/>
              <w:rPr>
                <w:rFonts w:hint="eastAsia"/>
                <w:color w:val="auto"/>
                <w:sz w:val="21"/>
                <w:szCs w:val="21"/>
                <w:highlight w:val="none"/>
              </w:rPr>
            </w:pPr>
            <w:r>
              <w:rPr>
                <w:rFonts w:hint="eastAsia"/>
                <w:color w:val="auto"/>
                <w:w w:val="99"/>
                <w:sz w:val="21"/>
                <w:szCs w:val="21"/>
                <w:highlight w:val="none"/>
              </w:rPr>
              <w:t>1</w:t>
            </w:r>
          </w:p>
        </w:tc>
        <w:tc>
          <w:tcPr>
            <w:tcW w:w="2705" w:type="dxa"/>
            <w:noWrap w:val="0"/>
            <w:vAlign w:val="center"/>
          </w:tcPr>
          <w:p>
            <w:pPr>
              <w:pStyle w:val="29"/>
              <w:keepNext w:val="0"/>
              <w:keepLines w:val="0"/>
              <w:pageBreakBefore w:val="0"/>
              <w:kinsoku/>
              <w:overflowPunct/>
              <w:topLinePunct w:val="0"/>
              <w:bidi w:val="0"/>
              <w:spacing w:line="4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国家电力投资集团有限公司</w:t>
            </w:r>
          </w:p>
        </w:tc>
        <w:tc>
          <w:tcPr>
            <w:tcW w:w="2049" w:type="dxa"/>
            <w:noWrap w:val="0"/>
            <w:vAlign w:val="center"/>
          </w:tcPr>
          <w:p>
            <w:pPr>
              <w:pStyle w:val="2"/>
              <w:keepNext w:val="0"/>
              <w:keepLines w:val="0"/>
              <w:pageBreakBefore w:val="0"/>
              <w:widowControl w:val="0"/>
              <w:kinsoku/>
              <w:overflowPunct/>
              <w:topLinePunct w:val="0"/>
              <w:autoSpaceDE w:val="0"/>
              <w:autoSpaceDN w:val="0"/>
              <w:bidi w:val="0"/>
              <w:spacing w:line="400" w:lineRule="exact"/>
              <w:ind w:firstLine="0" w:firstLineChars="0"/>
              <w:jc w:val="left"/>
              <w:rPr>
                <w:rFonts w:hint="eastAsia" w:ascii="宋体" w:hAnsi="宋体" w:cs="宋体"/>
                <w:color w:val="auto"/>
                <w:sz w:val="21"/>
                <w:szCs w:val="21"/>
                <w:highlight w:val="none"/>
                <w:lang w:eastAsia="en-US"/>
              </w:rPr>
            </w:pPr>
            <w:r>
              <w:rPr>
                <w:rFonts w:hint="eastAsia" w:ascii="宋体" w:hAnsi="宋体" w:cs="宋体"/>
                <w:color w:val="auto"/>
                <w:sz w:val="21"/>
                <w:szCs w:val="21"/>
                <w:highlight w:val="none"/>
                <w:lang w:eastAsia="en-US"/>
              </w:rPr>
              <w:t>319,312.00</w:t>
            </w:r>
          </w:p>
        </w:tc>
        <w:tc>
          <w:tcPr>
            <w:tcW w:w="1417" w:type="dxa"/>
            <w:noWrap w:val="0"/>
            <w:vAlign w:val="center"/>
          </w:tcPr>
          <w:p>
            <w:pPr>
              <w:pStyle w:val="2"/>
              <w:keepNext w:val="0"/>
              <w:keepLines w:val="0"/>
              <w:pageBreakBefore w:val="0"/>
              <w:widowControl w:val="0"/>
              <w:kinsoku/>
              <w:overflowPunct/>
              <w:topLinePunct w:val="0"/>
              <w:autoSpaceDE w:val="0"/>
              <w:autoSpaceDN w:val="0"/>
              <w:bidi w:val="0"/>
              <w:spacing w:line="400" w:lineRule="exact"/>
              <w:ind w:firstLine="420"/>
              <w:jc w:val="left"/>
              <w:rPr>
                <w:rFonts w:hint="eastAsia" w:ascii="宋体" w:hAnsi="宋体" w:cs="宋体"/>
                <w:color w:val="auto"/>
                <w:sz w:val="21"/>
                <w:szCs w:val="21"/>
                <w:highlight w:val="none"/>
                <w:lang w:eastAsia="en-US"/>
              </w:rPr>
            </w:pPr>
            <w:r>
              <w:rPr>
                <w:rFonts w:hint="eastAsia" w:ascii="宋体" w:hAnsi="宋体" w:cs="宋体"/>
                <w:color w:val="auto"/>
                <w:sz w:val="21"/>
                <w:szCs w:val="21"/>
                <w:highlight w:val="none"/>
                <w:lang w:eastAsia="en-US"/>
              </w:rPr>
              <w:t>68.05</w:t>
            </w:r>
          </w:p>
        </w:tc>
        <w:tc>
          <w:tcPr>
            <w:tcW w:w="1576" w:type="dxa"/>
            <w:noWrap w:val="0"/>
            <w:vAlign w:val="center"/>
          </w:tcPr>
          <w:p>
            <w:pPr>
              <w:pStyle w:val="29"/>
              <w:keepNext w:val="0"/>
              <w:keepLines w:val="0"/>
              <w:pageBreakBefore w:val="0"/>
              <w:kinsoku/>
              <w:overflowPunct/>
              <w:topLinePunct w:val="0"/>
              <w:bidi w:val="0"/>
              <w:spacing w:line="4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91" w:hRule="exact"/>
        </w:trPr>
        <w:tc>
          <w:tcPr>
            <w:tcW w:w="751" w:type="dxa"/>
            <w:noWrap w:val="0"/>
            <w:vAlign w:val="top"/>
          </w:tcPr>
          <w:p>
            <w:pPr>
              <w:pStyle w:val="40"/>
              <w:keepNext w:val="0"/>
              <w:keepLines w:val="0"/>
              <w:pageBreakBefore w:val="0"/>
              <w:kinsoku/>
              <w:overflowPunct/>
              <w:topLinePunct w:val="0"/>
              <w:bidi w:val="0"/>
              <w:spacing w:line="400" w:lineRule="exact"/>
              <w:ind w:right="1"/>
              <w:jc w:val="left"/>
              <w:rPr>
                <w:rFonts w:hint="eastAsia"/>
                <w:color w:val="auto"/>
                <w:sz w:val="21"/>
                <w:szCs w:val="21"/>
                <w:highlight w:val="none"/>
              </w:rPr>
            </w:pPr>
            <w:r>
              <w:rPr>
                <w:rFonts w:hint="eastAsia"/>
                <w:color w:val="auto"/>
                <w:w w:val="99"/>
                <w:sz w:val="21"/>
                <w:szCs w:val="21"/>
                <w:highlight w:val="none"/>
              </w:rPr>
              <w:t>2</w:t>
            </w:r>
          </w:p>
        </w:tc>
        <w:tc>
          <w:tcPr>
            <w:tcW w:w="2705" w:type="dxa"/>
            <w:noWrap w:val="0"/>
            <w:vAlign w:val="center"/>
          </w:tcPr>
          <w:p>
            <w:pPr>
              <w:pStyle w:val="29"/>
              <w:keepNext w:val="0"/>
              <w:keepLines w:val="0"/>
              <w:pageBreakBefore w:val="0"/>
              <w:kinsoku/>
              <w:overflowPunct/>
              <w:topLinePunct w:val="0"/>
              <w:bidi w:val="0"/>
              <w:spacing w:line="4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贵州</w:t>
            </w:r>
            <w:r>
              <w:rPr>
                <w:rFonts w:hint="eastAsia" w:ascii="宋体" w:hAnsi="宋体" w:eastAsia="宋体" w:cs="宋体"/>
                <w:color w:val="auto"/>
                <w:sz w:val="21"/>
                <w:szCs w:val="21"/>
                <w:highlight w:val="none"/>
                <w:lang w:val="en-US" w:eastAsia="zh-CN"/>
              </w:rPr>
              <w:t>能源</w:t>
            </w:r>
            <w:r>
              <w:rPr>
                <w:rFonts w:hint="eastAsia" w:ascii="宋体" w:hAnsi="宋体" w:eastAsia="宋体" w:cs="宋体"/>
                <w:color w:val="auto"/>
                <w:sz w:val="21"/>
                <w:szCs w:val="21"/>
                <w:highlight w:val="none"/>
              </w:rPr>
              <w:t>集团有限公司</w:t>
            </w:r>
          </w:p>
        </w:tc>
        <w:tc>
          <w:tcPr>
            <w:tcW w:w="2049" w:type="dxa"/>
            <w:noWrap w:val="0"/>
            <w:vAlign w:val="center"/>
          </w:tcPr>
          <w:p>
            <w:pPr>
              <w:pStyle w:val="2"/>
              <w:keepNext w:val="0"/>
              <w:keepLines w:val="0"/>
              <w:pageBreakBefore w:val="0"/>
              <w:widowControl w:val="0"/>
              <w:kinsoku/>
              <w:overflowPunct/>
              <w:topLinePunct w:val="0"/>
              <w:autoSpaceDE w:val="0"/>
              <w:autoSpaceDN w:val="0"/>
              <w:bidi w:val="0"/>
              <w:spacing w:line="400" w:lineRule="exact"/>
              <w:ind w:firstLine="0" w:firstLineChars="0"/>
              <w:jc w:val="left"/>
              <w:rPr>
                <w:rFonts w:hint="eastAsia" w:ascii="宋体" w:hAnsi="宋体" w:cs="宋体"/>
                <w:color w:val="auto"/>
                <w:sz w:val="21"/>
                <w:szCs w:val="21"/>
                <w:highlight w:val="none"/>
                <w:lang w:eastAsia="en-US"/>
              </w:rPr>
            </w:pPr>
            <w:r>
              <w:rPr>
                <w:rFonts w:hint="eastAsia" w:ascii="宋体" w:hAnsi="宋体" w:cs="宋体"/>
                <w:color w:val="auto"/>
                <w:sz w:val="21"/>
                <w:szCs w:val="21"/>
                <w:highlight w:val="none"/>
                <w:lang w:eastAsia="en-US"/>
              </w:rPr>
              <w:t>118,310.74</w:t>
            </w:r>
          </w:p>
        </w:tc>
        <w:tc>
          <w:tcPr>
            <w:tcW w:w="1417" w:type="dxa"/>
            <w:noWrap w:val="0"/>
            <w:vAlign w:val="center"/>
          </w:tcPr>
          <w:p>
            <w:pPr>
              <w:pStyle w:val="2"/>
              <w:keepNext w:val="0"/>
              <w:keepLines w:val="0"/>
              <w:pageBreakBefore w:val="0"/>
              <w:widowControl w:val="0"/>
              <w:kinsoku/>
              <w:overflowPunct/>
              <w:topLinePunct w:val="0"/>
              <w:autoSpaceDE w:val="0"/>
              <w:autoSpaceDN w:val="0"/>
              <w:bidi w:val="0"/>
              <w:spacing w:line="400" w:lineRule="exact"/>
              <w:ind w:firstLine="420"/>
              <w:jc w:val="left"/>
              <w:rPr>
                <w:rFonts w:hint="eastAsia" w:ascii="宋体" w:hAnsi="宋体" w:cs="宋体"/>
                <w:color w:val="auto"/>
                <w:sz w:val="21"/>
                <w:szCs w:val="21"/>
                <w:highlight w:val="none"/>
                <w:lang w:eastAsia="en-US"/>
              </w:rPr>
            </w:pPr>
            <w:r>
              <w:rPr>
                <w:rFonts w:hint="eastAsia" w:ascii="宋体" w:hAnsi="宋体" w:cs="宋体"/>
                <w:color w:val="auto"/>
                <w:sz w:val="21"/>
                <w:szCs w:val="21"/>
                <w:highlight w:val="none"/>
                <w:lang w:eastAsia="en-US"/>
              </w:rPr>
              <w:t>25.21</w:t>
            </w:r>
          </w:p>
        </w:tc>
        <w:tc>
          <w:tcPr>
            <w:tcW w:w="1576" w:type="dxa"/>
            <w:noWrap w:val="0"/>
            <w:vAlign w:val="center"/>
          </w:tcPr>
          <w:p>
            <w:pPr>
              <w:pStyle w:val="29"/>
              <w:keepNext w:val="0"/>
              <w:keepLines w:val="0"/>
              <w:pageBreakBefore w:val="0"/>
              <w:kinsoku/>
              <w:overflowPunct/>
              <w:topLinePunct w:val="0"/>
              <w:bidi w:val="0"/>
              <w:spacing w:line="400" w:lineRule="exact"/>
              <w:jc w:val="left"/>
              <w:rPr>
                <w:rFonts w:hint="eastAsia" w:ascii="宋体" w:hAnsi="宋体" w:eastAsia="宋体" w:cs="宋体"/>
                <w:color w:val="auto"/>
                <w:sz w:val="21"/>
                <w:szCs w:val="21"/>
                <w:highlight w:val="none"/>
                <w:lang w:eastAsia="en-US"/>
              </w:rPr>
            </w:pPr>
            <w:r>
              <w:rPr>
                <w:rFonts w:hint="eastAsia" w:ascii="宋体" w:hAnsi="宋体" w:eastAsia="宋体" w:cs="宋体"/>
                <w:color w:val="auto"/>
                <w:sz w:val="21"/>
                <w:szCs w:val="21"/>
                <w:highlight w:val="none"/>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5" w:hRule="exact"/>
        </w:trPr>
        <w:tc>
          <w:tcPr>
            <w:tcW w:w="751" w:type="dxa"/>
            <w:noWrap w:val="0"/>
            <w:vAlign w:val="top"/>
          </w:tcPr>
          <w:p>
            <w:pPr>
              <w:pStyle w:val="40"/>
              <w:keepNext w:val="0"/>
              <w:keepLines w:val="0"/>
              <w:pageBreakBefore w:val="0"/>
              <w:kinsoku/>
              <w:overflowPunct/>
              <w:topLinePunct w:val="0"/>
              <w:bidi w:val="0"/>
              <w:spacing w:line="400" w:lineRule="exact"/>
              <w:ind w:right="1"/>
              <w:jc w:val="left"/>
              <w:rPr>
                <w:rFonts w:hint="eastAsia"/>
                <w:color w:val="auto"/>
                <w:sz w:val="21"/>
                <w:szCs w:val="21"/>
                <w:highlight w:val="none"/>
              </w:rPr>
            </w:pPr>
            <w:r>
              <w:rPr>
                <w:rFonts w:hint="eastAsia"/>
                <w:color w:val="auto"/>
                <w:w w:val="99"/>
                <w:sz w:val="21"/>
                <w:szCs w:val="21"/>
                <w:highlight w:val="none"/>
              </w:rPr>
              <w:t>3</w:t>
            </w:r>
          </w:p>
        </w:tc>
        <w:tc>
          <w:tcPr>
            <w:tcW w:w="2705" w:type="dxa"/>
            <w:noWrap w:val="0"/>
            <w:vAlign w:val="center"/>
          </w:tcPr>
          <w:p>
            <w:pPr>
              <w:pStyle w:val="29"/>
              <w:keepNext w:val="0"/>
              <w:keepLines w:val="0"/>
              <w:pageBreakBefore w:val="0"/>
              <w:kinsoku/>
              <w:overflowPunct/>
              <w:topLinePunct w:val="0"/>
              <w:bidi w:val="0"/>
              <w:spacing w:line="400" w:lineRule="exact"/>
              <w:jc w:val="left"/>
              <w:rPr>
                <w:rFonts w:hint="eastAsia" w:ascii="宋体" w:hAnsi="宋体" w:eastAsia="宋体" w:cs="宋体"/>
                <w:color w:val="auto"/>
                <w:sz w:val="21"/>
                <w:szCs w:val="21"/>
                <w:highlight w:val="none"/>
                <w:lang w:eastAsia="en-US"/>
              </w:rPr>
            </w:pPr>
            <w:r>
              <w:rPr>
                <w:rFonts w:hint="eastAsia" w:ascii="宋体" w:hAnsi="宋体" w:eastAsia="宋体" w:cs="宋体"/>
                <w:color w:val="auto"/>
                <w:sz w:val="21"/>
                <w:szCs w:val="21"/>
                <w:highlight w:val="none"/>
              </w:rPr>
              <w:t>自然人股东</w:t>
            </w:r>
          </w:p>
        </w:tc>
        <w:tc>
          <w:tcPr>
            <w:tcW w:w="2049" w:type="dxa"/>
            <w:noWrap w:val="0"/>
            <w:vAlign w:val="center"/>
          </w:tcPr>
          <w:p>
            <w:pPr>
              <w:pStyle w:val="2"/>
              <w:keepNext w:val="0"/>
              <w:keepLines w:val="0"/>
              <w:pageBreakBefore w:val="0"/>
              <w:widowControl w:val="0"/>
              <w:kinsoku/>
              <w:overflowPunct/>
              <w:topLinePunct w:val="0"/>
              <w:autoSpaceDE w:val="0"/>
              <w:autoSpaceDN w:val="0"/>
              <w:bidi w:val="0"/>
              <w:spacing w:line="400" w:lineRule="exact"/>
              <w:ind w:firstLine="0" w:firstLineChars="0"/>
              <w:jc w:val="left"/>
              <w:rPr>
                <w:rFonts w:hint="eastAsia" w:ascii="宋体" w:hAnsi="宋体" w:cs="宋体"/>
                <w:color w:val="auto"/>
                <w:sz w:val="21"/>
                <w:szCs w:val="21"/>
                <w:highlight w:val="none"/>
                <w:lang w:eastAsia="en-US"/>
              </w:rPr>
            </w:pPr>
            <w:r>
              <w:rPr>
                <w:rFonts w:hint="eastAsia" w:ascii="宋体" w:hAnsi="宋体" w:cs="宋体"/>
                <w:color w:val="auto"/>
                <w:sz w:val="21"/>
                <w:szCs w:val="21"/>
                <w:highlight w:val="none"/>
                <w:lang w:eastAsia="en-US"/>
              </w:rPr>
              <w:t>31,608.80</w:t>
            </w:r>
          </w:p>
        </w:tc>
        <w:tc>
          <w:tcPr>
            <w:tcW w:w="1417" w:type="dxa"/>
            <w:noWrap w:val="0"/>
            <w:vAlign w:val="center"/>
          </w:tcPr>
          <w:p>
            <w:pPr>
              <w:pStyle w:val="2"/>
              <w:keepNext w:val="0"/>
              <w:keepLines w:val="0"/>
              <w:pageBreakBefore w:val="0"/>
              <w:widowControl w:val="0"/>
              <w:kinsoku/>
              <w:overflowPunct/>
              <w:topLinePunct w:val="0"/>
              <w:autoSpaceDE w:val="0"/>
              <w:autoSpaceDN w:val="0"/>
              <w:bidi w:val="0"/>
              <w:spacing w:line="400" w:lineRule="exact"/>
              <w:ind w:firstLine="420"/>
              <w:jc w:val="left"/>
              <w:rPr>
                <w:rFonts w:hint="eastAsia" w:ascii="宋体" w:hAnsi="宋体" w:cs="宋体"/>
                <w:color w:val="auto"/>
                <w:sz w:val="21"/>
                <w:szCs w:val="21"/>
                <w:highlight w:val="none"/>
                <w:lang w:eastAsia="en-US"/>
              </w:rPr>
            </w:pPr>
            <w:r>
              <w:rPr>
                <w:rFonts w:hint="eastAsia" w:ascii="宋体" w:hAnsi="宋体" w:cs="宋体"/>
                <w:color w:val="auto"/>
                <w:sz w:val="21"/>
                <w:szCs w:val="21"/>
                <w:highlight w:val="none"/>
                <w:lang w:eastAsia="en-US"/>
              </w:rPr>
              <w:t>6.74</w:t>
            </w:r>
          </w:p>
        </w:tc>
        <w:tc>
          <w:tcPr>
            <w:tcW w:w="1576" w:type="dxa"/>
            <w:noWrap w:val="0"/>
            <w:vAlign w:val="center"/>
          </w:tcPr>
          <w:p>
            <w:pPr>
              <w:pStyle w:val="29"/>
              <w:keepNext w:val="0"/>
              <w:keepLines w:val="0"/>
              <w:pageBreakBefore w:val="0"/>
              <w:kinsoku/>
              <w:overflowPunct/>
              <w:topLinePunct w:val="0"/>
              <w:bidi w:val="0"/>
              <w:spacing w:line="400" w:lineRule="exact"/>
              <w:jc w:val="left"/>
              <w:rPr>
                <w:rFonts w:hint="eastAsia" w:ascii="宋体" w:hAnsi="宋体" w:eastAsia="宋体" w:cs="宋体"/>
                <w:color w:val="auto"/>
                <w:sz w:val="21"/>
                <w:szCs w:val="21"/>
                <w:highlight w:val="none"/>
                <w:lang w:eastAsia="en-US"/>
              </w:rPr>
            </w:pPr>
            <w:r>
              <w:rPr>
                <w:rFonts w:hint="eastAsia" w:ascii="宋体" w:hAnsi="宋体" w:eastAsia="宋体" w:cs="宋体"/>
                <w:color w:val="auto"/>
                <w:sz w:val="21"/>
                <w:szCs w:val="21"/>
                <w:highlight w:val="none"/>
              </w:rPr>
              <w:t>无</w:t>
            </w:r>
          </w:p>
        </w:tc>
      </w:tr>
    </w:tbl>
    <w:p>
      <w:pPr>
        <w:pStyle w:val="6"/>
        <w:keepNext w:val="0"/>
        <w:keepLines w:val="0"/>
        <w:pageBreakBefore w:val="0"/>
        <w:kinsoku/>
        <w:overflowPunct/>
        <w:topLinePunct w:val="0"/>
        <w:bidi w:val="0"/>
        <w:spacing w:line="400" w:lineRule="exact"/>
        <w:ind w:firstLine="482" w:firstLineChars="200"/>
        <w:jc w:val="left"/>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（二）控股股东基本情况</w:t>
      </w:r>
    </w:p>
    <w:tbl>
      <w:tblPr>
        <w:tblStyle w:val="22"/>
        <w:tblW w:w="0" w:type="auto"/>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1180"/>
        <w:gridCol w:w="3562"/>
        <w:gridCol w:w="3850"/>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1180" w:type="dxa"/>
            <w:noWrap w:val="0"/>
            <w:vAlign w:val="top"/>
          </w:tcPr>
          <w:p>
            <w:pPr>
              <w:pStyle w:val="40"/>
              <w:keepNext w:val="0"/>
              <w:keepLines w:val="0"/>
              <w:pageBreakBefore w:val="0"/>
              <w:kinsoku/>
              <w:overflowPunct/>
              <w:topLinePunct w:val="0"/>
              <w:bidi w:val="0"/>
              <w:spacing w:line="400" w:lineRule="exact"/>
              <w:ind w:left="324" w:right="325"/>
              <w:jc w:val="left"/>
              <w:rPr>
                <w:rFonts w:hint="eastAsia"/>
                <w:color w:val="auto"/>
                <w:sz w:val="21"/>
                <w:szCs w:val="21"/>
                <w:highlight w:val="none"/>
              </w:rPr>
            </w:pPr>
            <w:r>
              <w:rPr>
                <w:rFonts w:hint="eastAsia"/>
                <w:color w:val="auto"/>
                <w:sz w:val="21"/>
                <w:szCs w:val="21"/>
                <w:highlight w:val="none"/>
              </w:rPr>
              <w:t>序号</w:t>
            </w:r>
          </w:p>
        </w:tc>
        <w:tc>
          <w:tcPr>
            <w:tcW w:w="3562" w:type="dxa"/>
            <w:noWrap w:val="0"/>
            <w:vAlign w:val="top"/>
          </w:tcPr>
          <w:p>
            <w:pPr>
              <w:pStyle w:val="40"/>
              <w:keepNext w:val="0"/>
              <w:keepLines w:val="0"/>
              <w:pageBreakBefore w:val="0"/>
              <w:kinsoku/>
              <w:overflowPunct/>
              <w:topLinePunct w:val="0"/>
              <w:bidi w:val="0"/>
              <w:spacing w:line="400" w:lineRule="exact"/>
              <w:ind w:left="1055"/>
              <w:jc w:val="left"/>
              <w:rPr>
                <w:rFonts w:hint="eastAsia"/>
                <w:color w:val="auto"/>
                <w:sz w:val="21"/>
                <w:szCs w:val="21"/>
                <w:highlight w:val="none"/>
              </w:rPr>
            </w:pPr>
            <w:r>
              <w:rPr>
                <w:rFonts w:hint="eastAsia"/>
                <w:color w:val="auto"/>
                <w:sz w:val="21"/>
                <w:szCs w:val="21"/>
                <w:highlight w:val="none"/>
              </w:rPr>
              <w:t>主要股东名称</w:t>
            </w:r>
          </w:p>
        </w:tc>
        <w:tc>
          <w:tcPr>
            <w:tcW w:w="3850" w:type="dxa"/>
            <w:noWrap w:val="0"/>
            <w:vAlign w:val="top"/>
          </w:tcPr>
          <w:p>
            <w:pPr>
              <w:pStyle w:val="40"/>
              <w:keepNext w:val="0"/>
              <w:keepLines w:val="0"/>
              <w:pageBreakBefore w:val="0"/>
              <w:kinsoku/>
              <w:overflowPunct/>
              <w:topLinePunct w:val="0"/>
              <w:bidi w:val="0"/>
              <w:spacing w:line="400" w:lineRule="exact"/>
              <w:ind w:left="719"/>
              <w:jc w:val="left"/>
              <w:rPr>
                <w:rFonts w:hint="eastAsia"/>
                <w:color w:val="auto"/>
                <w:sz w:val="21"/>
                <w:szCs w:val="21"/>
                <w:highlight w:val="none"/>
                <w:lang w:eastAsia="zh-CN"/>
              </w:rPr>
            </w:pPr>
            <w:r>
              <w:rPr>
                <w:rFonts w:hint="eastAsia"/>
                <w:color w:val="auto"/>
                <w:sz w:val="21"/>
                <w:szCs w:val="21"/>
                <w:highlight w:val="none"/>
                <w:lang w:eastAsia="zh-CN"/>
              </w:rPr>
              <w:t>控股股东、实际控制人</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1180" w:type="dxa"/>
            <w:noWrap w:val="0"/>
            <w:vAlign w:val="top"/>
          </w:tcPr>
          <w:p>
            <w:pPr>
              <w:pStyle w:val="40"/>
              <w:keepNext w:val="0"/>
              <w:keepLines w:val="0"/>
              <w:pageBreakBefore w:val="0"/>
              <w:kinsoku/>
              <w:overflowPunct/>
              <w:topLinePunct w:val="0"/>
              <w:bidi w:val="0"/>
              <w:spacing w:line="400" w:lineRule="exact"/>
              <w:jc w:val="left"/>
              <w:rPr>
                <w:rFonts w:hint="eastAsia"/>
                <w:color w:val="auto"/>
                <w:sz w:val="21"/>
                <w:szCs w:val="21"/>
                <w:highlight w:val="none"/>
              </w:rPr>
            </w:pPr>
            <w:r>
              <w:rPr>
                <w:rFonts w:hint="eastAsia"/>
                <w:color w:val="auto"/>
                <w:w w:val="99"/>
                <w:sz w:val="21"/>
                <w:szCs w:val="21"/>
                <w:highlight w:val="none"/>
              </w:rPr>
              <w:t>1</w:t>
            </w:r>
          </w:p>
        </w:tc>
        <w:tc>
          <w:tcPr>
            <w:tcW w:w="3562" w:type="dxa"/>
            <w:noWrap w:val="0"/>
            <w:vAlign w:val="top"/>
          </w:tcPr>
          <w:p>
            <w:pPr>
              <w:pStyle w:val="40"/>
              <w:keepNext w:val="0"/>
              <w:keepLines w:val="0"/>
              <w:pageBreakBefore w:val="0"/>
              <w:kinsoku/>
              <w:overflowPunct/>
              <w:topLinePunct w:val="0"/>
              <w:bidi w:val="0"/>
              <w:spacing w:line="400" w:lineRule="exact"/>
              <w:ind w:left="103"/>
              <w:jc w:val="left"/>
              <w:rPr>
                <w:rFonts w:hint="eastAsia"/>
                <w:color w:val="auto"/>
                <w:sz w:val="21"/>
                <w:szCs w:val="21"/>
                <w:highlight w:val="none"/>
                <w:lang w:eastAsia="zh-CN"/>
              </w:rPr>
            </w:pPr>
            <w:r>
              <w:rPr>
                <w:rFonts w:hint="eastAsia"/>
                <w:color w:val="auto"/>
                <w:sz w:val="21"/>
                <w:szCs w:val="21"/>
                <w:highlight w:val="none"/>
                <w:lang w:eastAsia="zh-CN"/>
              </w:rPr>
              <w:t>国家电力投资集团有限公司</w:t>
            </w:r>
          </w:p>
        </w:tc>
        <w:tc>
          <w:tcPr>
            <w:tcW w:w="3850" w:type="dxa"/>
            <w:noWrap w:val="0"/>
            <w:vAlign w:val="top"/>
          </w:tcPr>
          <w:p>
            <w:pPr>
              <w:pStyle w:val="40"/>
              <w:keepNext w:val="0"/>
              <w:keepLines w:val="0"/>
              <w:pageBreakBefore w:val="0"/>
              <w:kinsoku/>
              <w:overflowPunct/>
              <w:topLinePunct w:val="0"/>
              <w:bidi w:val="0"/>
              <w:spacing w:line="400" w:lineRule="exact"/>
              <w:ind w:left="102"/>
              <w:jc w:val="left"/>
              <w:rPr>
                <w:rFonts w:hint="eastAsia"/>
                <w:color w:val="auto"/>
                <w:sz w:val="21"/>
                <w:szCs w:val="21"/>
                <w:highlight w:val="none"/>
                <w:lang w:eastAsia="zh-CN"/>
              </w:rPr>
            </w:pPr>
            <w:r>
              <w:rPr>
                <w:rFonts w:hint="eastAsia"/>
                <w:color w:val="auto"/>
                <w:sz w:val="21"/>
                <w:szCs w:val="21"/>
                <w:highlight w:val="none"/>
                <w:lang w:eastAsia="zh-CN"/>
              </w:rPr>
              <w:t>国务院国有资产监督管理委员会</w:t>
            </w:r>
          </w:p>
        </w:tc>
      </w:tr>
    </w:tbl>
    <w:p>
      <w:pPr>
        <w:pStyle w:val="6"/>
        <w:keepNext w:val="0"/>
        <w:keepLines w:val="0"/>
        <w:pageBreakBefore w:val="0"/>
        <w:kinsoku/>
        <w:overflowPunct/>
        <w:topLinePunct w:val="0"/>
        <w:bidi w:val="0"/>
        <w:spacing w:line="400" w:lineRule="exact"/>
        <w:ind w:left="0" w:firstLine="482" w:firstLineChars="200"/>
        <w:jc w:val="left"/>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（三）主要股东股权质押情况</w:t>
      </w:r>
    </w:p>
    <w:p>
      <w:pPr>
        <w:keepNext w:val="0"/>
        <w:keepLines w:val="0"/>
        <w:pageBreakBefore w:val="0"/>
        <w:kinsoku/>
        <w:overflowPunct/>
        <w:topLinePunct w:val="0"/>
        <w:autoSpaceDE w:val="0"/>
        <w:autoSpaceDN w:val="0"/>
        <w:bidi w:val="0"/>
        <w:adjustRightInd w:val="0"/>
        <w:spacing w:line="400" w:lineRule="exact"/>
        <w:ind w:firstLine="480" w:firstLineChars="200"/>
        <w:jc w:val="left"/>
        <w:textAlignment w:val="center"/>
        <w:rPr>
          <w:rFonts w:hint="eastAsia" w:ascii="宋体" w:hAnsi="宋体" w:cs="宋体"/>
          <w:b/>
          <w:bCs/>
          <w:color w:val="auto"/>
          <w:sz w:val="24"/>
          <w:szCs w:val="24"/>
          <w:highlight w:val="none"/>
        </w:rPr>
      </w:pPr>
      <w:r>
        <w:rPr>
          <w:rFonts w:hint="eastAsia" w:ascii="宋体" w:hAnsi="宋体" w:cs="宋体"/>
          <w:color w:val="auto"/>
          <w:kern w:val="0"/>
          <w:sz w:val="24"/>
          <w:szCs w:val="24"/>
          <w:highlight w:val="none"/>
          <w:lang w:val="zh-CN"/>
        </w:rPr>
        <w:t>截至本报告出具之日，</w:t>
      </w:r>
      <w:r>
        <w:rPr>
          <w:rFonts w:hint="eastAsia" w:ascii="宋体" w:hAnsi="宋体" w:cs="宋体"/>
          <w:color w:val="auto"/>
          <w:kern w:val="0"/>
          <w:sz w:val="24"/>
          <w:szCs w:val="24"/>
          <w:highlight w:val="none"/>
        </w:rPr>
        <w:t>持有</w:t>
      </w:r>
      <w:r>
        <w:rPr>
          <w:rFonts w:hint="eastAsia" w:ascii="宋体" w:hAnsi="宋体" w:cs="宋体"/>
          <w:color w:val="auto"/>
          <w:kern w:val="0"/>
          <w:sz w:val="24"/>
          <w:szCs w:val="24"/>
          <w:highlight w:val="none"/>
          <w:lang w:val="zh-CN"/>
        </w:rPr>
        <w:t>公司</w:t>
      </w:r>
      <w:r>
        <w:rPr>
          <w:rFonts w:hint="eastAsia" w:ascii="宋体" w:hAnsi="宋体" w:cs="宋体"/>
          <w:color w:val="auto"/>
          <w:kern w:val="0"/>
          <w:sz w:val="24"/>
          <w:szCs w:val="24"/>
          <w:highlight w:val="none"/>
        </w:rPr>
        <w:t>5%以上股份的股东其</w:t>
      </w:r>
      <w:r>
        <w:rPr>
          <w:rFonts w:hint="eastAsia" w:ascii="宋体" w:hAnsi="宋体" w:cs="宋体"/>
          <w:color w:val="auto"/>
          <w:kern w:val="0"/>
          <w:sz w:val="24"/>
          <w:szCs w:val="24"/>
          <w:highlight w:val="none"/>
          <w:lang w:val="zh-CN"/>
        </w:rPr>
        <w:t>股权不存在质押、冻结的情况。</w:t>
      </w:r>
    </w:p>
    <w:p>
      <w:pPr>
        <w:pStyle w:val="6"/>
        <w:keepNext w:val="0"/>
        <w:keepLines w:val="0"/>
        <w:pageBreakBefore w:val="0"/>
        <w:kinsoku/>
        <w:overflowPunct/>
        <w:topLinePunct w:val="0"/>
        <w:bidi w:val="0"/>
        <w:spacing w:line="400" w:lineRule="exact"/>
        <w:ind w:left="0" w:firstLine="482" w:firstLineChars="200"/>
        <w:jc w:val="left"/>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（四）股东提名董事、监事情况</w:t>
      </w:r>
    </w:p>
    <w:p>
      <w:pPr>
        <w:pStyle w:val="6"/>
        <w:keepNext w:val="0"/>
        <w:keepLines w:val="0"/>
        <w:pageBreakBefore w:val="0"/>
        <w:kinsoku/>
        <w:overflowPunct/>
        <w:topLinePunct w:val="0"/>
        <w:bidi w:val="0"/>
        <w:spacing w:line="400" w:lineRule="exact"/>
        <w:ind w:left="0" w:firstLine="480" w:firstLineChars="200"/>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2024年度，股东国家电力投资集团有限公司提名王浩为董事，选举陈可均为职工董事；股东贵州能源集团有限公司提名郭厚亮为董事，并经过选举担任副董事长，提名付洁为监事，并经过选举担任监事会主席。</w:t>
      </w:r>
    </w:p>
    <w:p>
      <w:pPr>
        <w:pStyle w:val="6"/>
        <w:keepNext w:val="0"/>
        <w:keepLines w:val="0"/>
        <w:pageBreakBefore w:val="0"/>
        <w:kinsoku/>
        <w:overflowPunct/>
        <w:topLinePunct w:val="0"/>
        <w:bidi w:val="0"/>
        <w:spacing w:line="400" w:lineRule="exact"/>
        <w:ind w:left="0" w:firstLine="482" w:firstLineChars="200"/>
        <w:jc w:val="left"/>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（五）主要股东股权转让情况</w:t>
      </w:r>
    </w:p>
    <w:p>
      <w:pPr>
        <w:pStyle w:val="6"/>
        <w:keepNext w:val="0"/>
        <w:keepLines w:val="0"/>
        <w:pageBreakBefore w:val="0"/>
        <w:kinsoku/>
        <w:overflowPunct/>
        <w:topLinePunct w:val="0"/>
        <w:bidi w:val="0"/>
        <w:spacing w:line="400" w:lineRule="exact"/>
        <w:ind w:left="0" w:firstLine="480" w:firstLineChars="200"/>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报告期内，本公司无主要股东股权转让情况。</w:t>
      </w:r>
    </w:p>
    <w:p>
      <w:pPr>
        <w:pStyle w:val="6"/>
        <w:keepNext w:val="0"/>
        <w:keepLines w:val="0"/>
        <w:pageBreakBefore w:val="0"/>
        <w:kinsoku/>
        <w:overflowPunct/>
        <w:topLinePunct w:val="0"/>
        <w:bidi w:val="0"/>
        <w:spacing w:line="400" w:lineRule="exact"/>
        <w:ind w:left="0" w:firstLine="482" w:firstLineChars="200"/>
        <w:jc w:val="left"/>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二、增加或减少注册资本、分立合并事项</w:t>
      </w:r>
    </w:p>
    <w:p>
      <w:pPr>
        <w:pStyle w:val="6"/>
        <w:keepNext w:val="0"/>
        <w:keepLines w:val="0"/>
        <w:pageBreakBefore w:val="0"/>
        <w:kinsoku/>
        <w:overflowPunct/>
        <w:topLinePunct w:val="0"/>
        <w:bidi w:val="0"/>
        <w:spacing w:line="400" w:lineRule="exact"/>
        <w:ind w:left="0" w:firstLine="480" w:firstLineChars="200"/>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无。</w:t>
      </w:r>
    </w:p>
    <w:p>
      <w:pPr>
        <w:pStyle w:val="6"/>
        <w:keepNext w:val="0"/>
        <w:keepLines w:val="0"/>
        <w:pageBreakBefore w:val="0"/>
        <w:numPr>
          <w:ilvl w:val="0"/>
          <w:numId w:val="0"/>
        </w:numPr>
        <w:kinsoku/>
        <w:overflowPunct/>
        <w:topLinePunct w:val="0"/>
        <w:bidi w:val="0"/>
        <w:spacing w:line="400" w:lineRule="exact"/>
        <w:ind w:leftChars="200"/>
        <w:jc w:val="left"/>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三、关联交易事项</w:t>
      </w:r>
      <w:r>
        <w:rPr>
          <w:rFonts w:hint="eastAsia" w:cs="宋体"/>
          <w:color w:val="auto"/>
          <w:kern w:val="0"/>
          <w:sz w:val="24"/>
          <w:szCs w:val="24"/>
          <w:highlight w:val="none"/>
          <w:lang w:val="en-US" w:eastAsia="zh-CN" w:bidi="ar-SA"/>
        </w:rPr>
        <w:t>（请计财部核实）</w:t>
      </w:r>
    </w:p>
    <w:tbl>
      <w:tblPr>
        <w:tblStyle w:val="22"/>
        <w:tblpPr w:leftFromText="180" w:rightFromText="180" w:vertAnchor="text" w:horzAnchor="page" w:tblpX="2028" w:tblpY="61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5155"/>
        <w:gridCol w:w="31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trPr>
        <w:tc>
          <w:tcPr>
            <w:tcW w:w="5155" w:type="dxa"/>
            <w:shd w:val="clear" w:color="auto" w:fill="auto"/>
            <w:noWrap w:val="0"/>
            <w:tcMar>
              <w:top w:w="75" w:type="dxa"/>
              <w:left w:w="75" w:type="dxa"/>
              <w:bottom w:w="75" w:type="dxa"/>
              <w:right w:w="75" w:type="dxa"/>
            </w:tcMar>
            <w:vAlign w:val="center"/>
          </w:tcPr>
          <w:p>
            <w:pPr>
              <w:keepNext w:val="0"/>
              <w:keepLines w:val="0"/>
              <w:pageBreakBefore w:val="0"/>
              <w:widowControl/>
              <w:kinsoku/>
              <w:overflowPunct/>
              <w:topLinePunct w:val="0"/>
              <w:bidi w:val="0"/>
              <w:spacing w:line="400" w:lineRule="exact"/>
              <w:jc w:val="left"/>
              <w:rPr>
                <w:rFonts w:hint="eastAsia" w:ascii="宋体" w:hAnsi="宋体" w:cs="宋体"/>
                <w:color w:val="auto"/>
                <w:kern w:val="0"/>
                <w:highlight w:val="none"/>
              </w:rPr>
            </w:pPr>
            <w:r>
              <w:rPr>
                <w:rFonts w:hint="eastAsia" w:ascii="宋体" w:hAnsi="宋体" w:cs="宋体"/>
                <w:color w:val="auto"/>
                <w:kern w:val="0"/>
                <w:highlight w:val="none"/>
              </w:rPr>
              <w:t>具体事项类型</w:t>
            </w:r>
          </w:p>
        </w:tc>
        <w:tc>
          <w:tcPr>
            <w:tcW w:w="3142" w:type="dxa"/>
            <w:shd w:val="clear" w:color="auto" w:fill="auto"/>
            <w:noWrap w:val="0"/>
            <w:tcMar>
              <w:top w:w="75" w:type="dxa"/>
              <w:left w:w="75" w:type="dxa"/>
              <w:bottom w:w="75" w:type="dxa"/>
              <w:right w:w="75" w:type="dxa"/>
            </w:tcMar>
            <w:vAlign w:val="center"/>
          </w:tcPr>
          <w:p>
            <w:pPr>
              <w:keepNext w:val="0"/>
              <w:keepLines w:val="0"/>
              <w:pageBreakBefore w:val="0"/>
              <w:widowControl/>
              <w:kinsoku/>
              <w:wordWrap w:val="0"/>
              <w:overflowPunct/>
              <w:topLinePunct w:val="0"/>
              <w:bidi w:val="0"/>
              <w:spacing w:line="400" w:lineRule="exact"/>
              <w:jc w:val="left"/>
              <w:rPr>
                <w:rFonts w:hint="eastAsia" w:ascii="宋体" w:hAnsi="宋体" w:cs="宋体"/>
                <w:color w:val="auto"/>
                <w:kern w:val="0"/>
                <w:highlight w:val="none"/>
              </w:rPr>
            </w:pPr>
            <w:r>
              <w:rPr>
                <w:rFonts w:hint="eastAsia" w:ascii="宋体" w:hAnsi="宋体" w:cs="宋体"/>
                <w:color w:val="auto"/>
                <w:kern w:val="0"/>
                <w:highlight w:val="none"/>
              </w:rPr>
              <w:t>发生金额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trPr>
        <w:tc>
          <w:tcPr>
            <w:tcW w:w="5155" w:type="dxa"/>
            <w:shd w:val="clear" w:color="auto" w:fill="auto"/>
            <w:noWrap w:val="0"/>
            <w:tcMar>
              <w:top w:w="75" w:type="dxa"/>
              <w:left w:w="75" w:type="dxa"/>
              <w:bottom w:w="75" w:type="dxa"/>
              <w:right w:w="7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cs="宋体"/>
                <w:color w:val="auto"/>
                <w:kern w:val="0"/>
                <w:highlight w:val="none"/>
              </w:rPr>
            </w:pPr>
            <w:r>
              <w:rPr>
                <w:rFonts w:hint="eastAsia" w:ascii="宋体" w:hAnsi="宋体" w:eastAsia="宋体" w:cs="宋体"/>
                <w:i w:val="0"/>
                <w:iCs w:val="0"/>
                <w:color w:val="auto"/>
                <w:kern w:val="0"/>
                <w:sz w:val="21"/>
                <w:szCs w:val="21"/>
                <w:highlight w:val="none"/>
                <w:u w:val="none"/>
                <w:lang w:val="en-US" w:eastAsia="zh-CN" w:bidi="ar"/>
              </w:rPr>
              <w:t>采购商品/接受劳务情况</w:t>
            </w:r>
          </w:p>
        </w:tc>
        <w:tc>
          <w:tcPr>
            <w:tcW w:w="3142" w:type="dxa"/>
            <w:shd w:val="clear" w:color="auto" w:fill="auto"/>
            <w:noWrap w:val="0"/>
            <w:tcMar>
              <w:top w:w="75" w:type="dxa"/>
              <w:left w:w="75" w:type="dxa"/>
              <w:bottom w:w="75" w:type="dxa"/>
              <w:right w:w="7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default" w:ascii="宋体" w:hAnsi="宋体" w:eastAsia="宋体" w:cs="宋体"/>
                <w:color w:val="auto"/>
                <w:kern w:val="0"/>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373,759,663.07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trPr>
        <w:tc>
          <w:tcPr>
            <w:tcW w:w="5155" w:type="dxa"/>
            <w:shd w:val="clear" w:color="auto" w:fill="auto"/>
            <w:noWrap w:val="0"/>
            <w:tcMar>
              <w:top w:w="75" w:type="dxa"/>
              <w:left w:w="75" w:type="dxa"/>
              <w:bottom w:w="75" w:type="dxa"/>
              <w:right w:w="7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cs="宋体"/>
                <w:color w:val="auto"/>
                <w:kern w:val="0"/>
                <w:highlight w:val="none"/>
              </w:rPr>
            </w:pPr>
            <w:r>
              <w:rPr>
                <w:rFonts w:hint="eastAsia" w:ascii="宋体" w:hAnsi="宋体" w:eastAsia="宋体" w:cs="宋体"/>
                <w:i w:val="0"/>
                <w:iCs w:val="0"/>
                <w:color w:val="auto"/>
                <w:kern w:val="0"/>
                <w:sz w:val="21"/>
                <w:szCs w:val="21"/>
                <w:highlight w:val="none"/>
                <w:u w:val="none"/>
                <w:lang w:val="en-US" w:eastAsia="zh-CN" w:bidi="ar"/>
              </w:rPr>
              <w:t>出售商品</w:t>
            </w:r>
            <w:r>
              <w:rPr>
                <w:rStyle w:val="48"/>
                <w:rFonts w:eastAsia="宋体"/>
                <w:color w:val="auto"/>
                <w:highlight w:val="none"/>
                <w:lang w:val="en-US" w:eastAsia="zh-CN" w:bidi="ar"/>
              </w:rPr>
              <w:t>/</w:t>
            </w:r>
            <w:r>
              <w:rPr>
                <w:rStyle w:val="32"/>
                <w:color w:val="auto"/>
                <w:highlight w:val="none"/>
                <w:lang w:val="en-US" w:eastAsia="zh-CN" w:bidi="ar"/>
              </w:rPr>
              <w:t>提供劳务情况</w:t>
            </w:r>
          </w:p>
        </w:tc>
        <w:tc>
          <w:tcPr>
            <w:tcW w:w="3142" w:type="dxa"/>
            <w:shd w:val="clear" w:color="auto" w:fill="auto"/>
            <w:noWrap w:val="0"/>
            <w:tcMar>
              <w:top w:w="75" w:type="dxa"/>
              <w:left w:w="75" w:type="dxa"/>
              <w:bottom w:w="75" w:type="dxa"/>
              <w:right w:w="75" w:type="dxa"/>
            </w:tcMar>
            <w:vAlign w:val="center"/>
          </w:tcPr>
          <w:p>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cs="宋体"/>
                <w:color w:val="auto"/>
                <w:kern w:val="0"/>
                <w:highlight w:val="none"/>
              </w:rPr>
            </w:pPr>
            <w:r>
              <w:rPr>
                <w:rFonts w:hint="eastAsia" w:ascii="宋体" w:hAnsi="宋体" w:eastAsia="宋体" w:cs="宋体"/>
                <w:i w:val="0"/>
                <w:iCs w:val="0"/>
                <w:color w:val="auto"/>
                <w:kern w:val="0"/>
                <w:sz w:val="21"/>
                <w:szCs w:val="21"/>
                <w:highlight w:val="none"/>
                <w:u w:val="none"/>
                <w:lang w:val="en-US" w:eastAsia="zh-CN" w:bidi="ar"/>
              </w:rPr>
              <w:t>248,791,284.17</w:t>
            </w:r>
          </w:p>
        </w:tc>
      </w:tr>
    </w:tbl>
    <w:p>
      <w:pPr>
        <w:pStyle w:val="6"/>
        <w:keepNext w:val="0"/>
        <w:keepLines w:val="0"/>
        <w:pageBreakBefore w:val="0"/>
        <w:kinsoku/>
        <w:overflowPunct/>
        <w:topLinePunct w:val="0"/>
        <w:bidi w:val="0"/>
        <w:spacing w:line="400" w:lineRule="exact"/>
        <w:ind w:left="0"/>
        <w:jc w:val="left"/>
        <w:rPr>
          <w:rFonts w:hint="eastAsia" w:cs="宋体"/>
          <w:color w:val="auto"/>
          <w:sz w:val="21"/>
          <w:szCs w:val="21"/>
          <w:highlight w:val="none"/>
          <w:lang w:val="en-US" w:eastAsia="zh-CN"/>
        </w:rPr>
      </w:pPr>
      <w:r>
        <w:rPr>
          <w:rFonts w:hint="eastAsia" w:cs="宋体"/>
          <w:color w:val="auto"/>
          <w:sz w:val="21"/>
          <w:szCs w:val="21"/>
          <w:highlight w:val="none"/>
          <w:lang w:eastAsia="zh-CN"/>
        </w:rPr>
        <w:t>单</w:t>
      </w:r>
      <w:r>
        <w:rPr>
          <w:rFonts w:hint="eastAsia" w:cs="宋体"/>
          <w:color w:val="auto"/>
          <w:sz w:val="21"/>
          <w:szCs w:val="21"/>
          <w:highlight w:val="none"/>
          <w:lang w:val="en-US" w:eastAsia="zh-CN"/>
        </w:rPr>
        <w:t>位：元</w:t>
      </w:r>
    </w:p>
    <w:p>
      <w:pPr>
        <w:pStyle w:val="6"/>
        <w:keepNext w:val="0"/>
        <w:keepLines w:val="0"/>
        <w:pageBreakBefore w:val="0"/>
        <w:kinsoku/>
        <w:overflowPunct/>
        <w:topLinePunct w:val="0"/>
        <w:bidi w:val="0"/>
        <w:spacing w:line="400" w:lineRule="exact"/>
        <w:ind w:firstLine="480" w:firstLineChars="200"/>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注：以上为本期发生的关联交易金额。</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200"/>
        <w:jc w:val="left"/>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四、重大诉讼、仲裁事项</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报告期内，贵州金元及所属单位共发生3起重大诉讼</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zh-CN"/>
        </w:rPr>
        <w:t>1.中水公司</w:t>
      </w:r>
      <w:r>
        <w:rPr>
          <w:rFonts w:hint="eastAsia" w:ascii="宋体" w:hAnsi="宋体" w:eastAsia="宋体" w:cs="宋体"/>
          <w:color w:val="auto"/>
          <w:kern w:val="0"/>
          <w:sz w:val="24"/>
          <w:szCs w:val="24"/>
          <w:highlight w:val="none"/>
          <w:lang w:val="en-US" w:eastAsia="zh-CN"/>
        </w:rPr>
        <w:t>诉</w:t>
      </w:r>
      <w:r>
        <w:rPr>
          <w:rFonts w:hint="eastAsia" w:ascii="宋体" w:hAnsi="宋体" w:eastAsia="宋体" w:cs="宋体"/>
          <w:color w:val="auto"/>
          <w:kern w:val="0"/>
          <w:sz w:val="24"/>
          <w:szCs w:val="24"/>
          <w:highlight w:val="none"/>
          <w:lang w:val="zh-CN"/>
        </w:rPr>
        <w:t>安晟能源、青龙煤矿（第三人）股东代表诉讼案件，</w:t>
      </w:r>
      <w:r>
        <w:rPr>
          <w:rFonts w:hint="eastAsia" w:ascii="宋体" w:hAnsi="宋体" w:eastAsia="宋体" w:cs="宋体"/>
          <w:color w:val="auto"/>
          <w:kern w:val="0"/>
          <w:sz w:val="24"/>
          <w:szCs w:val="24"/>
          <w:highlight w:val="none"/>
          <w:lang w:val="en-US" w:eastAsia="zh-CN"/>
        </w:rPr>
        <w:t>2024年2月立案，涉案</w:t>
      </w:r>
      <w:r>
        <w:rPr>
          <w:rFonts w:hint="eastAsia" w:ascii="宋体" w:hAnsi="宋体" w:eastAsia="宋体" w:cs="宋体"/>
          <w:color w:val="auto"/>
          <w:kern w:val="0"/>
          <w:sz w:val="24"/>
          <w:szCs w:val="24"/>
          <w:highlight w:val="none"/>
          <w:lang w:val="zh-CN"/>
        </w:rPr>
        <w:t>金额8.47亿元。</w:t>
      </w:r>
      <w:r>
        <w:rPr>
          <w:rFonts w:hint="eastAsia" w:ascii="宋体" w:hAnsi="宋体" w:eastAsia="宋体" w:cs="宋体"/>
          <w:color w:val="auto"/>
          <w:kern w:val="0"/>
          <w:sz w:val="24"/>
          <w:szCs w:val="24"/>
          <w:highlight w:val="none"/>
          <w:lang w:val="en-US" w:eastAsia="zh-CN"/>
        </w:rPr>
        <w:t>2025年2月收到贵阳市中院一审判决：安晟能源向黔西能源返还欠款。黔西能源和中水公司已上诉，贵州省高院已受理并于4月24日开庭审理，待判决。</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zh-CN"/>
        </w:rPr>
        <w:t>2.</w:t>
      </w:r>
      <w:r>
        <w:rPr>
          <w:rFonts w:hint="eastAsia" w:ascii="宋体" w:hAnsi="宋体" w:eastAsia="宋体" w:cs="宋体"/>
          <w:color w:val="auto"/>
          <w:kern w:val="0"/>
          <w:sz w:val="24"/>
          <w:szCs w:val="24"/>
          <w:highlight w:val="none"/>
          <w:lang w:val="en-US" w:eastAsia="zh-CN"/>
        </w:rPr>
        <w:t>能发</w:t>
      </w:r>
      <w:r>
        <w:rPr>
          <w:rFonts w:hint="eastAsia" w:ascii="宋体" w:hAnsi="宋体" w:eastAsia="宋体" w:cs="宋体"/>
          <w:color w:val="auto"/>
          <w:kern w:val="0"/>
          <w:sz w:val="24"/>
          <w:szCs w:val="24"/>
          <w:highlight w:val="none"/>
          <w:lang w:val="zh-CN"/>
        </w:rPr>
        <w:t>公司</w:t>
      </w:r>
      <w:r>
        <w:rPr>
          <w:rFonts w:hint="eastAsia" w:ascii="宋体" w:hAnsi="宋体" w:eastAsia="宋体" w:cs="宋体"/>
          <w:color w:val="auto"/>
          <w:kern w:val="0"/>
          <w:sz w:val="24"/>
          <w:szCs w:val="24"/>
          <w:highlight w:val="none"/>
          <w:lang w:val="en-US" w:eastAsia="zh-CN"/>
        </w:rPr>
        <w:t>诉</w:t>
      </w:r>
      <w:r>
        <w:rPr>
          <w:rFonts w:hint="eastAsia" w:ascii="宋体" w:hAnsi="宋体" w:eastAsia="宋体" w:cs="宋体"/>
          <w:color w:val="auto"/>
          <w:kern w:val="0"/>
          <w:sz w:val="24"/>
          <w:szCs w:val="24"/>
          <w:highlight w:val="none"/>
          <w:lang w:val="zh-CN"/>
        </w:rPr>
        <w:t>安晟能源、</w:t>
      </w:r>
      <w:r>
        <w:rPr>
          <w:rFonts w:hint="eastAsia" w:ascii="宋体" w:hAnsi="宋体" w:eastAsia="宋体" w:cs="宋体"/>
          <w:color w:val="auto"/>
          <w:kern w:val="0"/>
          <w:sz w:val="24"/>
          <w:szCs w:val="24"/>
          <w:highlight w:val="none"/>
          <w:lang w:val="en-US" w:eastAsia="zh-CN"/>
        </w:rPr>
        <w:t>发耳煤矿</w:t>
      </w:r>
      <w:r>
        <w:rPr>
          <w:rFonts w:hint="eastAsia" w:ascii="宋体" w:hAnsi="宋体" w:eastAsia="宋体" w:cs="宋体"/>
          <w:color w:val="auto"/>
          <w:kern w:val="0"/>
          <w:sz w:val="24"/>
          <w:szCs w:val="24"/>
          <w:highlight w:val="none"/>
          <w:lang w:val="zh-CN"/>
        </w:rPr>
        <w:t>（第三人）股东代表诉讼案件，</w:t>
      </w:r>
      <w:r>
        <w:rPr>
          <w:rFonts w:hint="eastAsia" w:ascii="宋体" w:hAnsi="宋体" w:eastAsia="宋体" w:cs="宋体"/>
          <w:color w:val="auto"/>
          <w:kern w:val="0"/>
          <w:sz w:val="24"/>
          <w:szCs w:val="24"/>
          <w:highlight w:val="none"/>
          <w:lang w:val="en-US" w:eastAsia="zh-CN"/>
        </w:rPr>
        <w:t>2024年6月立案，涉案</w:t>
      </w:r>
      <w:r>
        <w:rPr>
          <w:rFonts w:hint="eastAsia" w:ascii="宋体" w:hAnsi="宋体" w:eastAsia="宋体" w:cs="宋体"/>
          <w:color w:val="auto"/>
          <w:kern w:val="0"/>
          <w:sz w:val="24"/>
          <w:szCs w:val="24"/>
          <w:highlight w:val="none"/>
          <w:lang w:val="zh-CN"/>
        </w:rPr>
        <w:t>金额</w:t>
      </w:r>
      <w:r>
        <w:rPr>
          <w:rFonts w:hint="eastAsia" w:ascii="宋体" w:hAnsi="宋体" w:eastAsia="宋体" w:cs="宋体"/>
          <w:color w:val="auto"/>
          <w:kern w:val="0"/>
          <w:sz w:val="24"/>
          <w:szCs w:val="24"/>
          <w:highlight w:val="none"/>
          <w:lang w:val="en-US" w:eastAsia="zh-CN"/>
        </w:rPr>
        <w:t>3.08</w:t>
      </w:r>
      <w:r>
        <w:rPr>
          <w:rFonts w:hint="eastAsia" w:ascii="宋体" w:hAnsi="宋体" w:eastAsia="宋体" w:cs="宋体"/>
          <w:color w:val="auto"/>
          <w:kern w:val="0"/>
          <w:sz w:val="24"/>
          <w:szCs w:val="24"/>
          <w:highlight w:val="none"/>
          <w:lang w:val="zh-CN"/>
        </w:rPr>
        <w:t>亿元</w:t>
      </w:r>
      <w:r>
        <w:rPr>
          <w:rFonts w:hint="eastAsia" w:ascii="宋体" w:hAnsi="宋体" w:eastAsia="宋体" w:cs="宋体"/>
          <w:color w:val="auto"/>
          <w:kern w:val="0"/>
          <w:sz w:val="24"/>
          <w:szCs w:val="24"/>
          <w:highlight w:val="none"/>
          <w:lang w:val="en-US" w:eastAsia="zh-CN"/>
        </w:rPr>
        <w:t>。因能发公司将发耳煤矿的股权转让至能发新能源公司，2025年3月4日，收到贵阳市观山湖区法院裁定：驳回能发公司起诉，案件受理费158万元全额退还，保全申请费5000元不予退还。已上诉至贵阳市中院，开庭时间未定。</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zh-CN"/>
        </w:rPr>
        <w:t>3.中冶京诚工程技术有限公司诉绥阳公司、贵州金元建设工程施工合同纠纷</w:t>
      </w:r>
      <w:r>
        <w:rPr>
          <w:rFonts w:hint="eastAsia" w:ascii="宋体" w:hAnsi="宋体" w:eastAsia="宋体" w:cs="宋体"/>
          <w:color w:val="auto"/>
          <w:kern w:val="0"/>
          <w:sz w:val="24"/>
          <w:szCs w:val="24"/>
          <w:highlight w:val="none"/>
          <w:lang w:val="zh-CN" w:eastAsia="zh-CN"/>
        </w:rPr>
        <w:t>，</w:t>
      </w:r>
      <w:r>
        <w:rPr>
          <w:rFonts w:hint="eastAsia" w:ascii="宋体" w:hAnsi="宋体" w:eastAsia="宋体" w:cs="宋体"/>
          <w:color w:val="auto"/>
          <w:kern w:val="0"/>
          <w:sz w:val="24"/>
          <w:szCs w:val="24"/>
          <w:highlight w:val="none"/>
          <w:lang w:val="en-US" w:eastAsia="zh-CN"/>
        </w:rPr>
        <w:t>2024年7月立案，涉案金额7841万元。2024年8月已达成和解，绥阳公司分期支付工程款，贵州金元不承担责任，已结案。</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2" w:firstLineChars="200"/>
        <w:jc w:val="left"/>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五、聘任和解聘会计师事务所情况</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公司聘请</w:t>
      </w:r>
      <w:r>
        <w:rPr>
          <w:rFonts w:hint="eastAsia" w:ascii="宋体" w:hAnsi="宋体" w:eastAsia="宋体" w:cs="宋体"/>
          <w:color w:val="auto"/>
          <w:sz w:val="24"/>
          <w:szCs w:val="24"/>
          <w:highlight w:val="none"/>
          <w:lang w:val="en-US" w:eastAsia="zh-CN"/>
        </w:rPr>
        <w:t>立信会计师事务所（特殊普通合伙）</w:t>
      </w:r>
      <w:r>
        <w:rPr>
          <w:rFonts w:hint="eastAsia" w:ascii="宋体" w:hAnsi="宋体" w:eastAsia="宋体" w:cs="宋体"/>
          <w:color w:val="auto"/>
          <w:kern w:val="0"/>
          <w:sz w:val="24"/>
          <w:szCs w:val="24"/>
          <w:highlight w:val="none"/>
          <w:lang w:val="en-US" w:eastAsia="zh-CN" w:bidi="ar-SA"/>
        </w:rPr>
        <w:t>按中国会计准则对本公司2024年度的经营状况进行审计。</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2" w:firstLineChars="200"/>
        <w:jc w:val="left"/>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六、逾期未偿还债务情况</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报告期末，公司无逾期未偿还债务。</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2" w:firstLineChars="200"/>
        <w:jc w:val="left"/>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七、对外投资情况</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报告期内，公司不存在未经股东大会、董事会审议通过的对外投资事项。</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2" w:firstLineChars="200"/>
        <w:jc w:val="left"/>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八、收购及出售资产、吸收合并事项</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报告期内，公司对外转让桃花、尖峰、墨子湾、令里、加平、南东</w:t>
      </w:r>
      <w:r>
        <w:rPr>
          <w:rFonts w:hint="eastAsia" w:cs="宋体"/>
          <w:color w:val="auto"/>
          <w:kern w:val="0"/>
          <w:sz w:val="24"/>
          <w:szCs w:val="24"/>
          <w:highlight w:val="none"/>
          <w:lang w:val="en-US" w:eastAsia="zh-CN" w:bidi="ar-SA"/>
        </w:rPr>
        <w:t>等6个</w:t>
      </w:r>
      <w:r>
        <w:rPr>
          <w:rFonts w:hint="eastAsia" w:ascii="宋体" w:hAnsi="宋体" w:eastAsia="宋体" w:cs="宋体"/>
          <w:color w:val="auto"/>
          <w:kern w:val="0"/>
          <w:sz w:val="24"/>
          <w:szCs w:val="24"/>
          <w:highlight w:val="none"/>
          <w:lang w:val="en-US" w:eastAsia="zh-CN" w:bidi="ar-SA"/>
        </w:rPr>
        <w:t>水电</w:t>
      </w:r>
      <w:r>
        <w:rPr>
          <w:rFonts w:hint="eastAsia" w:cs="宋体"/>
          <w:color w:val="auto"/>
          <w:kern w:val="0"/>
          <w:sz w:val="24"/>
          <w:szCs w:val="24"/>
          <w:highlight w:val="none"/>
          <w:lang w:val="en-US" w:eastAsia="zh-CN" w:bidi="ar-SA"/>
        </w:rPr>
        <w:t>站</w:t>
      </w:r>
      <w:r>
        <w:rPr>
          <w:rFonts w:hint="eastAsia" w:ascii="宋体" w:hAnsi="宋体" w:eastAsia="宋体" w:cs="宋体"/>
          <w:color w:val="auto"/>
          <w:kern w:val="0"/>
          <w:sz w:val="24"/>
          <w:szCs w:val="24"/>
          <w:highlight w:val="none"/>
          <w:lang w:val="en-US" w:eastAsia="zh-CN" w:bidi="ar-SA"/>
        </w:rPr>
        <w:t>（</w:t>
      </w:r>
      <w:r>
        <w:rPr>
          <w:rFonts w:hint="eastAsia" w:cs="宋体"/>
          <w:color w:val="auto"/>
          <w:kern w:val="0"/>
          <w:sz w:val="24"/>
          <w:szCs w:val="24"/>
          <w:highlight w:val="none"/>
          <w:lang w:val="en-US" w:eastAsia="zh-CN" w:bidi="ar-SA"/>
        </w:rPr>
        <w:t>总装机4.45</w:t>
      </w:r>
      <w:r>
        <w:rPr>
          <w:rFonts w:hint="eastAsia" w:ascii="宋体" w:hAnsi="宋体" w:eastAsia="宋体" w:cs="宋体"/>
          <w:color w:val="auto"/>
          <w:kern w:val="0"/>
          <w:sz w:val="24"/>
          <w:szCs w:val="24"/>
          <w:highlight w:val="none"/>
          <w:lang w:val="en-US" w:eastAsia="zh-CN" w:bidi="ar-SA"/>
        </w:rPr>
        <w:t>MW）资产</w:t>
      </w:r>
      <w:r>
        <w:rPr>
          <w:rFonts w:hint="eastAsia" w:cs="宋体"/>
          <w:color w:val="auto"/>
          <w:kern w:val="0"/>
          <w:sz w:val="24"/>
          <w:szCs w:val="24"/>
          <w:highlight w:val="none"/>
          <w:lang w:val="en-US" w:eastAsia="zh-CN" w:bidi="ar-SA"/>
        </w:rPr>
        <w:t>，明英电站因下游宣威水电站开发淹没获得补偿，通过贵州能源集团增资并控股能发公司51%。</w:t>
      </w:r>
      <w:r>
        <w:rPr>
          <w:rFonts w:hint="eastAsia" w:ascii="宋体" w:hAnsi="宋体" w:eastAsia="宋体" w:cs="宋体"/>
          <w:color w:val="auto"/>
          <w:kern w:val="0"/>
          <w:sz w:val="24"/>
          <w:szCs w:val="24"/>
          <w:highlight w:val="none"/>
          <w:lang w:val="en-US" w:eastAsia="zh-CN" w:bidi="ar-SA"/>
        </w:rPr>
        <w:t>公司无</w:t>
      </w:r>
      <w:r>
        <w:rPr>
          <w:rFonts w:hint="eastAsia" w:cs="宋体"/>
          <w:color w:val="auto"/>
          <w:kern w:val="0"/>
          <w:sz w:val="24"/>
          <w:szCs w:val="24"/>
          <w:highlight w:val="none"/>
          <w:lang w:val="en-US" w:eastAsia="zh-CN" w:bidi="ar-SA"/>
        </w:rPr>
        <w:t>其他</w:t>
      </w:r>
      <w:r>
        <w:rPr>
          <w:rFonts w:hint="eastAsia" w:ascii="宋体" w:hAnsi="宋体" w:eastAsia="宋体" w:cs="宋体"/>
          <w:color w:val="auto"/>
          <w:kern w:val="0"/>
          <w:sz w:val="24"/>
          <w:szCs w:val="24"/>
          <w:highlight w:val="none"/>
          <w:lang w:val="en-US" w:eastAsia="zh-CN" w:bidi="ar-SA"/>
        </w:rPr>
        <w:t>重大收购及吸收合并事项。</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2" w:firstLineChars="200"/>
        <w:jc w:val="left"/>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九、股东及其关联方占用或转移公司资金、资产及其他资源的情况</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报告期内，公司不存在股东及其关联方占用或转移公司资金、资产及其他资源的情况。</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2" w:firstLineChars="200"/>
        <w:jc w:val="left"/>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十、经股东大会审议通过的收购、出售资产、对外投资事项以及报告期内发生的企业合并事项</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报告期内，不存在经股东大会审议通过的收购、出售资产、对外投资事项以及报告期内发生的企业合并事项。</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2" w:firstLineChars="200"/>
        <w:jc w:val="left"/>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十一、</w:t>
      </w:r>
      <w:r>
        <w:rPr>
          <w:rFonts w:hint="eastAsia" w:ascii="宋体" w:hAnsi="宋体" w:eastAsia="宋体" w:cs="宋体"/>
          <w:b/>
          <w:bCs/>
          <w:color w:val="auto"/>
          <w:kern w:val="2"/>
          <w:sz w:val="24"/>
          <w:szCs w:val="24"/>
          <w:highlight w:val="none"/>
          <w:lang w:val="en-US" w:eastAsia="zh-CN" w:bidi="ar-SA"/>
        </w:rPr>
        <w:tab/>
      </w:r>
      <w:r>
        <w:rPr>
          <w:rFonts w:hint="eastAsia" w:ascii="宋体" w:hAnsi="宋体" w:eastAsia="宋体" w:cs="宋体"/>
          <w:b/>
          <w:bCs/>
          <w:color w:val="auto"/>
          <w:kern w:val="2"/>
          <w:sz w:val="24"/>
          <w:szCs w:val="24"/>
          <w:highlight w:val="none"/>
          <w:lang w:val="en-US" w:eastAsia="zh-CN" w:bidi="ar-SA"/>
        </w:rPr>
        <w:t>权益分派情况</w:t>
      </w:r>
    </w:p>
    <w:p>
      <w:pPr>
        <w:pStyle w:val="6"/>
        <w:keepNext w:val="0"/>
        <w:keepLines w:val="0"/>
        <w:pageBreakBefore w:val="0"/>
        <w:widowControl w:val="0"/>
        <w:kinsoku/>
        <w:wordWrap/>
        <w:overflowPunct/>
        <w:topLinePunct w:val="0"/>
        <w:autoSpaceDE/>
        <w:autoSpaceDN/>
        <w:bidi w:val="0"/>
        <w:adjustRightInd/>
        <w:snapToGrid/>
        <w:spacing w:line="400" w:lineRule="exact"/>
        <w:ind w:left="0" w:right="215" w:firstLine="482" w:firstLineChars="200"/>
        <w:jc w:val="left"/>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(一)</w:t>
      </w:r>
      <w:r>
        <w:rPr>
          <w:rFonts w:hint="eastAsia" w:ascii="宋体" w:hAnsi="宋体" w:eastAsia="宋体" w:cs="宋体"/>
          <w:b/>
          <w:bCs/>
          <w:color w:val="auto"/>
          <w:kern w:val="2"/>
          <w:sz w:val="24"/>
          <w:szCs w:val="24"/>
          <w:highlight w:val="none"/>
          <w:lang w:val="en-US" w:eastAsia="zh-CN" w:bidi="ar-SA"/>
        </w:rPr>
        <w:tab/>
      </w:r>
      <w:r>
        <w:rPr>
          <w:rFonts w:hint="eastAsia" w:ascii="宋体" w:hAnsi="宋体" w:eastAsia="宋体" w:cs="宋体"/>
          <w:b/>
          <w:bCs/>
          <w:color w:val="auto"/>
          <w:kern w:val="2"/>
          <w:sz w:val="24"/>
          <w:szCs w:val="24"/>
          <w:highlight w:val="none"/>
          <w:lang w:val="en-US" w:eastAsia="zh-CN" w:bidi="ar-SA"/>
        </w:rPr>
        <w:t>报告期内的利润分配与公积金转增股本情况</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报告期内贵州金元母公司无利润分配及公积金转增股本情况。</w:t>
      </w:r>
    </w:p>
    <w:p>
      <w:pPr>
        <w:pStyle w:val="6"/>
        <w:keepNext w:val="0"/>
        <w:keepLines w:val="0"/>
        <w:pageBreakBefore w:val="0"/>
        <w:widowControl w:val="0"/>
        <w:kinsoku/>
        <w:wordWrap/>
        <w:overflowPunct/>
        <w:topLinePunct w:val="0"/>
        <w:autoSpaceDE/>
        <w:autoSpaceDN/>
        <w:bidi w:val="0"/>
        <w:adjustRightInd/>
        <w:snapToGrid/>
        <w:spacing w:line="400" w:lineRule="exact"/>
        <w:ind w:left="0" w:right="215" w:firstLine="482" w:firstLineChars="200"/>
        <w:jc w:val="left"/>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(二)</w:t>
      </w:r>
      <w:r>
        <w:rPr>
          <w:rFonts w:hint="eastAsia" w:ascii="宋体" w:hAnsi="宋体" w:eastAsia="宋体" w:cs="宋体"/>
          <w:b/>
          <w:bCs/>
          <w:color w:val="auto"/>
          <w:kern w:val="2"/>
          <w:sz w:val="24"/>
          <w:szCs w:val="24"/>
          <w:highlight w:val="none"/>
          <w:lang w:val="en-US" w:eastAsia="zh-CN" w:bidi="ar-SA"/>
        </w:rPr>
        <w:tab/>
      </w:r>
      <w:r>
        <w:rPr>
          <w:rFonts w:hint="eastAsia" w:ascii="宋体" w:hAnsi="宋体" w:eastAsia="宋体" w:cs="宋体"/>
          <w:b/>
          <w:bCs/>
          <w:color w:val="auto"/>
          <w:kern w:val="2"/>
          <w:sz w:val="24"/>
          <w:szCs w:val="24"/>
          <w:highlight w:val="none"/>
          <w:lang w:val="en-US" w:eastAsia="zh-CN" w:bidi="ar-SA"/>
        </w:rPr>
        <w:t>报告期内未执行完毕的利润分配与公积金转增股本的情况</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报告期内贵州金元母公司无未执行完毕的利润分配及公积金转增股本情况。</w:t>
      </w:r>
    </w:p>
    <w:p>
      <w:pPr>
        <w:pStyle w:val="6"/>
        <w:keepNext w:val="0"/>
        <w:keepLines w:val="0"/>
        <w:pageBreakBefore w:val="0"/>
        <w:widowControl w:val="0"/>
        <w:kinsoku/>
        <w:wordWrap/>
        <w:overflowPunct/>
        <w:topLinePunct w:val="0"/>
        <w:autoSpaceDE/>
        <w:autoSpaceDN/>
        <w:bidi w:val="0"/>
        <w:adjustRightInd/>
        <w:snapToGrid/>
        <w:spacing w:line="400" w:lineRule="exact"/>
        <w:ind w:left="0" w:right="215" w:firstLine="482" w:firstLineChars="200"/>
        <w:jc w:val="left"/>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(三)</w:t>
      </w:r>
      <w:r>
        <w:rPr>
          <w:rFonts w:hint="eastAsia" w:ascii="宋体" w:hAnsi="宋体" w:eastAsia="宋体" w:cs="宋体"/>
          <w:b/>
          <w:bCs/>
          <w:color w:val="auto"/>
          <w:kern w:val="2"/>
          <w:sz w:val="24"/>
          <w:szCs w:val="24"/>
          <w:highlight w:val="none"/>
          <w:lang w:val="en-US" w:eastAsia="zh-CN" w:bidi="ar-SA"/>
        </w:rPr>
        <w:tab/>
      </w:r>
      <w:r>
        <w:rPr>
          <w:rFonts w:hint="eastAsia" w:ascii="宋体" w:hAnsi="宋体" w:eastAsia="宋体" w:cs="宋体"/>
          <w:b/>
          <w:bCs/>
          <w:color w:val="auto"/>
          <w:kern w:val="2"/>
          <w:sz w:val="24"/>
          <w:szCs w:val="24"/>
          <w:highlight w:val="none"/>
          <w:lang w:val="en-US" w:eastAsia="zh-CN" w:bidi="ar-SA"/>
        </w:rPr>
        <w:t>权益分派预案</w:t>
      </w:r>
    </w:p>
    <w:p>
      <w:pPr>
        <w:pStyle w:val="6"/>
        <w:keepNext w:val="0"/>
        <w:keepLines w:val="0"/>
        <w:pageBreakBefore w:val="0"/>
        <w:widowControl w:val="0"/>
        <w:kinsoku/>
        <w:wordWrap/>
        <w:overflowPunct/>
        <w:topLinePunct w:val="0"/>
        <w:autoSpaceDE/>
        <w:autoSpaceDN/>
        <w:bidi w:val="0"/>
        <w:adjustRightInd/>
        <w:snapToGrid/>
        <w:spacing w:line="400" w:lineRule="exact"/>
        <w:ind w:left="0"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报告期内贵州金元母公司无权益分配预案。</w:t>
      </w:r>
    </w:p>
    <w:p>
      <w:pPr>
        <w:pStyle w:val="7"/>
        <w:rPr>
          <w:rFonts w:hint="default"/>
          <w:color w:val="auto"/>
          <w:highlight w:val="none"/>
          <w:lang w:val="en-US"/>
        </w:rPr>
      </w:pPr>
    </w:p>
    <w:p>
      <w:pPr>
        <w:rPr>
          <w:rFonts w:hint="default"/>
          <w:color w:val="auto"/>
          <w:highlight w:val="none"/>
          <w:lang w:val="en-US"/>
        </w:rPr>
      </w:pPr>
    </w:p>
    <w:p>
      <w:pPr>
        <w:rPr>
          <w:rFonts w:hint="default"/>
          <w:color w:val="auto"/>
          <w:highlight w:val="none"/>
          <w:lang w:val="en-US"/>
        </w:rPr>
      </w:pPr>
    </w:p>
    <w:p>
      <w:pPr>
        <w:rPr>
          <w:rFonts w:hint="default"/>
          <w:color w:val="auto"/>
          <w:highlight w:val="none"/>
          <w:lang w:val="en-US"/>
        </w:rPr>
        <w:sectPr>
          <w:footerReference r:id="rId31" w:type="default"/>
          <w:pgSz w:w="11907" w:h="16839"/>
          <w:pgMar w:top="1440" w:right="1797" w:bottom="1440" w:left="1797" w:header="680" w:footer="992" w:gutter="0"/>
          <w:pgNumType w:fmt="decimal" w:start="5"/>
          <w:cols w:space="425" w:num="1"/>
          <w:docGrid w:linePitch="312" w:charSpace="0"/>
        </w:sectPr>
      </w:pPr>
    </w:p>
    <w:p>
      <w:pPr>
        <w:pStyle w:val="6"/>
        <w:spacing w:before="120"/>
        <w:ind w:left="0"/>
        <w:jc w:val="center"/>
        <w:outlineLvl w:val="0"/>
        <w:rPr>
          <w:rFonts w:ascii="宋体" w:hAnsi="宋体" w:cs="MingLiU"/>
          <w:color w:val="auto"/>
          <w:kern w:val="0"/>
          <w:sz w:val="24"/>
          <w:szCs w:val="24"/>
          <w:highlight w:val="none"/>
        </w:rPr>
      </w:pPr>
      <w:r>
        <w:rPr>
          <w:rFonts w:hint="eastAsia" w:ascii="黑体" w:hAnsi="黑体" w:eastAsia="黑体" w:cs="黑体"/>
          <w:b/>
          <w:bCs/>
          <w:color w:val="auto"/>
          <w:kern w:val="2"/>
          <w:sz w:val="28"/>
          <w:szCs w:val="28"/>
          <w:highlight w:val="none"/>
          <w:lang w:val="en-US" w:eastAsia="zh-CN" w:bidi="ar-SA"/>
        </w:rPr>
        <w:t>第七节 会计财务报告</w:t>
      </w:r>
      <w:bookmarkEnd w:id="77"/>
      <w:bookmarkEnd w:id="78"/>
    </w:p>
    <w:p>
      <w:pPr>
        <w:autoSpaceDE w:val="0"/>
        <w:autoSpaceDN w:val="0"/>
        <w:adjustRightInd w:val="0"/>
        <w:spacing w:line="500" w:lineRule="exact"/>
        <w:ind w:right="-38"/>
        <w:jc w:val="center"/>
        <w:rPr>
          <w:rFonts w:ascii="宋体" w:hAnsi="宋体" w:cs="MingLiU"/>
          <w:color w:val="auto"/>
          <w:kern w:val="0"/>
          <w:sz w:val="24"/>
          <w:szCs w:val="24"/>
          <w:highlight w:val="none"/>
        </w:rPr>
      </w:pPr>
      <w:r>
        <w:rPr>
          <w:rFonts w:hint="eastAsia" w:ascii="宋体" w:hAnsi="宋体" w:cs="MingLiU"/>
          <w:color w:val="auto"/>
          <w:kern w:val="0"/>
          <w:sz w:val="24"/>
          <w:szCs w:val="24"/>
          <w:highlight w:val="none"/>
        </w:rPr>
        <w:t>审</w:t>
      </w:r>
      <w:r>
        <w:rPr>
          <w:rFonts w:ascii="宋体" w:hAnsi="宋体"/>
          <w:color w:val="auto"/>
          <w:kern w:val="0"/>
          <w:sz w:val="24"/>
          <w:szCs w:val="24"/>
          <w:highlight w:val="none"/>
        </w:rPr>
        <w:t xml:space="preserve"> </w:t>
      </w:r>
      <w:r>
        <w:rPr>
          <w:rFonts w:hint="eastAsia" w:ascii="宋体" w:hAnsi="宋体" w:cs="MingLiU"/>
          <w:color w:val="auto"/>
          <w:kern w:val="0"/>
          <w:sz w:val="24"/>
          <w:szCs w:val="24"/>
          <w:highlight w:val="none"/>
        </w:rPr>
        <w:t>计</w:t>
      </w:r>
      <w:r>
        <w:rPr>
          <w:rFonts w:ascii="宋体" w:hAnsi="宋体"/>
          <w:color w:val="auto"/>
          <w:kern w:val="0"/>
          <w:sz w:val="24"/>
          <w:szCs w:val="24"/>
          <w:highlight w:val="none"/>
        </w:rPr>
        <w:t xml:space="preserve"> </w:t>
      </w:r>
      <w:r>
        <w:rPr>
          <w:rFonts w:hint="eastAsia" w:ascii="宋体" w:hAnsi="宋体" w:cs="MingLiU"/>
          <w:color w:val="auto"/>
          <w:kern w:val="0"/>
          <w:sz w:val="24"/>
          <w:szCs w:val="24"/>
          <w:highlight w:val="none"/>
        </w:rPr>
        <w:t>报</w:t>
      </w:r>
      <w:r>
        <w:rPr>
          <w:rFonts w:ascii="宋体" w:hAnsi="宋体"/>
          <w:color w:val="auto"/>
          <w:kern w:val="0"/>
          <w:sz w:val="24"/>
          <w:szCs w:val="24"/>
          <w:highlight w:val="none"/>
        </w:rPr>
        <w:t xml:space="preserve"> </w:t>
      </w:r>
      <w:r>
        <w:rPr>
          <w:rFonts w:hint="eastAsia" w:ascii="宋体" w:hAnsi="宋体" w:cs="MingLiU"/>
          <w:color w:val="auto"/>
          <w:kern w:val="0"/>
          <w:sz w:val="24"/>
          <w:szCs w:val="24"/>
          <w:highlight w:val="none"/>
        </w:rPr>
        <w:t>告</w:t>
      </w:r>
    </w:p>
    <w:p>
      <w:pPr>
        <w:tabs>
          <w:tab w:val="left" w:pos="4962"/>
        </w:tabs>
        <w:autoSpaceDE w:val="0"/>
        <w:autoSpaceDN w:val="0"/>
        <w:adjustRightInd w:val="0"/>
        <w:spacing w:line="500" w:lineRule="exact"/>
        <w:ind w:right="-7"/>
        <w:rPr>
          <w:rFonts w:hint="eastAsia" w:ascii="宋体" w:hAnsi="宋体" w:cs="宋体"/>
          <w:color w:val="auto"/>
          <w:kern w:val="0"/>
          <w:sz w:val="24"/>
          <w:szCs w:val="24"/>
          <w:highlight w:val="none"/>
        </w:rPr>
      </w:pPr>
      <w:r>
        <w:rPr>
          <w:rFonts w:hint="eastAsia" w:ascii="宋体" w:hAnsi="宋体" w:cs="MingLiU"/>
          <w:color w:val="auto"/>
          <w:kern w:val="0"/>
          <w:sz w:val="24"/>
          <w:szCs w:val="24"/>
          <w:highlight w:val="none"/>
        </w:rPr>
        <w:t>审计意见类型为标准无保留。</w:t>
      </w:r>
    </w:p>
    <w:p>
      <w:pPr>
        <w:spacing w:line="500" w:lineRule="exact"/>
        <w:ind w:left="4800" w:hanging="4800" w:hangingChars="2000"/>
        <w:jc w:val="left"/>
        <w:rPr>
          <w:rFonts w:hint="eastAsia" w:ascii="宋体" w:hAnsi="宋体" w:cs="宋体"/>
          <w:bCs/>
          <w:color w:val="auto"/>
          <w:sz w:val="24"/>
          <w:szCs w:val="24"/>
          <w:highlight w:val="none"/>
        </w:rPr>
      </w:pPr>
      <w:r>
        <w:rPr>
          <w:rFonts w:hint="eastAsia" w:ascii="宋体" w:hAnsi="宋体" w:cs="宋体"/>
          <w:bCs/>
          <w:color w:val="auto"/>
          <w:sz w:val="24"/>
          <w:szCs w:val="24"/>
          <w:highlight w:val="none"/>
        </w:rPr>
        <w:t xml:space="preserve">                                                                        </w:t>
      </w:r>
      <w:bookmarkStart w:id="79" w:name="_Toc491705284"/>
      <w:bookmarkStart w:id="80" w:name="_Toc491705009"/>
      <w:bookmarkStart w:id="81" w:name="_Toc486339137"/>
    </w:p>
    <w:bookmarkEnd w:id="79"/>
    <w:bookmarkEnd w:id="80"/>
    <w:bookmarkEnd w:id="81"/>
    <w:p>
      <w:pPr>
        <w:pStyle w:val="6"/>
        <w:spacing w:before="120"/>
        <w:ind w:left="0"/>
        <w:jc w:val="both"/>
        <w:outlineLvl w:val="0"/>
        <w:rPr>
          <w:rFonts w:hint="eastAsia" w:cs="宋体"/>
          <w:b/>
          <w:bCs/>
          <w:color w:val="auto"/>
          <w:highlight w:val="none"/>
          <w:lang w:eastAsia="zh-CN"/>
        </w:rPr>
      </w:pPr>
      <w:bookmarkStart w:id="82" w:name="_Toc399"/>
      <w:bookmarkStart w:id="83" w:name="_Toc10098"/>
      <w:r>
        <w:rPr>
          <w:rFonts w:hint="eastAsia" w:cs="宋体"/>
          <w:b/>
          <w:bCs/>
          <w:color w:val="auto"/>
          <w:highlight w:val="none"/>
          <w:lang w:eastAsia="zh-CN"/>
        </w:rPr>
        <w:t>合并资产负债表</w:t>
      </w:r>
      <w:bookmarkEnd w:id="82"/>
      <w:bookmarkEnd w:id="83"/>
    </w:p>
    <w:p>
      <w:pPr>
        <w:adjustRightInd w:val="0"/>
        <w:snapToGrid w:val="0"/>
        <w:spacing w:line="200" w:lineRule="atLeast"/>
        <w:jc w:val="center"/>
        <w:rPr>
          <w:rFonts w:ascii="Times New Roman" w:hAnsi="Times New Roman" w:cs="Times New Roman"/>
          <w:b/>
          <w:color w:val="auto"/>
          <w:sz w:val="18"/>
          <w:szCs w:val="18"/>
          <w:highlight w:val="none"/>
        </w:rPr>
      </w:pPr>
      <w:r>
        <w:rPr>
          <w:rFonts w:ascii="Times New Roman" w:hAnsi="Times New Roman" w:cs="Times New Roman"/>
          <w:b/>
          <w:color w:val="auto"/>
          <w:sz w:val="18"/>
          <w:szCs w:val="18"/>
          <w:highlight w:val="none"/>
        </w:rPr>
        <w:fldChar w:fldCharType="begin"/>
      </w:r>
      <w:r>
        <w:rPr>
          <w:rFonts w:ascii="Times New Roman" w:hAnsi="Times New Roman" w:cs="Times New Roman"/>
          <w:b/>
          <w:color w:val="auto"/>
          <w:sz w:val="18"/>
          <w:szCs w:val="18"/>
          <w:highlight w:val="none"/>
        </w:rPr>
        <w:instrText xml:space="preserve"> DOCVARIABLE  基本信息_企业名称  \* MERGEFORMAT </w:instrText>
      </w:r>
      <w:r>
        <w:rPr>
          <w:rFonts w:ascii="Times New Roman" w:hAnsi="Times New Roman" w:cs="Times New Roman"/>
          <w:b/>
          <w:color w:val="auto"/>
          <w:sz w:val="18"/>
          <w:szCs w:val="18"/>
          <w:highlight w:val="none"/>
        </w:rPr>
        <w:fldChar w:fldCharType="separate"/>
      </w:r>
      <w:r>
        <w:rPr>
          <w:rFonts w:hint="eastAsia" w:ascii="Times New Roman" w:hAnsi="Times New Roman" w:cs="Times New Roman"/>
          <w:b/>
          <w:color w:val="auto"/>
          <w:sz w:val="18"/>
          <w:szCs w:val="18"/>
          <w:highlight w:val="none"/>
        </w:rPr>
        <w:t>国家电投集团贵州金元股份有限公司</w:t>
      </w:r>
      <w:r>
        <w:rPr>
          <w:rFonts w:ascii="Times New Roman" w:hAnsi="Times New Roman" w:cs="Times New Roman"/>
          <w:b/>
          <w:color w:val="auto"/>
          <w:sz w:val="18"/>
          <w:szCs w:val="18"/>
          <w:highlight w:val="none"/>
        </w:rPr>
        <w:fldChar w:fldCharType="end"/>
      </w:r>
    </w:p>
    <w:p>
      <w:pPr>
        <w:autoSpaceDE w:val="0"/>
        <w:autoSpaceDN w:val="0"/>
        <w:adjustRightInd w:val="0"/>
        <w:snapToGrid w:val="0"/>
        <w:spacing w:line="200" w:lineRule="atLeast"/>
        <w:jc w:val="center"/>
        <w:textAlignment w:val="bottom"/>
        <w:outlineLvl w:val="0"/>
        <w:rPr>
          <w:rFonts w:ascii="Times New Roman" w:hAnsi="Times New Roman" w:cs="Times New Roman"/>
          <w:b/>
          <w:bCs/>
          <w:snapToGrid w:val="0"/>
          <w:color w:val="auto"/>
          <w:sz w:val="18"/>
          <w:szCs w:val="18"/>
          <w:highlight w:val="none"/>
        </w:rPr>
      </w:pPr>
      <w:r>
        <w:rPr>
          <w:rFonts w:hint="eastAsia" w:ascii="Times New Roman" w:hAnsi="Times New Roman" w:cs="Times New Roman"/>
          <w:b/>
          <w:bCs/>
          <w:snapToGrid w:val="0"/>
          <w:color w:val="auto"/>
          <w:sz w:val="18"/>
          <w:szCs w:val="18"/>
          <w:highlight w:val="none"/>
        </w:rPr>
        <w:t>合并</w:t>
      </w:r>
      <w:r>
        <w:rPr>
          <w:rFonts w:ascii="Times New Roman" w:hAnsi="Times New Roman" w:cs="Times New Roman"/>
          <w:b/>
          <w:bCs/>
          <w:snapToGrid w:val="0"/>
          <w:color w:val="auto"/>
          <w:sz w:val="18"/>
          <w:szCs w:val="18"/>
          <w:highlight w:val="none"/>
        </w:rPr>
        <w:t>资产负债表</w:t>
      </w:r>
    </w:p>
    <w:p>
      <w:pPr>
        <w:autoSpaceDE w:val="0"/>
        <w:autoSpaceDN w:val="0"/>
        <w:adjustRightInd w:val="0"/>
        <w:snapToGrid w:val="0"/>
        <w:spacing w:line="200" w:lineRule="atLeast"/>
        <w:jc w:val="center"/>
        <w:textAlignment w:val="bottom"/>
        <w:rPr>
          <w:rFonts w:ascii="Times New Roman" w:hAnsi="Times New Roman" w:cs="Times New Roman"/>
          <w:b/>
          <w:bCs/>
          <w:snapToGrid w:val="0"/>
          <w:color w:val="auto"/>
          <w:sz w:val="18"/>
          <w:szCs w:val="18"/>
          <w:highlight w:val="none"/>
        </w:rPr>
      </w:pPr>
      <w:r>
        <w:rPr>
          <w:rFonts w:ascii="Times New Roman" w:hAnsi="Times New Roman" w:cs="Times New Roman"/>
          <w:b/>
          <w:bCs/>
          <w:snapToGrid w:val="0"/>
          <w:color w:val="auto"/>
          <w:sz w:val="18"/>
          <w:szCs w:val="18"/>
          <w:highlight w:val="none"/>
        </w:rPr>
        <w:fldChar w:fldCharType="begin"/>
      </w:r>
      <w:r>
        <w:rPr>
          <w:rFonts w:ascii="Times New Roman" w:hAnsi="Times New Roman" w:cs="Times New Roman"/>
          <w:b/>
          <w:bCs/>
          <w:snapToGrid w:val="0"/>
          <w:color w:val="auto"/>
          <w:sz w:val="18"/>
          <w:szCs w:val="18"/>
          <w:highlight w:val="none"/>
        </w:rPr>
        <w:instrText xml:space="preserve"> DOCVARIABLE  基本信息_资产负债表日  \* MERGEFORMAT </w:instrText>
      </w:r>
      <w:r>
        <w:rPr>
          <w:rFonts w:ascii="Times New Roman" w:hAnsi="Times New Roman" w:cs="Times New Roman"/>
          <w:b/>
          <w:bCs/>
          <w:snapToGrid w:val="0"/>
          <w:color w:val="auto"/>
          <w:sz w:val="18"/>
          <w:szCs w:val="18"/>
          <w:highlight w:val="none"/>
        </w:rPr>
        <w:fldChar w:fldCharType="separate"/>
      </w:r>
      <w:r>
        <w:rPr>
          <w:rFonts w:hint="eastAsia" w:ascii="Times New Roman" w:hAnsi="Times New Roman" w:cs="Times New Roman"/>
          <w:b/>
          <w:bCs/>
          <w:snapToGrid w:val="0"/>
          <w:color w:val="auto"/>
          <w:sz w:val="18"/>
          <w:szCs w:val="18"/>
          <w:highlight w:val="none"/>
        </w:rPr>
        <w:t>2024年12月31日</w:t>
      </w:r>
      <w:r>
        <w:rPr>
          <w:rFonts w:ascii="Times New Roman" w:hAnsi="Times New Roman" w:cs="Times New Roman"/>
          <w:b/>
          <w:bCs/>
          <w:snapToGrid w:val="0"/>
          <w:color w:val="auto"/>
          <w:sz w:val="18"/>
          <w:szCs w:val="18"/>
          <w:highlight w:val="none"/>
        </w:rPr>
        <w:fldChar w:fldCharType="end"/>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08"/>
        <w:gridCol w:w="1324"/>
        <w:gridCol w:w="1659"/>
        <w:gridCol w:w="1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808"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b/>
                <w:bCs/>
                <w:snapToGrid w:val="0"/>
                <w:color w:val="auto"/>
                <w:sz w:val="18"/>
                <w:szCs w:val="18"/>
                <w:highlight w:val="none"/>
              </w:rPr>
              <w:t>（除特别注明外，金额单位均为人民币元）</w:t>
            </w:r>
            <w:r>
              <w:rPr>
                <w:rFonts w:ascii="Times New Roman" w:hAnsi="Times New Roman" w:cs="Times New Roman"/>
                <w:color w:val="auto"/>
                <w:highlight w:val="none"/>
              </w:rPr>
              <w:fldChar w:fldCharType="begin"/>
            </w:r>
            <w:r>
              <w:rPr>
                <w:rFonts w:ascii="Times New Roman" w:hAnsi="Times New Roman" w:cs="Times New Roman"/>
                <w:color w:val="auto"/>
                <w:highlight w:val="none"/>
              </w:rPr>
              <w:instrText xml:space="preserve"> LINK Excel.Sheet.12 E:\\雍\\附注排版\\2014年年报格式\\附注过渡表20150130V0910.xlsx 资合并!合并资产 \f 4 \h \* MERGEFORMAT </w:instrText>
            </w:r>
            <w:r>
              <w:rPr>
                <w:rFonts w:ascii="Times New Roman" w:hAnsi="Times New Roman" w:cs="Times New Roman"/>
                <w:color w:val="auto"/>
                <w:highlight w:val="none"/>
              </w:rPr>
              <w:fldChar w:fldCharType="separate"/>
            </w:r>
            <w:r>
              <w:rPr>
                <w:rFonts w:ascii="Times New Roman" w:hAnsi="Times New Roman" w:cs="Times New Roman"/>
                <w:color w:val="auto"/>
                <w:sz w:val="15"/>
                <w:szCs w:val="15"/>
                <w:highlight w:val="none"/>
              </w:rPr>
              <w:t>项目</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附注</w:t>
            </w:r>
          </w:p>
        </w:tc>
        <w:tc>
          <w:tcPr>
            <w:tcW w:w="1616"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期末余额</w:t>
            </w:r>
          </w:p>
        </w:tc>
        <w:tc>
          <w:tcPr>
            <w:tcW w:w="1589"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期初余额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流动资产：</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rPr>
                <w:rFonts w:ascii="Times New Roman" w:hAnsi="Times New Roman" w:cs="Times New Roman"/>
                <w:color w:val="auto"/>
                <w:sz w:val="15"/>
                <w:szCs w:val="15"/>
                <w:highlight w:val="none"/>
              </w:rPr>
            </w:pPr>
          </w:p>
        </w:tc>
        <w:tc>
          <w:tcPr>
            <w:tcW w:w="1589" w:type="dxa"/>
            <w:vAlign w:val="center"/>
          </w:tcPr>
          <w:p>
            <w:pPr>
              <w:snapToGrid w:val="0"/>
              <w:spacing w:line="200" w:lineRule="atLeas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货币资金</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八、（一）</w:t>
            </w: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1,470,659,019.30</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1,068,115,348.52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△结算备付金</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△拆出资金</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交易性金融资产</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☆以公允价值计量且其变动计入当期损益的金融资产</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衍生金融资产</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应收票据</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八、（二）</w:t>
            </w: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109,893,330.14</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21,145,366.38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应收账款</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八、（三）</w:t>
            </w: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5,726,917,640.19</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4,851,082,613.23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应收款项融资</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预付款项</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八、（四）</w:t>
            </w: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446,267,579.46</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445,305,313.49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▲应收保费</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▲应收分保账款</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▲应收分保合同准备金</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应收资金集中管理款</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其他应收款</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八、（五）</w:t>
            </w: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546,267,352.60</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1,639,980,920.86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其中：应收股利</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41,552,068.64</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18,616,005.38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△买入返售金融资产</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存货</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八、（六）</w:t>
            </w: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1,247,630,630.33</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1,513,748,065.72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其中：原材料</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1,055,925,299.55</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1,162,795,733.53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库存商品（产成品）</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184,704,759.19</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342,614,162.31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合同资产</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八、（七）</w:t>
            </w: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12,478,726.78</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140,752,360.47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△保险合同资产</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△分出再保险合同资产</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持有待售资产</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一年内到期的非流动资产</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其他流动资产</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八、（八）</w:t>
            </w: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1,397,193,305.32</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1,314,808,052.33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b/>
                <w:color w:val="auto"/>
                <w:sz w:val="15"/>
                <w:szCs w:val="15"/>
                <w:highlight w:val="none"/>
              </w:rPr>
            </w:pPr>
            <w:r>
              <w:rPr>
                <w:rFonts w:ascii="Times New Roman" w:hAnsi="Times New Roman" w:cs="Times New Roman"/>
                <w:b/>
                <w:color w:val="auto"/>
                <w:sz w:val="15"/>
                <w:szCs w:val="15"/>
                <w:highlight w:val="none"/>
              </w:rPr>
              <w:t>流动资产合计</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10,957,307,584.12</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10,994,938,041.00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非流动资产：</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rPr>
                <w:rFonts w:ascii="Times New Roman" w:hAnsi="Times New Roman" w:cs="Times New Roman"/>
                <w:color w:val="auto"/>
                <w:sz w:val="15"/>
                <w:szCs w:val="15"/>
                <w:highlight w:val="none"/>
              </w:rPr>
            </w:pPr>
          </w:p>
        </w:tc>
        <w:tc>
          <w:tcPr>
            <w:tcW w:w="1589" w:type="dxa"/>
            <w:vAlign w:val="center"/>
          </w:tcPr>
          <w:p>
            <w:pPr>
              <w:snapToGrid w:val="0"/>
              <w:spacing w:line="200" w:lineRule="atLeas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△发放贷款和垫款</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债权投资</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八、（九）</w:t>
            </w: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5,556,721,330.61</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☆可供出售金融资产</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其他债权投资</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八、（十）</w:t>
            </w: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3,095,369,600.92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☆持有至到期投资</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长期应收款</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八、（十一）</w:t>
            </w: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225,530,898.20</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369,532,715.84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长期股权投资</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八、（十二）</w:t>
            </w: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1,741,604,559.28</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1,340,675,272.29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其他权益工具投资</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八、（十三）</w:t>
            </w: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904,190,344.55</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879,986,019.15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其他非流动金融资产</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投资性房地产</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八、（十四）</w:t>
            </w: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974,998,444.58</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999,945,225.79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固定资产</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八、（十五）</w:t>
            </w: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43,967,409,151.61</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41,582,044,069.31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其中：固定资产原价</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74,170,678,792.53</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70,923,243,008.86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累计折旧</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24,043,476,870.14</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23,078,823,003.43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固定资产减值准备</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6,167,045,598.35</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6,263,634,511.97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在建工程</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八、（十六）</w:t>
            </w: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4,572,870,572.56</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5,398,525,880.53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生产性生物资产</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油气资产</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使用权资产</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八、（十七）</w:t>
            </w: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3,072,290,227.09</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2,660,534,678.98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无形资产</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八、（十八）</w:t>
            </w: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1,047,272,775.79</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1,403,309,875.18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开发支出</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八、（十九）</w:t>
            </w: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30,489,314.27</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56,496,993.61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商誉</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八、（二十）</w:t>
            </w: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长期待摊费用</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八、（二十一）</w:t>
            </w: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84,674,858.49</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918,236,210.59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递延所得税资产</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八、（二十二）</w:t>
            </w: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9,126,510.55</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47,907,208.08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其他非流动资产</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八、（二十三）</w:t>
            </w: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848,388,889.45</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956,732,919.96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 xml:space="preserve">  其中：特准储备物资</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b/>
                <w:color w:val="auto"/>
                <w:sz w:val="15"/>
                <w:szCs w:val="15"/>
                <w:highlight w:val="none"/>
              </w:rPr>
            </w:pPr>
            <w:r>
              <w:rPr>
                <w:rFonts w:ascii="Times New Roman" w:hAnsi="Times New Roman" w:cs="Times New Roman"/>
                <w:b/>
                <w:color w:val="auto"/>
                <w:sz w:val="15"/>
                <w:szCs w:val="15"/>
                <w:highlight w:val="none"/>
              </w:rPr>
              <w:t>非流动资产合计</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63,035,567,877.03</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59,709,296,670.23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8" w:type="dxa"/>
            <w:vAlign w:val="center"/>
          </w:tcPr>
          <w:p>
            <w:pPr>
              <w:snapToGrid w:val="0"/>
              <w:spacing w:line="200" w:lineRule="atLeast"/>
              <w:rPr>
                <w:rFonts w:ascii="Times New Roman" w:hAnsi="Times New Roman" w:cs="Times New Roman"/>
                <w:b/>
                <w:color w:val="auto"/>
                <w:sz w:val="15"/>
                <w:szCs w:val="15"/>
                <w:highlight w:val="none"/>
              </w:rPr>
            </w:pPr>
            <w:r>
              <w:rPr>
                <w:rFonts w:ascii="Times New Roman" w:hAnsi="Times New Roman" w:cs="Times New Roman"/>
                <w:b/>
                <w:color w:val="auto"/>
                <w:sz w:val="15"/>
                <w:szCs w:val="15"/>
                <w:highlight w:val="none"/>
              </w:rPr>
              <w:t>资产总计</w:t>
            </w:r>
          </w:p>
        </w:tc>
        <w:tc>
          <w:tcPr>
            <w:tcW w:w="1290" w:type="dxa"/>
            <w:vAlign w:val="center"/>
          </w:tcPr>
          <w:p>
            <w:pPr>
              <w:snapToGrid w:val="0"/>
              <w:spacing w:line="200" w:lineRule="atLeast"/>
              <w:jc w:val="center"/>
              <w:rPr>
                <w:rFonts w:ascii="Times New Roman" w:hAnsi="Times New Roman" w:cs="Times New Roman"/>
                <w:color w:val="auto"/>
                <w:sz w:val="15"/>
                <w:szCs w:val="15"/>
                <w:highlight w:val="none"/>
              </w:rPr>
            </w:pPr>
          </w:p>
        </w:tc>
        <w:tc>
          <w:tcPr>
            <w:tcW w:w="1616"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73,992,875,461.15</w:t>
            </w:r>
          </w:p>
        </w:tc>
        <w:tc>
          <w:tcPr>
            <w:tcW w:w="1589" w:type="dxa"/>
            <w:vAlign w:val="center"/>
          </w:tcPr>
          <w:p>
            <w:pPr>
              <w:snapToGrid w:val="0"/>
              <w:spacing w:line="200" w:lineRule="atLeast"/>
              <w:jc w:val="right"/>
              <w:rPr>
                <w:rFonts w:ascii="Times New Roman" w:hAnsi="Times New Roman" w:cs="Times New Roman"/>
                <w:color w:val="auto"/>
                <w:sz w:val="15"/>
                <w:szCs w:val="15"/>
                <w:highlight w:val="none"/>
              </w:rPr>
            </w:pPr>
            <w:r>
              <w:rPr>
                <w:rFonts w:ascii="Times New Roman" w:hAnsi="Times New Roman" w:cs="Times New Roman"/>
                <w:color w:val="auto"/>
                <w:sz w:val="15"/>
                <w:szCs w:val="15"/>
                <w:highlight w:val="none"/>
              </w:rPr>
              <w:t>70,704,234,711.23</w:t>
            </w:r>
          </w:p>
        </w:tc>
      </w:tr>
    </w:tbl>
    <w:p>
      <w:pPr>
        <w:tabs>
          <w:tab w:val="left" w:pos="1440"/>
          <w:tab w:val="left" w:pos="1620"/>
          <w:tab w:val="left" w:pos="1800"/>
        </w:tabs>
        <w:adjustRightInd w:val="0"/>
        <w:snapToGrid w:val="0"/>
        <w:spacing w:before="80" w:line="240" w:lineRule="atLeast"/>
        <w:rPr>
          <w:rFonts w:ascii="Times New Roman" w:hAnsi="Times New Roman" w:cs="Times New Roman"/>
          <w:color w:val="auto"/>
          <w:sz w:val="18"/>
          <w:szCs w:val="18"/>
          <w:highlight w:val="none"/>
        </w:rPr>
      </w:pPr>
      <w:r>
        <w:rPr>
          <w:rFonts w:ascii="Times New Roman" w:hAnsi="Times New Roman" w:cs="Times New Roman"/>
          <w:color w:val="auto"/>
          <w:highlight w:val="none"/>
        </w:rPr>
        <w:fldChar w:fldCharType="end"/>
      </w:r>
      <w:r>
        <w:rPr>
          <w:rFonts w:hint="eastAsia" w:ascii="Times New Roman" w:hAnsi="Times New Roman" w:cs="Times New Roman"/>
          <w:color w:val="auto"/>
          <w:sz w:val="18"/>
          <w:szCs w:val="18"/>
          <w:highlight w:val="none"/>
        </w:rPr>
        <w:t>注：带△科目为金融类企业专用；带▲科目为未执行新保险合同准则企业专用；带#科目为外商投资企业专用；带☆科目为未执行新金融工具准则企业专用。</w:t>
      </w:r>
    </w:p>
    <w:p>
      <w:pPr>
        <w:tabs>
          <w:tab w:val="left" w:pos="1440"/>
          <w:tab w:val="left" w:pos="1620"/>
          <w:tab w:val="left" w:pos="1800"/>
        </w:tabs>
        <w:adjustRightInd w:val="0"/>
        <w:snapToGrid w:val="0"/>
        <w:spacing w:line="240" w:lineRule="atLeas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后附财务报表附注为财务报表的组成部分。</w:t>
      </w:r>
      <w:r>
        <w:rPr>
          <w:rFonts w:hint="eastAsia" w:ascii="Times New Roman" w:hAnsi="Times New Roman" w:cs="Times New Roman"/>
          <w:color w:val="auto"/>
          <w:sz w:val="18"/>
          <w:szCs w:val="18"/>
          <w:highlight w:val="none"/>
        </w:rPr>
        <w:t>下同。</w:t>
      </w:r>
    </w:p>
    <w:p>
      <w:pPr>
        <w:adjustRightInd w:val="0"/>
        <w:snapToGrid w:val="0"/>
        <w:spacing w:line="240" w:lineRule="atLeast"/>
        <w:rPr>
          <w:color w:val="auto"/>
          <w:highlight w:val="none"/>
        </w:rPr>
      </w:pPr>
      <w:r>
        <w:rPr>
          <w:rFonts w:ascii="Times New Roman" w:hAnsi="Times New Roman" w:cs="Times New Roman"/>
          <w:color w:val="auto"/>
          <w:sz w:val="18"/>
          <w:szCs w:val="18"/>
          <w:highlight w:val="none"/>
        </w:rPr>
        <w:t>企业法定代表人：             主管会计工作负责人：             会计机构负责人：</w:t>
      </w:r>
      <w:r>
        <w:rPr>
          <w:rFonts w:ascii="Times New Roman" w:hAnsi="Times New Roman" w:cs="Times New Roman"/>
          <w:color w:val="auto"/>
          <w:sz w:val="18"/>
          <w:szCs w:val="18"/>
          <w:highlight w:val="none"/>
        </w:rPr>
        <w:br w:type="page"/>
      </w:r>
    </w:p>
    <w:p>
      <w:pPr>
        <w:adjustRightInd w:val="0"/>
        <w:snapToGrid w:val="0"/>
        <w:spacing w:line="240" w:lineRule="auto"/>
        <w:jc w:val="center"/>
        <w:rPr>
          <w:rFonts w:ascii="Times New Roman" w:hAnsi="Times New Roman" w:cs="Times New Roman"/>
          <w:b/>
          <w:color w:val="auto"/>
          <w:sz w:val="18"/>
          <w:szCs w:val="18"/>
          <w:highlight w:val="none"/>
        </w:rPr>
      </w:pPr>
      <w:r>
        <w:rPr>
          <w:rFonts w:ascii="Times New Roman" w:hAnsi="Times New Roman" w:cs="Times New Roman"/>
          <w:b/>
          <w:color w:val="auto"/>
          <w:sz w:val="18"/>
          <w:szCs w:val="18"/>
          <w:highlight w:val="none"/>
        </w:rPr>
        <w:fldChar w:fldCharType="begin"/>
      </w:r>
      <w:r>
        <w:rPr>
          <w:rFonts w:ascii="Times New Roman" w:hAnsi="Times New Roman" w:cs="Times New Roman"/>
          <w:b/>
          <w:color w:val="auto"/>
          <w:sz w:val="18"/>
          <w:szCs w:val="18"/>
          <w:highlight w:val="none"/>
        </w:rPr>
        <w:instrText xml:space="preserve"> DOCVARIABLE  基本信息_企业名称  \* MERGEFORMAT </w:instrText>
      </w:r>
      <w:r>
        <w:rPr>
          <w:rFonts w:ascii="Times New Roman" w:hAnsi="Times New Roman" w:cs="Times New Roman"/>
          <w:b/>
          <w:color w:val="auto"/>
          <w:sz w:val="18"/>
          <w:szCs w:val="18"/>
          <w:highlight w:val="none"/>
        </w:rPr>
        <w:fldChar w:fldCharType="separate"/>
      </w:r>
      <w:r>
        <w:rPr>
          <w:rFonts w:hint="eastAsia" w:ascii="Times New Roman" w:hAnsi="Times New Roman" w:cs="Times New Roman"/>
          <w:b/>
          <w:color w:val="auto"/>
          <w:sz w:val="18"/>
          <w:szCs w:val="18"/>
          <w:highlight w:val="none"/>
        </w:rPr>
        <w:t>国家电投集团贵州金元股份有限公司</w:t>
      </w:r>
      <w:r>
        <w:rPr>
          <w:rFonts w:ascii="Times New Roman" w:hAnsi="Times New Roman" w:cs="Times New Roman"/>
          <w:b/>
          <w:color w:val="auto"/>
          <w:sz w:val="18"/>
          <w:szCs w:val="18"/>
          <w:highlight w:val="none"/>
        </w:rPr>
        <w:fldChar w:fldCharType="end"/>
      </w:r>
    </w:p>
    <w:p>
      <w:pPr>
        <w:adjustRightInd w:val="0"/>
        <w:snapToGrid w:val="0"/>
        <w:spacing w:line="240" w:lineRule="auto"/>
        <w:jc w:val="center"/>
        <w:rPr>
          <w:rFonts w:ascii="Times New Roman" w:hAnsi="Times New Roman" w:cs="Times New Roman"/>
          <w:b/>
          <w:color w:val="auto"/>
          <w:sz w:val="18"/>
          <w:szCs w:val="18"/>
          <w:highlight w:val="none"/>
        </w:rPr>
      </w:pPr>
      <w:r>
        <w:rPr>
          <w:rFonts w:hint="eastAsia" w:ascii="Times New Roman" w:hAnsi="Times New Roman" w:cs="Times New Roman"/>
          <w:b/>
          <w:color w:val="auto"/>
          <w:sz w:val="18"/>
          <w:szCs w:val="18"/>
          <w:highlight w:val="none"/>
        </w:rPr>
        <w:t>合并</w:t>
      </w:r>
      <w:r>
        <w:rPr>
          <w:rFonts w:ascii="Times New Roman" w:hAnsi="Times New Roman" w:cs="Times New Roman"/>
          <w:b/>
          <w:color w:val="auto"/>
          <w:sz w:val="18"/>
          <w:szCs w:val="18"/>
          <w:highlight w:val="none"/>
        </w:rPr>
        <w:t>资产负债表（续）</w:t>
      </w:r>
    </w:p>
    <w:p>
      <w:pPr>
        <w:adjustRightInd w:val="0"/>
        <w:snapToGrid w:val="0"/>
        <w:spacing w:line="240" w:lineRule="auto"/>
        <w:jc w:val="center"/>
        <w:rPr>
          <w:rFonts w:ascii="Times New Roman" w:hAnsi="Times New Roman" w:cs="Times New Roman"/>
          <w:b/>
          <w:color w:val="auto"/>
          <w:sz w:val="18"/>
          <w:szCs w:val="18"/>
          <w:highlight w:val="none"/>
        </w:rPr>
      </w:pPr>
      <w:r>
        <w:rPr>
          <w:rFonts w:ascii="Times New Roman" w:hAnsi="Times New Roman" w:cs="Times New Roman"/>
          <w:b/>
          <w:bCs/>
          <w:snapToGrid w:val="0"/>
          <w:color w:val="auto"/>
          <w:sz w:val="18"/>
          <w:szCs w:val="18"/>
          <w:highlight w:val="none"/>
        </w:rPr>
        <w:fldChar w:fldCharType="begin"/>
      </w:r>
      <w:r>
        <w:rPr>
          <w:rFonts w:ascii="Times New Roman" w:hAnsi="Times New Roman" w:cs="Times New Roman"/>
          <w:b/>
          <w:bCs/>
          <w:snapToGrid w:val="0"/>
          <w:color w:val="auto"/>
          <w:sz w:val="18"/>
          <w:szCs w:val="18"/>
          <w:highlight w:val="none"/>
        </w:rPr>
        <w:instrText xml:space="preserve"> DOCVARIABLE  基本信息_资产负债表日  \* MERGEFORMAT </w:instrText>
      </w:r>
      <w:r>
        <w:rPr>
          <w:rFonts w:ascii="Times New Roman" w:hAnsi="Times New Roman" w:cs="Times New Roman"/>
          <w:b/>
          <w:bCs/>
          <w:snapToGrid w:val="0"/>
          <w:color w:val="auto"/>
          <w:sz w:val="18"/>
          <w:szCs w:val="18"/>
          <w:highlight w:val="none"/>
        </w:rPr>
        <w:fldChar w:fldCharType="separate"/>
      </w:r>
      <w:r>
        <w:rPr>
          <w:rFonts w:hint="eastAsia" w:ascii="Times New Roman" w:hAnsi="Times New Roman" w:cs="Times New Roman"/>
          <w:b/>
          <w:bCs/>
          <w:snapToGrid w:val="0"/>
          <w:color w:val="auto"/>
          <w:sz w:val="18"/>
          <w:szCs w:val="18"/>
          <w:highlight w:val="none"/>
        </w:rPr>
        <w:t>2024年12月31日</w:t>
      </w:r>
      <w:r>
        <w:rPr>
          <w:rFonts w:ascii="Times New Roman" w:hAnsi="Times New Roman" w:cs="Times New Roman"/>
          <w:b/>
          <w:bCs/>
          <w:snapToGrid w:val="0"/>
          <w:color w:val="auto"/>
          <w:sz w:val="18"/>
          <w:szCs w:val="18"/>
          <w:highlight w:val="none"/>
        </w:rPr>
        <w:fldChar w:fldCharType="end"/>
      </w:r>
    </w:p>
    <w:p>
      <w:pPr>
        <w:adjustRightInd w:val="0"/>
        <w:snapToGrid w:val="0"/>
        <w:spacing w:after="120" w:afterLines="50" w:line="240" w:lineRule="auto"/>
        <w:jc w:val="center"/>
        <w:rPr>
          <w:rFonts w:ascii="Times New Roman" w:hAnsi="Times New Roman" w:cs="Times New Roman"/>
          <w:color w:val="auto"/>
          <w:kern w:val="0"/>
          <w:sz w:val="20"/>
          <w:szCs w:val="20"/>
          <w:highlight w:val="none"/>
        </w:rPr>
      </w:pPr>
      <w:r>
        <w:rPr>
          <w:rFonts w:ascii="Times New Roman" w:hAnsi="Times New Roman" w:cs="Times New Roman"/>
          <w:b/>
          <w:color w:val="auto"/>
          <w:sz w:val="18"/>
          <w:szCs w:val="18"/>
          <w:highlight w:val="none"/>
        </w:rPr>
        <w:t>（除特别注明外，</w:t>
      </w:r>
      <w:r>
        <w:rPr>
          <w:rFonts w:ascii="Times New Roman" w:hAnsi="Times New Roman" w:cs="Times New Roman"/>
          <w:b/>
          <w:bCs/>
          <w:snapToGrid w:val="0"/>
          <w:color w:val="auto"/>
          <w:sz w:val="18"/>
          <w:szCs w:val="18"/>
          <w:highlight w:val="none"/>
        </w:rPr>
        <w:t>金额单位均为人民币元</w:t>
      </w:r>
      <w:r>
        <w:rPr>
          <w:rFonts w:ascii="Times New Roman" w:hAnsi="Times New Roman" w:cs="Times New Roman"/>
          <w:b/>
          <w:color w:val="auto"/>
          <w:sz w:val="18"/>
          <w:szCs w:val="18"/>
          <w:highlight w:val="none"/>
        </w:rPr>
        <w:t>）</w:t>
      </w:r>
      <w:r>
        <w:rPr>
          <w:rFonts w:ascii="Times New Roman" w:hAnsi="Times New Roman" w:cs="Times New Roman"/>
          <w:color w:val="auto"/>
          <w:highlight w:val="none"/>
        </w:rPr>
        <w:fldChar w:fldCharType="begin"/>
      </w:r>
      <w:r>
        <w:rPr>
          <w:rFonts w:ascii="Times New Roman" w:hAnsi="Times New Roman" w:cs="Times New Roman"/>
          <w:color w:val="auto"/>
          <w:highlight w:val="none"/>
        </w:rPr>
        <w:instrText xml:space="preserve"> LINK Excel.Sheet.12 E:\\雍\\附注排版\\2014年年报格式\\附注过渡表20150130V0910.xlsx 资合并!合并负债及所有者权益 \f 4 \h \* MERGEFORMAT </w:instrText>
      </w:r>
      <w:r>
        <w:rPr>
          <w:rFonts w:ascii="Times New Roman" w:hAnsi="Times New Roman" w:cs="Times New Roman"/>
          <w:color w:val="auto"/>
          <w:highlight w:val="none"/>
        </w:rPr>
        <w:fldChar w:fldCharType="separate"/>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69"/>
        <w:gridCol w:w="1028"/>
        <w:gridCol w:w="1800"/>
        <w:gridCol w:w="16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964"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项目</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附注</w:t>
            </w:r>
          </w:p>
        </w:tc>
        <w:tc>
          <w:tcPr>
            <w:tcW w:w="1754"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期末余额</w:t>
            </w:r>
          </w:p>
        </w:tc>
        <w:tc>
          <w:tcPr>
            <w:tcW w:w="1583"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期初余额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流动负债：</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rPr>
                <w:rFonts w:ascii="Times New Roman" w:hAnsi="Times New Roman" w:cs="Times New Roman"/>
                <w:color w:val="auto"/>
                <w:sz w:val="11"/>
                <w:szCs w:val="11"/>
                <w:highlight w:val="none"/>
              </w:rPr>
            </w:pPr>
          </w:p>
        </w:tc>
        <w:tc>
          <w:tcPr>
            <w:tcW w:w="1583" w:type="dxa"/>
            <w:vAlign w:val="center"/>
          </w:tcPr>
          <w:p>
            <w:pPr>
              <w:snapToGrid w:val="0"/>
              <w:spacing w:line="160" w:lineRule="atLeas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短期借款</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八、（二十四）</w:t>
            </w: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8,301,400,836.00</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11,106,638,741.87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△向中央银行借款</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△拆入资金</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交易性金融负债</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☆以公允价值计量且其变动计入当期损益的金融负债</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衍生金融负债</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应付票据</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八、（二十五）</w:t>
            </w: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1,397,838,096.10</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271,568,840.46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应付账款</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八、（二十六）</w:t>
            </w: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5,633,788,437.83</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5,728,696,919.70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预收款项</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八、（二十七）</w:t>
            </w: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3,681,648.78</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165,142,574.64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合同负债</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八、（二十八）</w:t>
            </w: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180,332,803.24</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45,491,138.68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△卖出回购金融资产款</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△吸收存款及同业存放</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△代理买卖证券款</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△代理承销证券款</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△预收保费</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应付职工薪酬</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八、（二十九）</w:t>
            </w: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335,543,717.13</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266,137,835.06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其中：应付工资</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244,347,905.73</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151,570,933.33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应付福利费</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119,905.64</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119,905.64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#其中：职工奖励及福利基金</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应交税费</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八、（三十）</w:t>
            </w: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727,459,737.58</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813,779,058.04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其中：应交税金</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673,534,710.33</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699,559,379.32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其他应付款</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八、（三十一）</w:t>
            </w: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2,742,853,219.94</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2,297,435,956.83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其中：应付股利</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12,413,462.89</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7,408,138.55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▲应付手续费及佣金</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▲应付分保账款</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持有待售负债</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一年内到期的非流动负债</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八、（三十二）</w:t>
            </w: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6,908,418,809.60</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6,723,032,443.12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其他流动负债</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八、（三十三）</w:t>
            </w: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185,000,000.00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b/>
                <w:color w:val="auto"/>
                <w:sz w:val="11"/>
                <w:szCs w:val="11"/>
                <w:highlight w:val="none"/>
              </w:rPr>
            </w:pPr>
            <w:r>
              <w:rPr>
                <w:rFonts w:ascii="Times New Roman" w:hAnsi="Times New Roman" w:cs="Times New Roman"/>
                <w:b/>
                <w:color w:val="auto"/>
                <w:sz w:val="11"/>
                <w:szCs w:val="11"/>
                <w:highlight w:val="none"/>
              </w:rPr>
              <w:t>流动负债合计</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26,231,317,306.20</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27,602,923,508.40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非流动负债：</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rPr>
                <w:rFonts w:ascii="Times New Roman" w:hAnsi="Times New Roman" w:cs="Times New Roman"/>
                <w:color w:val="auto"/>
                <w:sz w:val="11"/>
                <w:szCs w:val="11"/>
                <w:highlight w:val="none"/>
              </w:rPr>
            </w:pPr>
          </w:p>
        </w:tc>
        <w:tc>
          <w:tcPr>
            <w:tcW w:w="1583" w:type="dxa"/>
            <w:vAlign w:val="center"/>
          </w:tcPr>
          <w:p>
            <w:pPr>
              <w:snapToGrid w:val="0"/>
              <w:spacing w:line="160" w:lineRule="atLeas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▲保险合同准备金</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长期借款</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八、（三十四）</w:t>
            </w: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28,488,713,773.26</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26,571,213,197.28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应付债券</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其中：优先股</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永续债</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△保险合同负债</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△分出再保险合同负债</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租赁负债</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八、（三十五）</w:t>
            </w: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1,340,983,020.14</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1,397,839,124.32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长期应付款</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八、（三十六）</w:t>
            </w: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2,593,204,242.10</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2,164,613,904.75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长期应付职工薪酬</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八、（三十七）</w:t>
            </w: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41,878,804.78</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15,385,092.24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预计负债</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八、（三十八）</w:t>
            </w: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59,704,138.99</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59,926,138.99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递延收益</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八、（三十九）</w:t>
            </w: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67,631,612.20</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68,838,121.30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递延所得税负债</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八、（二十二）</w:t>
            </w: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31,346,625.69</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28,901,459.94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其他非流动负债</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其中：特准储备基金</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b/>
                <w:color w:val="auto"/>
                <w:sz w:val="11"/>
                <w:szCs w:val="11"/>
                <w:highlight w:val="none"/>
              </w:rPr>
            </w:pPr>
            <w:r>
              <w:rPr>
                <w:rFonts w:ascii="Times New Roman" w:hAnsi="Times New Roman" w:cs="Times New Roman"/>
                <w:b/>
                <w:color w:val="auto"/>
                <w:sz w:val="11"/>
                <w:szCs w:val="11"/>
                <w:highlight w:val="none"/>
              </w:rPr>
              <w:t>非流动负债合计</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32,623,462,217.16</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30,306,717,038.82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b/>
                <w:color w:val="auto"/>
                <w:sz w:val="11"/>
                <w:szCs w:val="11"/>
                <w:highlight w:val="none"/>
              </w:rPr>
            </w:pPr>
            <w:r>
              <w:rPr>
                <w:rFonts w:ascii="Times New Roman" w:hAnsi="Times New Roman" w:cs="Times New Roman"/>
                <w:b/>
                <w:color w:val="auto"/>
                <w:sz w:val="11"/>
                <w:szCs w:val="11"/>
                <w:highlight w:val="none"/>
              </w:rPr>
              <w:t>负债合计</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58,854,779,523.36</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57,909,640,547.22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所有者权益（或股东权益）：</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rPr>
                <w:rFonts w:ascii="Times New Roman" w:hAnsi="Times New Roman" w:cs="Times New Roman"/>
                <w:color w:val="auto"/>
                <w:sz w:val="11"/>
                <w:szCs w:val="11"/>
                <w:highlight w:val="none"/>
              </w:rPr>
            </w:pPr>
          </w:p>
        </w:tc>
        <w:tc>
          <w:tcPr>
            <w:tcW w:w="1583" w:type="dxa"/>
            <w:vAlign w:val="center"/>
          </w:tcPr>
          <w:p>
            <w:pPr>
              <w:snapToGrid w:val="0"/>
              <w:spacing w:line="160" w:lineRule="atLeas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实收资本（或股本）</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八、（四十）</w:t>
            </w: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4,692,315,400.00</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5,892,315,400.00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国家资本</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国有法人资本</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4,376,227,400.00</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5,576,227,400.00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集体资本</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民营资本</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316,088,000.00</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316,088,000.00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外商资本</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#减：已归还投资</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实收资本（或股本）净额</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4,692,315,400.00</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5,892,315,400.00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其他权益工具</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八、（四十一）</w:t>
            </w: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19,318,660,000.00</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18,318,660,000.00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其中：优先股</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永续债</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19,318,660,000.00</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18,318,660,000.00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资本公积</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八、（四十二）</w:t>
            </w: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1,545,201,426.54</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411,548,322.64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减：库存股</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其他综合收益</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325,925,220.87</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301,720,895.47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其中：外币报表折算差额</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专项储备</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八、（四十三）</w:t>
            </w: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13,388,111.97</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26,288,187.65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盈余公积</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八、（四十四）</w:t>
            </w: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466,989,510.71</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466,989,510.71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其中：法定公积金</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466,989,510.71</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466,989,510.71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任意公积金</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#储备基金</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#企业发展基金</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#利润归还投资</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△一般风险准备</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未分配利润</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八、（四十五）</w:t>
            </w: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-27,099,250,489.96</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-25,806,459,189.66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归属于母公司所有者权益（或股东权益）合计</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-736,770,819.87</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-388,936,873.19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少数股东权益</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15,874,866,757.66</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13,183,531,037.20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b/>
                <w:color w:val="auto"/>
                <w:sz w:val="11"/>
                <w:szCs w:val="11"/>
                <w:highlight w:val="none"/>
              </w:rPr>
            </w:pPr>
            <w:r>
              <w:rPr>
                <w:rFonts w:ascii="Times New Roman" w:hAnsi="Times New Roman" w:cs="Times New Roman"/>
                <w:b/>
                <w:color w:val="auto"/>
                <w:sz w:val="11"/>
                <w:szCs w:val="11"/>
                <w:highlight w:val="none"/>
              </w:rPr>
              <w:t>所有者权益（或股东权益）合计</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15,138,095,937.79</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12,794,594,164.01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vAlign w:val="center"/>
          </w:tcPr>
          <w:p>
            <w:pPr>
              <w:snapToGrid w:val="0"/>
              <w:spacing w:line="160" w:lineRule="atLeast"/>
              <w:rPr>
                <w:rFonts w:ascii="Times New Roman" w:hAnsi="Times New Roman" w:cs="Times New Roman"/>
                <w:b/>
                <w:color w:val="auto"/>
                <w:sz w:val="11"/>
                <w:szCs w:val="11"/>
                <w:highlight w:val="none"/>
              </w:rPr>
            </w:pPr>
            <w:r>
              <w:rPr>
                <w:rFonts w:ascii="Times New Roman" w:hAnsi="Times New Roman" w:cs="Times New Roman"/>
                <w:b/>
                <w:color w:val="auto"/>
                <w:sz w:val="11"/>
                <w:szCs w:val="11"/>
                <w:highlight w:val="none"/>
              </w:rPr>
              <w:t>负债和所有者权益（或股东权益）总计</w:t>
            </w:r>
          </w:p>
        </w:tc>
        <w:tc>
          <w:tcPr>
            <w:tcW w:w="1002" w:type="dxa"/>
            <w:vAlign w:val="center"/>
          </w:tcPr>
          <w:p>
            <w:pPr>
              <w:snapToGrid w:val="0"/>
              <w:spacing w:line="160" w:lineRule="atLeast"/>
              <w:jc w:val="center"/>
              <w:rPr>
                <w:rFonts w:ascii="Times New Roman" w:hAnsi="Times New Roman" w:cs="Times New Roman"/>
                <w:color w:val="auto"/>
                <w:sz w:val="11"/>
                <w:szCs w:val="11"/>
                <w:highlight w:val="none"/>
              </w:rPr>
            </w:pPr>
          </w:p>
        </w:tc>
        <w:tc>
          <w:tcPr>
            <w:tcW w:w="1754"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73,992,875,461.15</w:t>
            </w:r>
          </w:p>
        </w:tc>
        <w:tc>
          <w:tcPr>
            <w:tcW w:w="1583" w:type="dxa"/>
            <w:vAlign w:val="center"/>
          </w:tcPr>
          <w:p>
            <w:pPr>
              <w:snapToGrid w:val="0"/>
              <w:spacing w:line="16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70,704,234,711.23</w:t>
            </w:r>
          </w:p>
        </w:tc>
      </w:tr>
    </w:tbl>
    <w:p>
      <w:pPr>
        <w:pStyle w:val="6"/>
        <w:spacing w:before="120"/>
        <w:ind w:left="0"/>
        <w:jc w:val="left"/>
        <w:outlineLvl w:val="0"/>
        <w:rPr>
          <w:rFonts w:hint="eastAsia" w:cs="宋体"/>
          <w:color w:val="auto"/>
          <w:sz w:val="21"/>
          <w:szCs w:val="21"/>
          <w:highlight w:val="none"/>
          <w:lang w:eastAsia="zh-CN"/>
        </w:rPr>
      </w:pPr>
      <w:r>
        <w:rPr>
          <w:rFonts w:ascii="Times New Roman" w:hAnsi="Times New Roman" w:cs="Times New Roman"/>
          <w:color w:val="auto"/>
          <w:highlight w:val="none"/>
        </w:rPr>
        <w:fldChar w:fldCharType="end"/>
      </w:r>
      <w:r>
        <w:rPr>
          <w:rFonts w:ascii="Times New Roman" w:hAnsi="Times New Roman" w:cs="Times New Roman"/>
          <w:color w:val="auto"/>
          <w:sz w:val="15"/>
          <w:szCs w:val="15"/>
          <w:highlight w:val="none"/>
        </w:rPr>
        <w:t>企业法定代表人：             主管会计工作负责人：             会计机构负责人：</w:t>
      </w:r>
    </w:p>
    <w:p>
      <w:pPr>
        <w:pStyle w:val="6"/>
        <w:spacing w:before="120"/>
        <w:ind w:left="0"/>
        <w:outlineLvl w:val="0"/>
        <w:rPr>
          <w:rFonts w:hint="eastAsia" w:cs="宋体"/>
          <w:b/>
          <w:bCs/>
          <w:color w:val="auto"/>
          <w:highlight w:val="none"/>
          <w:lang w:eastAsia="zh-CN"/>
        </w:rPr>
      </w:pPr>
    </w:p>
    <w:p>
      <w:pPr>
        <w:pStyle w:val="6"/>
        <w:spacing w:before="120"/>
        <w:ind w:left="0"/>
        <w:outlineLvl w:val="0"/>
        <w:rPr>
          <w:rFonts w:hint="eastAsia" w:cs="宋体"/>
          <w:b/>
          <w:bCs/>
          <w:color w:val="auto"/>
          <w:highlight w:val="none"/>
          <w:lang w:eastAsia="zh-CN"/>
        </w:rPr>
      </w:pPr>
      <w:r>
        <w:rPr>
          <w:rFonts w:hint="eastAsia" w:cs="宋体"/>
          <w:b/>
          <w:bCs/>
          <w:color w:val="auto"/>
          <w:highlight w:val="none"/>
          <w:lang w:eastAsia="zh-CN"/>
        </w:rPr>
        <w:t>合并利润表</w:t>
      </w:r>
    </w:p>
    <w:p>
      <w:pPr>
        <w:adjustRightInd w:val="0"/>
        <w:snapToGrid w:val="0"/>
        <w:spacing w:line="240" w:lineRule="auto"/>
        <w:jc w:val="center"/>
        <w:rPr>
          <w:rFonts w:ascii="Times New Roman" w:hAnsi="Times New Roman" w:cs="Times New Roman"/>
          <w:b/>
          <w:color w:val="auto"/>
          <w:sz w:val="18"/>
          <w:szCs w:val="18"/>
          <w:highlight w:val="none"/>
        </w:rPr>
      </w:pPr>
      <w:r>
        <w:rPr>
          <w:rFonts w:ascii="Times New Roman" w:hAnsi="Times New Roman" w:cs="Times New Roman"/>
          <w:b/>
          <w:color w:val="auto"/>
          <w:sz w:val="18"/>
          <w:szCs w:val="18"/>
          <w:highlight w:val="none"/>
        </w:rPr>
        <w:fldChar w:fldCharType="begin"/>
      </w:r>
      <w:r>
        <w:rPr>
          <w:rFonts w:ascii="Times New Roman" w:hAnsi="Times New Roman" w:cs="Times New Roman"/>
          <w:b/>
          <w:color w:val="auto"/>
          <w:sz w:val="18"/>
          <w:szCs w:val="18"/>
          <w:highlight w:val="none"/>
        </w:rPr>
        <w:instrText xml:space="preserve"> DOCVARIABLE  基本信息_企业名称  \* MERGEFORMAT </w:instrText>
      </w:r>
      <w:r>
        <w:rPr>
          <w:rFonts w:ascii="Times New Roman" w:hAnsi="Times New Roman" w:cs="Times New Roman"/>
          <w:b/>
          <w:color w:val="auto"/>
          <w:sz w:val="18"/>
          <w:szCs w:val="18"/>
          <w:highlight w:val="none"/>
        </w:rPr>
        <w:fldChar w:fldCharType="separate"/>
      </w:r>
      <w:r>
        <w:rPr>
          <w:rFonts w:hint="eastAsia" w:ascii="Times New Roman" w:hAnsi="Times New Roman" w:cs="Times New Roman"/>
          <w:b/>
          <w:color w:val="auto"/>
          <w:sz w:val="18"/>
          <w:szCs w:val="18"/>
          <w:highlight w:val="none"/>
        </w:rPr>
        <w:t>国家电投集团贵州金元股份有限公司</w:t>
      </w:r>
      <w:r>
        <w:rPr>
          <w:rFonts w:ascii="Times New Roman" w:hAnsi="Times New Roman" w:cs="Times New Roman"/>
          <w:b/>
          <w:color w:val="auto"/>
          <w:sz w:val="18"/>
          <w:szCs w:val="18"/>
          <w:highlight w:val="none"/>
        </w:rPr>
        <w:fldChar w:fldCharType="end"/>
      </w:r>
    </w:p>
    <w:p>
      <w:pPr>
        <w:adjustRightInd w:val="0"/>
        <w:snapToGrid w:val="0"/>
        <w:spacing w:line="240" w:lineRule="auto"/>
        <w:jc w:val="center"/>
        <w:outlineLvl w:val="0"/>
        <w:rPr>
          <w:rFonts w:ascii="Times New Roman" w:hAnsi="Times New Roman" w:cs="Times New Roman"/>
          <w:b/>
          <w:color w:val="auto"/>
          <w:sz w:val="18"/>
          <w:szCs w:val="18"/>
          <w:highlight w:val="none"/>
        </w:rPr>
      </w:pPr>
      <w:r>
        <w:rPr>
          <w:rFonts w:hint="eastAsia" w:ascii="Times New Roman" w:hAnsi="Times New Roman" w:cs="Times New Roman"/>
          <w:b/>
          <w:color w:val="auto"/>
          <w:sz w:val="18"/>
          <w:szCs w:val="18"/>
          <w:highlight w:val="none"/>
        </w:rPr>
        <w:t>合并</w:t>
      </w:r>
      <w:r>
        <w:rPr>
          <w:rFonts w:ascii="Times New Roman" w:hAnsi="Times New Roman" w:cs="Times New Roman"/>
          <w:b/>
          <w:color w:val="auto"/>
          <w:sz w:val="18"/>
          <w:szCs w:val="18"/>
          <w:highlight w:val="none"/>
        </w:rPr>
        <w:t>利润表</w:t>
      </w:r>
    </w:p>
    <w:p>
      <w:pPr>
        <w:adjustRightInd w:val="0"/>
        <w:snapToGrid w:val="0"/>
        <w:spacing w:line="240" w:lineRule="auto"/>
        <w:jc w:val="center"/>
        <w:rPr>
          <w:rFonts w:ascii="Times New Roman" w:hAnsi="Times New Roman" w:cs="Times New Roman"/>
          <w:b/>
          <w:color w:val="auto"/>
          <w:sz w:val="18"/>
          <w:szCs w:val="18"/>
          <w:highlight w:val="none"/>
        </w:rPr>
      </w:pPr>
      <w:r>
        <w:rPr>
          <w:rFonts w:ascii="Times New Roman" w:hAnsi="Times New Roman" w:cs="Times New Roman"/>
          <w:b/>
          <w:color w:val="auto"/>
          <w:sz w:val="18"/>
          <w:szCs w:val="18"/>
          <w:highlight w:val="none"/>
        </w:rPr>
        <w:fldChar w:fldCharType="begin"/>
      </w:r>
      <w:r>
        <w:rPr>
          <w:rFonts w:ascii="Times New Roman" w:hAnsi="Times New Roman" w:cs="Times New Roman"/>
          <w:b/>
          <w:color w:val="auto"/>
          <w:sz w:val="18"/>
          <w:szCs w:val="18"/>
          <w:highlight w:val="none"/>
        </w:rPr>
        <w:instrText xml:space="preserve"> DOCVARIABLE  基本信息_项目年度  \* MERGEFORMAT </w:instrText>
      </w:r>
      <w:r>
        <w:rPr>
          <w:rFonts w:ascii="Times New Roman" w:hAnsi="Times New Roman" w:cs="Times New Roman"/>
          <w:b/>
          <w:color w:val="auto"/>
          <w:sz w:val="18"/>
          <w:szCs w:val="18"/>
          <w:highlight w:val="none"/>
        </w:rPr>
        <w:fldChar w:fldCharType="separate"/>
      </w:r>
      <w:r>
        <w:rPr>
          <w:rFonts w:hint="eastAsia" w:ascii="Times New Roman" w:hAnsi="Times New Roman" w:cs="Times New Roman"/>
          <w:b/>
          <w:color w:val="auto"/>
          <w:sz w:val="18"/>
          <w:szCs w:val="18"/>
          <w:highlight w:val="none"/>
        </w:rPr>
        <w:t>2024年度</w:t>
      </w:r>
      <w:r>
        <w:rPr>
          <w:rFonts w:ascii="Times New Roman" w:hAnsi="Times New Roman" w:cs="Times New Roman"/>
          <w:b/>
          <w:color w:val="auto"/>
          <w:sz w:val="18"/>
          <w:szCs w:val="18"/>
          <w:highlight w:val="none"/>
        </w:rPr>
        <w:fldChar w:fldCharType="end"/>
      </w:r>
    </w:p>
    <w:p>
      <w:pPr>
        <w:adjustRightInd w:val="0"/>
        <w:snapToGrid w:val="0"/>
        <w:spacing w:after="120" w:afterLines="50" w:line="240" w:lineRule="auto"/>
        <w:jc w:val="center"/>
        <w:rPr>
          <w:rFonts w:ascii="Times New Roman" w:hAnsi="Times New Roman" w:cs="Times New Roman"/>
          <w:b/>
          <w:color w:val="auto"/>
          <w:highlight w:val="none"/>
        </w:rPr>
      </w:pPr>
      <w:r>
        <w:rPr>
          <w:rFonts w:ascii="Times New Roman" w:hAnsi="Times New Roman" w:cs="Times New Roman"/>
          <w:b/>
          <w:color w:val="auto"/>
          <w:sz w:val="18"/>
          <w:szCs w:val="18"/>
          <w:highlight w:val="none"/>
        </w:rPr>
        <w:t>（除特别注明外，金额单位均为人民币元）</w:t>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87"/>
        <w:gridCol w:w="986"/>
        <w:gridCol w:w="1724"/>
        <w:gridCol w:w="17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982" w:type="dxa"/>
            <w:vAlign w:val="center"/>
          </w:tcPr>
          <w:p>
            <w:pPr>
              <w:snapToGrid w:val="0"/>
              <w:spacing w:line="8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项目</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附注</w:t>
            </w:r>
          </w:p>
        </w:tc>
        <w:tc>
          <w:tcPr>
            <w:tcW w:w="1680" w:type="dxa"/>
            <w:vAlign w:val="center"/>
          </w:tcPr>
          <w:p>
            <w:pPr>
              <w:snapToGrid w:val="0"/>
              <w:spacing w:line="8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本期金额</w:t>
            </w:r>
          </w:p>
        </w:tc>
        <w:tc>
          <w:tcPr>
            <w:tcW w:w="1680" w:type="dxa"/>
            <w:vAlign w:val="center"/>
          </w:tcPr>
          <w:p>
            <w:pPr>
              <w:snapToGrid w:val="0"/>
              <w:spacing w:line="8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上期金额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b/>
                <w:color w:val="auto"/>
                <w:sz w:val="11"/>
                <w:szCs w:val="11"/>
                <w:highlight w:val="none"/>
              </w:rPr>
            </w:pPr>
            <w:r>
              <w:rPr>
                <w:rFonts w:ascii="Times New Roman" w:hAnsi="Times New Roman" w:cs="Times New Roman"/>
                <w:b/>
                <w:color w:val="auto"/>
                <w:sz w:val="11"/>
                <w:szCs w:val="11"/>
                <w:highlight w:val="none"/>
              </w:rPr>
              <w:t>一、营业总收入</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16,321,005,879.66</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17,221,240,926.74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其中：营业收入</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八、（四十六）</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16,321,005,879.66</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17,221,240,926.74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△利息收入</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△保险服务收入</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▲已赚保费</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△手续费及佣金收入</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b/>
                <w:color w:val="auto"/>
                <w:sz w:val="11"/>
                <w:szCs w:val="11"/>
                <w:highlight w:val="none"/>
              </w:rPr>
            </w:pPr>
            <w:r>
              <w:rPr>
                <w:rFonts w:ascii="Times New Roman" w:hAnsi="Times New Roman" w:cs="Times New Roman"/>
                <w:b/>
                <w:color w:val="auto"/>
                <w:sz w:val="11"/>
                <w:szCs w:val="11"/>
                <w:highlight w:val="none"/>
              </w:rPr>
              <w:t>二、营业总成本</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17,406,757,119.62</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17,537,803,323.95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其中：营业成本</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八、（四十六）</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14,784,571,562.56</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14,514,214,513.67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△利息支出</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△手续费及佣金支出</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△保险服务费用</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△分出保费的分摊</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△减：摊回保险服务费用</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△承保财务损失</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△减：分出再保险财务收益</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▲退保金</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▲赔付支出净额</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▲提取保险责任准备金净额</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▲保单红利支出</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▲分保费用</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税金及附加</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212,115,930.00</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210,238,598.31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销售费用</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八、（四十七）</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94,656,503.60</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128,454,513.79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管理费用</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八、（四十七）</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650,624,212.18</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703,880,076.46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研发费用</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八、（四十七）</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129,579,443.34</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285,646,093.45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财务费用</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八、（四十七）</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1,535,209,467.94</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1,695,369,528.27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其中：利息费用</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1,555,891,589.30</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1,661,311,374.51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利息收入</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66,264,900.15</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53,867,012.53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汇兑净损失（净收益以“-”号填列）</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其他</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加：其他收益</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八、（四十八）</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86,415,816.01</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246,081,713.17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投资收益（损失以“-”号填列）</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八、（四十九）</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1,813,604,233.62</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657,804,783.43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其中：对联营企业和合营企业的投资收益</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44,407,853.19</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151,635,581.26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以摊余成本计量的金融资产终止确认收益</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△汇兑收益（损失以“-”号填列）</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净敞口套期收益（损失以“-”号填列）</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公允价值变动收益（损失以“-”号填列）</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八、（五十）</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-24,724,161.36</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-16,471,236.91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信用减值损失（损失以“-”号填列）</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八、（五十一）</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-12,183,109.32</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1,163,625,490.25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资产减值损失（损失以“-”号填列）</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八、（五十二）</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-502,902,323.36</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-3,498,021,961.79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资产处置收益（损失以“-”号填列）</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八、（五十三）</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130,879,954.49</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161,133,607.26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b/>
                <w:color w:val="auto"/>
                <w:sz w:val="11"/>
                <w:szCs w:val="11"/>
                <w:highlight w:val="none"/>
              </w:rPr>
            </w:pPr>
            <w:r>
              <w:rPr>
                <w:rFonts w:ascii="Times New Roman" w:hAnsi="Times New Roman" w:cs="Times New Roman"/>
                <w:b/>
                <w:color w:val="auto"/>
                <w:sz w:val="11"/>
                <w:szCs w:val="11"/>
                <w:highlight w:val="none"/>
              </w:rPr>
              <w:t>三、营业利润（亏损以“-”号填列）</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405,339,170.12</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-1,602,410,001.80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加：营业外收入</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八、（五十四）</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55,977,443.16</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24,054,067.13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其中：政府补助</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325,473.00</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200,900.00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减：营业外支出</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八、（五十五）</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251,642,589.40</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140,086,772.31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b/>
                <w:color w:val="auto"/>
                <w:sz w:val="11"/>
                <w:szCs w:val="11"/>
                <w:highlight w:val="none"/>
              </w:rPr>
            </w:pPr>
            <w:r>
              <w:rPr>
                <w:rFonts w:ascii="Times New Roman" w:hAnsi="Times New Roman" w:cs="Times New Roman"/>
                <w:b/>
                <w:color w:val="auto"/>
                <w:sz w:val="11"/>
                <w:szCs w:val="11"/>
                <w:highlight w:val="none"/>
              </w:rPr>
              <w:t>四、利润总额（亏损总额以“-”号填列）</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209,674,023.88</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-1,718,442,706.98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减：所得税费用</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八、（五十六）</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139,575,045.74</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176,257,241.84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b/>
                <w:color w:val="auto"/>
                <w:sz w:val="11"/>
                <w:szCs w:val="11"/>
                <w:highlight w:val="none"/>
              </w:rPr>
            </w:pPr>
            <w:r>
              <w:rPr>
                <w:rFonts w:ascii="Times New Roman" w:hAnsi="Times New Roman" w:cs="Times New Roman"/>
                <w:b/>
                <w:color w:val="auto"/>
                <w:sz w:val="11"/>
                <w:szCs w:val="11"/>
                <w:highlight w:val="none"/>
              </w:rPr>
              <w:t>五、净利润（净亏损以“-”号填列）</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70,098,978.14</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-1,894,699,948.82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（一）按所有权归属分类：</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rPr>
                <w:rFonts w:ascii="Times New Roman" w:hAnsi="Times New Roman" w:cs="Times New Roman"/>
                <w:color w:val="auto"/>
                <w:sz w:val="11"/>
                <w:szCs w:val="11"/>
                <w:highlight w:val="none"/>
              </w:rPr>
            </w:pPr>
          </w:p>
        </w:tc>
        <w:tc>
          <w:tcPr>
            <w:tcW w:w="1680" w:type="dxa"/>
            <w:vAlign w:val="center"/>
          </w:tcPr>
          <w:p>
            <w:pPr>
              <w:snapToGrid w:val="0"/>
              <w:spacing w:line="80" w:lineRule="atLeas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归属于母公司所有者的净利润</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-543,673,983.84</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-2,591,168,934.88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少数股东损益</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613,772,961.98</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696,468,986.06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（二）按经营持续性分类：</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rPr>
                <w:rFonts w:ascii="Times New Roman" w:hAnsi="Times New Roman" w:cs="Times New Roman"/>
                <w:color w:val="auto"/>
                <w:sz w:val="11"/>
                <w:szCs w:val="11"/>
                <w:highlight w:val="none"/>
              </w:rPr>
            </w:pPr>
          </w:p>
        </w:tc>
        <w:tc>
          <w:tcPr>
            <w:tcW w:w="1680" w:type="dxa"/>
            <w:vAlign w:val="center"/>
          </w:tcPr>
          <w:p>
            <w:pPr>
              <w:snapToGrid w:val="0"/>
              <w:spacing w:line="80" w:lineRule="atLeas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持续经营净利润</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70,098,978.14</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-1,894,699,948.82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终止经营净利润</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b/>
                <w:color w:val="auto"/>
                <w:sz w:val="11"/>
                <w:szCs w:val="11"/>
                <w:highlight w:val="none"/>
              </w:rPr>
            </w:pPr>
            <w:r>
              <w:rPr>
                <w:rFonts w:ascii="Times New Roman" w:hAnsi="Times New Roman" w:cs="Times New Roman"/>
                <w:b/>
                <w:color w:val="auto"/>
                <w:sz w:val="11"/>
                <w:szCs w:val="11"/>
                <w:highlight w:val="none"/>
              </w:rPr>
              <w:t>六、其他综合收益的税后净额</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24,204,325.40</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40,849,935.68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归属于母公司所有者的其他综合收益的税后净额</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八、（五十七）</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24,204,325.40</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40,849,935.68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（一）不能重分类进损益的其他综合收益</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24,204,325.40</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40,849,935.68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1．重新计量设定受益计划变动额</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2．权益法下不能转损益的其他综合收益</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3．其他权益工具投资公允价值变动</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24,204,325.40</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40,849,935.68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4．企业自身信用风险公允价值变动</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△5．不能转损益的保险合同金融变动</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6．其他</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（二）将重分类进损益的其他综合收益</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1．权益法下可转损益的其他综合收益</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2．其他债权投资公允价值变动</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☆3．可供出售金融资产公允价值变动损益</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4．金融资产重分类计入其他综合收益的金额</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☆5．持有至到期投资重分类为可供出售金融资产损益</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6．其他债权投资信用减值准备</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7．现金流量套期储备（现金流量套期损益的有效部分）</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8．外币财务报表折算差额</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△9．可转损益的保险合同金融变动</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△10．可转损益的分出再保险合同金融变动</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11．其他</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归属于少数股东的其他综合收益的税后净额</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b/>
                <w:color w:val="auto"/>
                <w:sz w:val="11"/>
                <w:szCs w:val="11"/>
                <w:highlight w:val="none"/>
              </w:rPr>
            </w:pPr>
            <w:r>
              <w:rPr>
                <w:rFonts w:ascii="Times New Roman" w:hAnsi="Times New Roman" w:cs="Times New Roman"/>
                <w:b/>
                <w:color w:val="auto"/>
                <w:sz w:val="11"/>
                <w:szCs w:val="11"/>
                <w:highlight w:val="none"/>
              </w:rPr>
              <w:t>七、综合收益总额</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94,303,303.54</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-1,853,850,013.14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归属于母公司所有者的综合收益总额</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-519,469,658.44</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-2,550,318,999.20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归属于少数股东的综合收益总额</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613,772,961.98</w:t>
            </w: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696,468,986.06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b/>
                <w:color w:val="auto"/>
                <w:sz w:val="11"/>
                <w:szCs w:val="11"/>
                <w:highlight w:val="none"/>
              </w:rPr>
            </w:pPr>
            <w:r>
              <w:rPr>
                <w:rFonts w:ascii="Times New Roman" w:hAnsi="Times New Roman" w:cs="Times New Roman"/>
                <w:b/>
                <w:color w:val="auto"/>
                <w:sz w:val="11"/>
                <w:szCs w:val="11"/>
                <w:highlight w:val="none"/>
              </w:rPr>
              <w:t>八、每股收益：</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基本每股收益</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2" w:type="dxa"/>
            <w:vAlign w:val="center"/>
          </w:tcPr>
          <w:p>
            <w:pPr>
              <w:snapToGrid w:val="0"/>
              <w:spacing w:line="80" w:lineRule="atLeast"/>
              <w:rPr>
                <w:rFonts w:ascii="Times New Roman" w:hAnsi="Times New Roman" w:cs="Times New Roman"/>
                <w:color w:val="auto"/>
                <w:sz w:val="11"/>
                <w:szCs w:val="11"/>
                <w:highlight w:val="none"/>
              </w:rPr>
            </w:pPr>
            <w:r>
              <w:rPr>
                <w:rFonts w:ascii="Times New Roman" w:hAnsi="Times New Roman" w:cs="Times New Roman"/>
                <w:color w:val="auto"/>
                <w:sz w:val="11"/>
                <w:szCs w:val="11"/>
                <w:highlight w:val="none"/>
              </w:rPr>
              <w:t xml:space="preserve">    稀释每股收益</w:t>
            </w:r>
          </w:p>
        </w:tc>
        <w:tc>
          <w:tcPr>
            <w:tcW w:w="961" w:type="dxa"/>
            <w:vAlign w:val="center"/>
          </w:tcPr>
          <w:p>
            <w:pPr>
              <w:snapToGrid w:val="0"/>
              <w:spacing w:line="80" w:lineRule="atLeast"/>
              <w:jc w:val="center"/>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c>
          <w:tcPr>
            <w:tcW w:w="1680" w:type="dxa"/>
            <w:vAlign w:val="center"/>
          </w:tcPr>
          <w:p>
            <w:pPr>
              <w:snapToGrid w:val="0"/>
              <w:spacing w:line="80" w:lineRule="atLeast"/>
              <w:jc w:val="right"/>
              <w:rPr>
                <w:rFonts w:ascii="Times New Roman" w:hAnsi="Times New Roman" w:cs="Times New Roman"/>
                <w:color w:val="auto"/>
                <w:sz w:val="11"/>
                <w:szCs w:val="11"/>
                <w:highlight w:val="none"/>
              </w:rPr>
            </w:pPr>
          </w:p>
        </w:tc>
      </w:tr>
    </w:tbl>
    <w:p>
      <w:pPr>
        <w:rPr>
          <w:color w:val="auto"/>
          <w:highlight w:val="none"/>
        </w:rPr>
      </w:pPr>
    </w:p>
    <w:p>
      <w:pPr>
        <w:rPr>
          <w:color w:val="auto"/>
          <w:highlight w:val="none"/>
        </w:rPr>
      </w:pPr>
    </w:p>
    <w:p>
      <w:pPr>
        <w:pStyle w:val="21"/>
        <w:ind w:left="0" w:leftChars="0" w:firstLine="0" w:firstLineChars="0"/>
        <w:rPr>
          <w:rFonts w:hint="eastAsia"/>
          <w:lang w:val="en-US" w:eastAsia="zh-CN"/>
        </w:rPr>
      </w:pPr>
    </w:p>
    <w:sectPr>
      <w:headerReference r:id="rId32" w:type="default"/>
      <w:footerReference r:id="rId3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方正书宋_GBK">
    <w:altName w:val="微软雅黑"/>
    <w:panose1 w:val="02000000000000000000"/>
    <w:charset w:val="86"/>
    <w:family w:val="auto"/>
    <w:pitch w:val="default"/>
    <w:sig w:usb0="00000000" w:usb1="00000000" w:usb2="00082016" w:usb3="00000000" w:csb0="00040001" w:csb1="00000000"/>
  </w:font>
  <w:font w:name="汉仪书宋二KW">
    <w:altName w:val="宋体"/>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汉仪中等线简">
    <w:altName w:val="黑体"/>
    <w:panose1 w:val="00000000000000000000"/>
    <w:charset w:val="86"/>
    <w:family w:val="modern"/>
    <w:pitch w:val="default"/>
    <w:sig w:usb0="00000000" w:usb1="00000000" w:usb2="00000012"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Segoe UI Emoji">
    <w:panose1 w:val="020B0502040204020203"/>
    <w:charset w:val="00"/>
    <w:family w:val="swiss"/>
    <w:pitch w:val="default"/>
    <w:sig w:usb0="00000001" w:usb1="02000000" w:usb2="00000000" w:usb3="00000000" w:csb0="00000001" w:csb1="00000000"/>
  </w:font>
  <w:font w:name="MingLiU">
    <w:altName w:val="PMingLiU-ExtB"/>
    <w:panose1 w:val="02020509000000000000"/>
    <w:charset w:val="88"/>
    <w:family w:val="modern"/>
    <w:pitch w:val="default"/>
    <w:sig w:usb0="00000000" w:usb1="0000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rFonts w:hint="eastAsia" w:eastAsia="宋体"/>
        <w:lang w:val="en-US" w:eastAsia="zh-CN"/>
      </w:rPr>
    </w:pPr>
    <w:r>
      <w:rPr>
        <w:rFonts w:hint="default"/>
        <w:sz w:val="18"/>
        <w:lang w:val="en-US"/>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rFonts w:hint="eastAsia" w:eastAsia="宋体"/>
        <w:lang w:val="en-US" w:eastAsia="zh-CN"/>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rFonts w:hint="eastAsia" w:eastAsia="宋体"/>
        <w:lang w:val="en-US" w:eastAsia="zh-CN"/>
      </w:rPr>
    </w:pPr>
    <w:r>
      <w:rPr>
        <w:rFonts w:hint="eastAsia"/>
        <w:sz w:val="18"/>
        <w:lang w:val="en-US" w:eastAsia="zh-CN"/>
      </w:rPr>
      <w:t>1</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rFonts w:hint="default" w:eastAsia="宋体"/>
        <w:lang w:val="en-US" w:eastAsia="zh-CN"/>
      </w:rPr>
    </w:pPr>
    <w:r>
      <w:rPr>
        <w:rFonts w:hint="eastAsia"/>
        <w:sz w:val="18"/>
        <w:lang w:val="en-US" w:eastAsia="zh-CN"/>
      </w:rPr>
      <w:t>3</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rFonts w:hint="default" w:eastAsia="宋体"/>
        <w:lang w:val="en-US" w:eastAsia="zh-CN"/>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rPr>
        <w:rFonts w:asci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221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yiAg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ryiAgzAgAAYwQAAA4AAAAAAAAAAQAgAAAAHwEAAGRycy9lMm9Eb2MueG1sUEsF&#10;BgAAAAAGAAYAWQEAAMQ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221</w:t>
                    </w:r>
                    <w:r>
                      <w:fldChar w:fldCharType="end"/>
                    </w:r>
                  </w:p>
                </w:txbxContent>
              </v:textbox>
            </v:shape>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default" w:eastAsia="宋体"/>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pPr>
                      <w:pStyle w:val="12"/>
                      <w:rPr>
                        <w:rFonts w:hint="default" w:eastAsia="宋体"/>
                        <w:lang w:val="en-US" w:eastAsia="zh-CN"/>
                      </w:rPr>
                    </w:pPr>
                  </w:p>
                </w:txbxContent>
              </v:textbox>
            </v:shape>
          </w:pict>
        </mc:Fallback>
      </mc:AlternateContent>
    </w:r>
  </w:p>
  <w:p>
    <w:pPr>
      <w:pStyle w:val="12"/>
      <w:rPr>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5"/>
        <w:sz w:val="17"/>
        <w:szCs w:val="17"/>
      </w:rPr>
    </w:pPr>
    <w:r>
      <w:rPr>
        <w:rStyle w:val="25"/>
        <w:sz w:val="17"/>
        <w:szCs w:val="17"/>
      </w:rPr>
      <w:fldChar w:fldCharType="begin"/>
    </w:r>
    <w:r>
      <w:rPr>
        <w:rStyle w:val="25"/>
        <w:sz w:val="17"/>
        <w:szCs w:val="17"/>
      </w:rPr>
      <w:instrText xml:space="preserve">PAGE  </w:instrText>
    </w:r>
    <w:r>
      <w:rPr>
        <w:rStyle w:val="25"/>
        <w:sz w:val="17"/>
        <w:szCs w:val="17"/>
      </w:rPr>
      <w:fldChar w:fldCharType="separate"/>
    </w:r>
    <w:r>
      <w:rPr>
        <w:rStyle w:val="25"/>
        <w:sz w:val="17"/>
        <w:szCs w:val="17"/>
      </w:rPr>
      <w:t>14</w:t>
    </w:r>
    <w:r>
      <w:rPr>
        <w:rStyle w:val="25"/>
        <w:sz w:val="17"/>
        <w:szCs w:val="17"/>
      </w:rPr>
      <w:fldChar w:fldCharType="end"/>
    </w:r>
  </w:p>
  <w:p>
    <w:pPr>
      <w:pStyle w:val="12"/>
      <w:rPr>
        <w:sz w:val="17"/>
        <w:szCs w:val="17"/>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rFonts w:hint="default" w:eastAsia="宋体"/>
        <w:lang w:val="en-US"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5"/>
        <w:sz w:val="17"/>
        <w:szCs w:val="17"/>
      </w:rPr>
    </w:pPr>
    <w:r>
      <w:rPr>
        <w:rStyle w:val="25"/>
        <w:sz w:val="17"/>
        <w:szCs w:val="17"/>
      </w:rPr>
      <w:fldChar w:fldCharType="begin"/>
    </w:r>
    <w:r>
      <w:rPr>
        <w:rStyle w:val="25"/>
        <w:sz w:val="17"/>
        <w:szCs w:val="17"/>
      </w:rPr>
      <w:instrText xml:space="preserve">PAGE  </w:instrText>
    </w:r>
    <w:r>
      <w:rPr>
        <w:rStyle w:val="25"/>
        <w:sz w:val="17"/>
        <w:szCs w:val="17"/>
      </w:rPr>
      <w:fldChar w:fldCharType="separate"/>
    </w:r>
    <w:r>
      <w:rPr>
        <w:rStyle w:val="25"/>
        <w:sz w:val="17"/>
        <w:szCs w:val="17"/>
      </w:rPr>
      <w:t>14</w:t>
    </w:r>
    <w:r>
      <w:rPr>
        <w:rStyle w:val="25"/>
        <w:sz w:val="17"/>
        <w:szCs w:val="17"/>
      </w:rPr>
      <w:fldChar w:fldCharType="end"/>
    </w:r>
  </w:p>
  <w:p>
    <w:pPr>
      <w:pStyle w:val="12"/>
      <w:rPr>
        <w:sz w:val="17"/>
        <w:szCs w:val="17"/>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rFonts w:hint="eastAsia"/>
      </w:rPr>
      <w:t>报表 第</w:t>
    </w:r>
    <w:r>
      <w:fldChar w:fldCharType="begin"/>
    </w:r>
    <w:r>
      <w:instrText xml:space="preserve">PAGE   \* MERGEFORMAT</w:instrText>
    </w:r>
    <w:r>
      <w:fldChar w:fldCharType="separate"/>
    </w:r>
    <w:r>
      <w:rPr>
        <w:lang w:val="zh-CN"/>
      </w:rPr>
      <w:t>9</w:t>
    </w:r>
    <w:r>
      <w:fldChar w:fldCharType="end"/>
    </w:r>
    <w:r>
      <w:rPr>
        <w:rFonts w:hint="eastAsia"/>
      </w:rPr>
      <w:t>页</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adjustRightInd w:val="0"/>
      <w:snapToGrid w:val="0"/>
      <w:spacing w:line="240" w:lineRule="atLeast"/>
      <w:ind w:right="42" w:rightChars="20"/>
      <w:outlineLvl w:val="0"/>
      <w:rPr>
        <w:rFonts w:ascii="宋体" w:hAnsi="Courier New" w:cs="宋体"/>
        <w:sz w:val="18"/>
        <w:szCs w:val="18"/>
      </w:rPr>
    </w:pPr>
    <w:r>
      <w:rPr>
        <w:rFonts w:ascii="Times New Roman" w:hAnsi="Times New Roman" w:cs="宋体"/>
        <w:sz w:val="18"/>
        <w:szCs w:val="18"/>
      </w:rPr>
      <w:fldChar w:fldCharType="begin"/>
    </w:r>
    <w:r>
      <w:rPr>
        <w:rFonts w:ascii="Times New Roman" w:hAnsi="Times New Roman" w:cs="宋体"/>
        <w:sz w:val="18"/>
        <w:szCs w:val="18"/>
      </w:rPr>
      <w:instrText xml:space="preserve"> DOCVARIABLE  基本信息_企业名称  \* MERGEFORMAT </w:instrText>
    </w:r>
    <w:r>
      <w:rPr>
        <w:rFonts w:ascii="Times New Roman" w:hAnsi="Times New Roman" w:cs="宋体"/>
        <w:sz w:val="18"/>
        <w:szCs w:val="18"/>
      </w:rPr>
      <w:fldChar w:fldCharType="separate"/>
    </w:r>
    <w:r>
      <w:rPr>
        <w:rFonts w:hint="eastAsia" w:ascii="Times New Roman" w:hAnsi="Times New Roman" w:cs="宋体"/>
        <w:sz w:val="18"/>
        <w:szCs w:val="18"/>
      </w:rPr>
      <w:t>国家电投集团贵州金元股份有限公司</w:t>
    </w:r>
    <w:r>
      <w:rPr>
        <w:rFonts w:ascii="宋体" w:hAnsi="Courier New" w:cs="宋体"/>
        <w:sz w:val="18"/>
        <w:szCs w:val="18"/>
      </w:rPr>
      <w:fldChar w:fldCharType="end"/>
    </w:r>
  </w:p>
  <w:p>
    <w:pPr>
      <w:pStyle w:val="10"/>
      <w:adjustRightInd w:val="0"/>
      <w:snapToGrid w:val="0"/>
      <w:spacing w:line="240" w:lineRule="atLeast"/>
      <w:rPr>
        <w:rFonts w:hint="default"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DOCVARIABLE  基本信息_项目年度  \* MERGEFORMAT </w:instrText>
    </w:r>
    <w:r>
      <w:rPr>
        <w:rFonts w:ascii="Times New Roman" w:hAnsi="Times New Roman"/>
        <w:sz w:val="18"/>
        <w:szCs w:val="18"/>
      </w:rPr>
      <w:fldChar w:fldCharType="separate"/>
    </w:r>
    <w:r>
      <w:rPr>
        <w:rFonts w:ascii="Times New Roman" w:hAnsi="Times New Roman"/>
        <w:sz w:val="18"/>
        <w:szCs w:val="18"/>
      </w:rPr>
      <w:t>2024年度</w:t>
    </w:r>
    <w:r>
      <w:rPr>
        <w:rFonts w:ascii="Times New Roman" w:hAnsi="Times New Roman"/>
        <w:sz w:val="18"/>
        <w:szCs w:val="18"/>
      </w:rPr>
      <w:fldChar w:fldCharType="end"/>
    </w:r>
  </w:p>
  <w:p>
    <w:pPr>
      <w:pStyle w:val="10"/>
      <w:pBdr>
        <w:bottom w:val="single" w:color="auto" w:sz="4" w:space="0"/>
      </w:pBdr>
      <w:adjustRightInd w:val="0"/>
      <w:snapToGrid w:val="0"/>
      <w:spacing w:line="240" w:lineRule="atLeast"/>
      <w:rPr>
        <w:rFonts w:hint="default"/>
        <w:sz w:val="18"/>
        <w:szCs w:val="18"/>
      </w:rPr>
    </w:pPr>
    <w:r>
      <w:rPr>
        <w:rFonts w:hint="default"/>
        <w:sz w:val="18"/>
        <w:szCs w:val="18"/>
      </w:rPr>
      <w:t>财务报表附注</w:t>
    </w:r>
  </w:p>
  <w:p>
    <w:pPr>
      <w:pStyle w:val="13"/>
      <w:pBdr>
        <w:bottom w:val="none" w:color="auto" w:sz="0" w:space="0"/>
      </w:pBdr>
      <w:spacing w:line="240" w:lineRule="auto"/>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spacing w:line="240" w:lineRule="auto"/>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spacing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rPr>
        <w:sz w:val="17"/>
        <w:szCs w:val="17"/>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rPr>
        <w:sz w:val="17"/>
        <w:szCs w:val="17"/>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7C6D5"/>
    <w:multiLevelType w:val="singleLevel"/>
    <w:tmpl w:val="8137C6D5"/>
    <w:lvl w:ilvl="0" w:tentative="0">
      <w:start w:val="2"/>
      <w:numFmt w:val="decimal"/>
      <w:suff w:val="nothing"/>
      <w:lvlText w:val="%1、"/>
      <w:lvlJc w:val="left"/>
    </w:lvl>
  </w:abstractNum>
  <w:abstractNum w:abstractNumId="1">
    <w:nsid w:val="A2C7EFB4"/>
    <w:multiLevelType w:val="singleLevel"/>
    <w:tmpl w:val="A2C7EFB4"/>
    <w:lvl w:ilvl="0" w:tentative="0">
      <w:start w:val="10"/>
      <w:numFmt w:val="chineseCounting"/>
      <w:suff w:val="nothing"/>
      <w:lvlText w:val="（%1）"/>
      <w:lvlJc w:val="left"/>
      <w:rPr>
        <w:rFonts w:hint="eastAsia"/>
      </w:rPr>
    </w:lvl>
  </w:abstractNum>
  <w:abstractNum w:abstractNumId="2">
    <w:nsid w:val="BD57A7FB"/>
    <w:multiLevelType w:val="singleLevel"/>
    <w:tmpl w:val="BD57A7FB"/>
    <w:lvl w:ilvl="0" w:tentative="0">
      <w:start w:val="3"/>
      <w:numFmt w:val="chineseCounting"/>
      <w:suff w:val="nothing"/>
      <w:lvlText w:val="（%1）"/>
      <w:lvlJc w:val="left"/>
      <w:rPr>
        <w:rFonts w:hint="eastAsia"/>
      </w:rPr>
    </w:lvl>
  </w:abstractNum>
  <w:abstractNum w:abstractNumId="3">
    <w:nsid w:val="C9B37173"/>
    <w:multiLevelType w:val="singleLevel"/>
    <w:tmpl w:val="C9B37173"/>
    <w:lvl w:ilvl="0" w:tentative="0">
      <w:start w:val="1"/>
      <w:numFmt w:val="decimal"/>
      <w:lvlText w:val="%1."/>
      <w:lvlJc w:val="left"/>
      <w:pPr>
        <w:tabs>
          <w:tab w:val="left" w:pos="312"/>
        </w:tabs>
        <w:ind w:left="480" w:firstLine="0"/>
      </w:pPr>
    </w:lvl>
  </w:abstractNum>
  <w:abstractNum w:abstractNumId="4">
    <w:nsid w:val="05F423BD"/>
    <w:multiLevelType w:val="multilevel"/>
    <w:tmpl w:val="05F423BD"/>
    <w:lvl w:ilvl="0" w:tentative="0">
      <w:start w:val="1"/>
      <w:numFmt w:val="bullet"/>
      <w:pStyle w:val="9"/>
      <w:lvlText w:val=""/>
      <w:lvlJc w:val="left"/>
      <w:pPr>
        <w:ind w:left="620" w:hanging="420"/>
      </w:pPr>
      <w:rPr>
        <w:rFonts w:hint="default" w:ascii="Wingdings" w:hAnsi="Wingdings"/>
      </w:rPr>
    </w:lvl>
    <w:lvl w:ilvl="1" w:tentative="0">
      <w:start w:val="1"/>
      <w:numFmt w:val="bullet"/>
      <w:lvlText w:val=""/>
      <w:lvlJc w:val="left"/>
      <w:pPr>
        <w:ind w:left="1040" w:hanging="420"/>
      </w:pPr>
      <w:rPr>
        <w:rFonts w:hint="default" w:ascii="Wingdings" w:hAnsi="Wingdings"/>
      </w:rPr>
    </w:lvl>
    <w:lvl w:ilvl="2" w:tentative="0">
      <w:start w:val="1"/>
      <w:numFmt w:val="bullet"/>
      <w:lvlText w:val=""/>
      <w:lvlJc w:val="left"/>
      <w:pPr>
        <w:ind w:left="1460" w:hanging="420"/>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5">
    <w:nsid w:val="0D0070B3"/>
    <w:multiLevelType w:val="multilevel"/>
    <w:tmpl w:val="0D0070B3"/>
    <w:lvl w:ilvl="0" w:tentative="0">
      <w:start w:val="0"/>
      <w:numFmt w:val="bullet"/>
      <w:lvlText w:val="•"/>
      <w:lvlJc w:val="left"/>
      <w:pPr>
        <w:ind w:left="1696" w:hanging="420"/>
      </w:pPr>
      <w:rPr>
        <w:rFonts w:hint="eastAsia" w:ascii="宋体" w:hAnsi="宋体" w:eastAsia="宋体" w:cs="Times New Roman"/>
      </w:rPr>
    </w:lvl>
    <w:lvl w:ilvl="1" w:tentative="0">
      <w:start w:val="1"/>
      <w:numFmt w:val="bullet"/>
      <w:lvlText w:val=""/>
      <w:lvlJc w:val="left"/>
      <w:pPr>
        <w:ind w:left="2116" w:hanging="420"/>
      </w:pPr>
      <w:rPr>
        <w:rFonts w:hint="default" w:ascii="Wingdings" w:hAnsi="Wingdings"/>
      </w:rPr>
    </w:lvl>
    <w:lvl w:ilvl="2" w:tentative="0">
      <w:start w:val="1"/>
      <w:numFmt w:val="bullet"/>
      <w:lvlText w:val=""/>
      <w:lvlJc w:val="left"/>
      <w:pPr>
        <w:ind w:left="2536" w:hanging="420"/>
      </w:pPr>
      <w:rPr>
        <w:rFonts w:hint="default" w:ascii="Wingdings" w:hAnsi="Wingdings"/>
      </w:rPr>
    </w:lvl>
    <w:lvl w:ilvl="3" w:tentative="0">
      <w:start w:val="1"/>
      <w:numFmt w:val="bullet"/>
      <w:lvlText w:val=""/>
      <w:lvlJc w:val="left"/>
      <w:pPr>
        <w:ind w:left="2956" w:hanging="420"/>
      </w:pPr>
      <w:rPr>
        <w:rFonts w:hint="default" w:ascii="Wingdings" w:hAnsi="Wingdings"/>
      </w:rPr>
    </w:lvl>
    <w:lvl w:ilvl="4" w:tentative="0">
      <w:start w:val="1"/>
      <w:numFmt w:val="bullet"/>
      <w:lvlText w:val=""/>
      <w:lvlJc w:val="left"/>
      <w:pPr>
        <w:ind w:left="3376" w:hanging="420"/>
      </w:pPr>
      <w:rPr>
        <w:rFonts w:hint="default" w:ascii="Wingdings" w:hAnsi="Wingdings"/>
      </w:rPr>
    </w:lvl>
    <w:lvl w:ilvl="5" w:tentative="0">
      <w:start w:val="1"/>
      <w:numFmt w:val="bullet"/>
      <w:lvlText w:val=""/>
      <w:lvlJc w:val="left"/>
      <w:pPr>
        <w:ind w:left="3796" w:hanging="420"/>
      </w:pPr>
      <w:rPr>
        <w:rFonts w:hint="default" w:ascii="Wingdings" w:hAnsi="Wingdings"/>
      </w:rPr>
    </w:lvl>
    <w:lvl w:ilvl="6" w:tentative="0">
      <w:start w:val="1"/>
      <w:numFmt w:val="bullet"/>
      <w:lvlText w:val=""/>
      <w:lvlJc w:val="left"/>
      <w:pPr>
        <w:ind w:left="4216" w:hanging="420"/>
      </w:pPr>
      <w:rPr>
        <w:rFonts w:hint="default" w:ascii="Wingdings" w:hAnsi="Wingdings"/>
      </w:rPr>
    </w:lvl>
    <w:lvl w:ilvl="7" w:tentative="0">
      <w:start w:val="1"/>
      <w:numFmt w:val="bullet"/>
      <w:lvlText w:val=""/>
      <w:lvlJc w:val="left"/>
      <w:pPr>
        <w:ind w:left="4636" w:hanging="420"/>
      </w:pPr>
      <w:rPr>
        <w:rFonts w:hint="default" w:ascii="Wingdings" w:hAnsi="Wingdings"/>
      </w:rPr>
    </w:lvl>
    <w:lvl w:ilvl="8" w:tentative="0">
      <w:start w:val="1"/>
      <w:numFmt w:val="bullet"/>
      <w:lvlText w:val=""/>
      <w:lvlJc w:val="left"/>
      <w:pPr>
        <w:ind w:left="5056" w:hanging="420"/>
      </w:pPr>
      <w:rPr>
        <w:rFonts w:hint="default" w:ascii="Wingdings" w:hAnsi="Wingdings"/>
      </w:rPr>
    </w:lvl>
  </w:abstractNum>
  <w:abstractNum w:abstractNumId="6">
    <w:nsid w:val="0D6D2F6B"/>
    <w:multiLevelType w:val="multilevel"/>
    <w:tmpl w:val="0D6D2F6B"/>
    <w:lvl w:ilvl="0" w:tentative="0">
      <w:start w:val="1"/>
      <w:numFmt w:val="chineseCounting"/>
      <w:pStyle w:val="43"/>
      <w:lvlText w:val="%1、"/>
      <w:lvlJc w:val="left"/>
      <w:pPr>
        <w:ind w:left="709" w:hanging="709"/>
      </w:pPr>
    </w:lvl>
    <w:lvl w:ilvl="1" w:tentative="0">
      <w:start w:val="1"/>
      <w:numFmt w:val="chineseCountingThousand"/>
      <w:pStyle w:val="37"/>
      <w:lvlText w:val="(%2)"/>
      <w:lvlJc w:val="left"/>
      <w:pPr>
        <w:ind w:left="919" w:hanging="709"/>
      </w:pPr>
    </w:lvl>
    <w:lvl w:ilvl="2" w:tentative="0">
      <w:start w:val="1"/>
      <w:numFmt w:val="decimal"/>
      <w:pStyle w:val="44"/>
      <w:lvlText w:val="%3、"/>
      <w:lvlJc w:val="left"/>
      <w:pPr>
        <w:ind w:left="1276"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7">
    <w:nsid w:val="160329E0"/>
    <w:multiLevelType w:val="multilevel"/>
    <w:tmpl w:val="160329E0"/>
    <w:lvl w:ilvl="0" w:tentative="0">
      <w:start w:val="1"/>
      <w:numFmt w:val="bullet"/>
      <w:lvlText w:val="−"/>
      <w:lvlJc w:val="left"/>
      <w:pPr>
        <w:ind w:left="1716" w:hanging="440"/>
      </w:pPr>
      <w:rPr>
        <w:rFonts w:hint="eastAsia" w:ascii="微软雅黑" w:hAnsi="微软雅黑" w:eastAsia="微软雅黑"/>
      </w:rPr>
    </w:lvl>
    <w:lvl w:ilvl="1" w:tentative="0">
      <w:start w:val="1"/>
      <w:numFmt w:val="bullet"/>
      <w:lvlText w:val=""/>
      <w:lvlJc w:val="left"/>
      <w:pPr>
        <w:ind w:left="2156" w:hanging="440"/>
      </w:pPr>
      <w:rPr>
        <w:rFonts w:hint="default" w:ascii="Wingdings" w:hAnsi="Wingdings"/>
      </w:rPr>
    </w:lvl>
    <w:lvl w:ilvl="2" w:tentative="0">
      <w:start w:val="1"/>
      <w:numFmt w:val="bullet"/>
      <w:lvlText w:val=""/>
      <w:lvlJc w:val="left"/>
      <w:pPr>
        <w:ind w:left="2596" w:hanging="440"/>
      </w:pPr>
      <w:rPr>
        <w:rFonts w:hint="default" w:ascii="Wingdings" w:hAnsi="Wingdings"/>
      </w:rPr>
    </w:lvl>
    <w:lvl w:ilvl="3" w:tentative="0">
      <w:start w:val="1"/>
      <w:numFmt w:val="bullet"/>
      <w:lvlText w:val=""/>
      <w:lvlJc w:val="left"/>
      <w:pPr>
        <w:ind w:left="3036" w:hanging="440"/>
      </w:pPr>
      <w:rPr>
        <w:rFonts w:hint="default" w:ascii="Wingdings" w:hAnsi="Wingdings"/>
      </w:rPr>
    </w:lvl>
    <w:lvl w:ilvl="4" w:tentative="0">
      <w:start w:val="1"/>
      <w:numFmt w:val="bullet"/>
      <w:lvlText w:val=""/>
      <w:lvlJc w:val="left"/>
      <w:pPr>
        <w:ind w:left="3476" w:hanging="440"/>
      </w:pPr>
      <w:rPr>
        <w:rFonts w:hint="default" w:ascii="Wingdings" w:hAnsi="Wingdings"/>
      </w:rPr>
    </w:lvl>
    <w:lvl w:ilvl="5" w:tentative="0">
      <w:start w:val="1"/>
      <w:numFmt w:val="bullet"/>
      <w:lvlText w:val=""/>
      <w:lvlJc w:val="left"/>
      <w:pPr>
        <w:ind w:left="3916" w:hanging="440"/>
      </w:pPr>
      <w:rPr>
        <w:rFonts w:hint="default" w:ascii="Wingdings" w:hAnsi="Wingdings"/>
      </w:rPr>
    </w:lvl>
    <w:lvl w:ilvl="6" w:tentative="0">
      <w:start w:val="1"/>
      <w:numFmt w:val="bullet"/>
      <w:lvlText w:val=""/>
      <w:lvlJc w:val="left"/>
      <w:pPr>
        <w:ind w:left="4356" w:hanging="440"/>
      </w:pPr>
      <w:rPr>
        <w:rFonts w:hint="default" w:ascii="Wingdings" w:hAnsi="Wingdings"/>
      </w:rPr>
    </w:lvl>
    <w:lvl w:ilvl="7" w:tentative="0">
      <w:start w:val="1"/>
      <w:numFmt w:val="bullet"/>
      <w:lvlText w:val=""/>
      <w:lvlJc w:val="left"/>
      <w:pPr>
        <w:ind w:left="4796" w:hanging="440"/>
      </w:pPr>
      <w:rPr>
        <w:rFonts w:hint="default" w:ascii="Wingdings" w:hAnsi="Wingdings"/>
      </w:rPr>
    </w:lvl>
    <w:lvl w:ilvl="8" w:tentative="0">
      <w:start w:val="1"/>
      <w:numFmt w:val="bullet"/>
      <w:lvlText w:val=""/>
      <w:lvlJc w:val="left"/>
      <w:pPr>
        <w:ind w:left="5236" w:hanging="440"/>
      </w:pPr>
      <w:rPr>
        <w:rFonts w:hint="default" w:ascii="Wingdings" w:hAnsi="Wingdings"/>
      </w:rPr>
    </w:lvl>
  </w:abstractNum>
  <w:abstractNum w:abstractNumId="8">
    <w:nsid w:val="19382A72"/>
    <w:multiLevelType w:val="multilevel"/>
    <w:tmpl w:val="19382A72"/>
    <w:lvl w:ilvl="0" w:tentative="0">
      <w:start w:val="0"/>
      <w:numFmt w:val="bullet"/>
      <w:lvlText w:val="•"/>
      <w:lvlJc w:val="left"/>
      <w:pPr>
        <w:ind w:left="1696" w:hanging="420"/>
      </w:pPr>
      <w:rPr>
        <w:rFonts w:hint="eastAsia" w:ascii="宋体" w:hAnsi="宋体" w:eastAsia="宋体" w:cs="Times New Roman"/>
      </w:rPr>
    </w:lvl>
    <w:lvl w:ilvl="1" w:tentative="0">
      <w:start w:val="1"/>
      <w:numFmt w:val="bullet"/>
      <w:lvlText w:val=""/>
      <w:lvlJc w:val="left"/>
      <w:pPr>
        <w:ind w:left="2116" w:hanging="420"/>
      </w:pPr>
      <w:rPr>
        <w:rFonts w:hint="default" w:ascii="Wingdings" w:hAnsi="Wingdings"/>
      </w:rPr>
    </w:lvl>
    <w:lvl w:ilvl="2" w:tentative="0">
      <w:start w:val="1"/>
      <w:numFmt w:val="bullet"/>
      <w:lvlText w:val=""/>
      <w:lvlJc w:val="left"/>
      <w:pPr>
        <w:ind w:left="2536" w:hanging="420"/>
      </w:pPr>
      <w:rPr>
        <w:rFonts w:hint="default" w:ascii="Wingdings" w:hAnsi="Wingdings"/>
      </w:rPr>
    </w:lvl>
    <w:lvl w:ilvl="3" w:tentative="0">
      <w:start w:val="1"/>
      <w:numFmt w:val="bullet"/>
      <w:lvlText w:val=""/>
      <w:lvlJc w:val="left"/>
      <w:pPr>
        <w:ind w:left="2956" w:hanging="420"/>
      </w:pPr>
      <w:rPr>
        <w:rFonts w:hint="default" w:ascii="Wingdings" w:hAnsi="Wingdings"/>
      </w:rPr>
    </w:lvl>
    <w:lvl w:ilvl="4" w:tentative="0">
      <w:start w:val="1"/>
      <w:numFmt w:val="bullet"/>
      <w:lvlText w:val=""/>
      <w:lvlJc w:val="left"/>
      <w:pPr>
        <w:ind w:left="3376" w:hanging="420"/>
      </w:pPr>
      <w:rPr>
        <w:rFonts w:hint="default" w:ascii="Wingdings" w:hAnsi="Wingdings"/>
      </w:rPr>
    </w:lvl>
    <w:lvl w:ilvl="5" w:tentative="0">
      <w:start w:val="1"/>
      <w:numFmt w:val="bullet"/>
      <w:lvlText w:val=""/>
      <w:lvlJc w:val="left"/>
      <w:pPr>
        <w:ind w:left="3796" w:hanging="420"/>
      </w:pPr>
      <w:rPr>
        <w:rFonts w:hint="default" w:ascii="Wingdings" w:hAnsi="Wingdings"/>
      </w:rPr>
    </w:lvl>
    <w:lvl w:ilvl="6" w:tentative="0">
      <w:start w:val="1"/>
      <w:numFmt w:val="bullet"/>
      <w:lvlText w:val=""/>
      <w:lvlJc w:val="left"/>
      <w:pPr>
        <w:ind w:left="4216" w:hanging="420"/>
      </w:pPr>
      <w:rPr>
        <w:rFonts w:hint="default" w:ascii="Wingdings" w:hAnsi="Wingdings"/>
      </w:rPr>
    </w:lvl>
    <w:lvl w:ilvl="7" w:tentative="0">
      <w:start w:val="1"/>
      <w:numFmt w:val="bullet"/>
      <w:lvlText w:val=""/>
      <w:lvlJc w:val="left"/>
      <w:pPr>
        <w:ind w:left="4636" w:hanging="420"/>
      </w:pPr>
      <w:rPr>
        <w:rFonts w:hint="default" w:ascii="Wingdings" w:hAnsi="Wingdings"/>
      </w:rPr>
    </w:lvl>
    <w:lvl w:ilvl="8" w:tentative="0">
      <w:start w:val="1"/>
      <w:numFmt w:val="bullet"/>
      <w:lvlText w:val=""/>
      <w:lvlJc w:val="left"/>
      <w:pPr>
        <w:ind w:left="5056" w:hanging="420"/>
      </w:pPr>
      <w:rPr>
        <w:rFonts w:hint="default" w:ascii="Wingdings" w:hAnsi="Wingdings"/>
      </w:rPr>
    </w:lvl>
  </w:abstractNum>
  <w:abstractNum w:abstractNumId="9">
    <w:nsid w:val="1BFF31D3"/>
    <w:multiLevelType w:val="multilevel"/>
    <w:tmpl w:val="1BFF31D3"/>
    <w:lvl w:ilvl="0" w:tentative="0">
      <w:start w:val="0"/>
      <w:numFmt w:val="bullet"/>
      <w:lvlText w:val="•"/>
      <w:lvlJc w:val="left"/>
      <w:pPr>
        <w:ind w:left="1134" w:hanging="420"/>
      </w:pPr>
      <w:rPr>
        <w:rFonts w:hint="eastAsia" w:ascii="宋体" w:hAnsi="宋体" w:eastAsia="宋体" w:cs="Times New Roman"/>
        <w:color w:val="auto"/>
      </w:rPr>
    </w:lvl>
    <w:lvl w:ilvl="1" w:tentative="0">
      <w:start w:val="1"/>
      <w:numFmt w:val="bullet"/>
      <w:lvlText w:val=""/>
      <w:lvlJc w:val="left"/>
      <w:pPr>
        <w:ind w:left="1554" w:hanging="420"/>
      </w:pPr>
      <w:rPr>
        <w:rFonts w:hint="default" w:ascii="Wingdings" w:hAnsi="Wingdings"/>
      </w:rPr>
    </w:lvl>
    <w:lvl w:ilvl="2" w:tentative="0">
      <w:start w:val="1"/>
      <w:numFmt w:val="bullet"/>
      <w:lvlText w:val=""/>
      <w:lvlJc w:val="left"/>
      <w:pPr>
        <w:ind w:left="1974" w:hanging="420"/>
      </w:pPr>
      <w:rPr>
        <w:rFonts w:hint="default" w:ascii="Wingdings" w:hAnsi="Wingdings"/>
      </w:rPr>
    </w:lvl>
    <w:lvl w:ilvl="3" w:tentative="0">
      <w:start w:val="1"/>
      <w:numFmt w:val="bullet"/>
      <w:lvlText w:val=""/>
      <w:lvlJc w:val="left"/>
      <w:pPr>
        <w:ind w:left="2394" w:hanging="420"/>
      </w:pPr>
      <w:rPr>
        <w:rFonts w:hint="default" w:ascii="Wingdings" w:hAnsi="Wingdings"/>
      </w:rPr>
    </w:lvl>
    <w:lvl w:ilvl="4" w:tentative="0">
      <w:start w:val="1"/>
      <w:numFmt w:val="bullet"/>
      <w:lvlText w:val=""/>
      <w:lvlJc w:val="left"/>
      <w:pPr>
        <w:ind w:left="2814" w:hanging="420"/>
      </w:pPr>
      <w:rPr>
        <w:rFonts w:hint="default" w:ascii="Wingdings" w:hAnsi="Wingdings"/>
      </w:rPr>
    </w:lvl>
    <w:lvl w:ilvl="5" w:tentative="0">
      <w:start w:val="1"/>
      <w:numFmt w:val="bullet"/>
      <w:lvlText w:val=""/>
      <w:lvlJc w:val="left"/>
      <w:pPr>
        <w:ind w:left="3234" w:hanging="420"/>
      </w:pPr>
      <w:rPr>
        <w:rFonts w:hint="default" w:ascii="Wingdings" w:hAnsi="Wingdings"/>
      </w:rPr>
    </w:lvl>
    <w:lvl w:ilvl="6" w:tentative="0">
      <w:start w:val="1"/>
      <w:numFmt w:val="bullet"/>
      <w:lvlText w:val=""/>
      <w:lvlJc w:val="left"/>
      <w:pPr>
        <w:ind w:left="3654" w:hanging="420"/>
      </w:pPr>
      <w:rPr>
        <w:rFonts w:hint="default" w:ascii="Wingdings" w:hAnsi="Wingdings"/>
      </w:rPr>
    </w:lvl>
    <w:lvl w:ilvl="7" w:tentative="0">
      <w:start w:val="1"/>
      <w:numFmt w:val="bullet"/>
      <w:lvlText w:val=""/>
      <w:lvlJc w:val="left"/>
      <w:pPr>
        <w:ind w:left="4074" w:hanging="420"/>
      </w:pPr>
      <w:rPr>
        <w:rFonts w:hint="default" w:ascii="Wingdings" w:hAnsi="Wingdings"/>
      </w:rPr>
    </w:lvl>
    <w:lvl w:ilvl="8" w:tentative="0">
      <w:start w:val="1"/>
      <w:numFmt w:val="bullet"/>
      <w:lvlText w:val=""/>
      <w:lvlJc w:val="left"/>
      <w:pPr>
        <w:ind w:left="4494" w:hanging="420"/>
      </w:pPr>
      <w:rPr>
        <w:rFonts w:hint="default" w:ascii="Wingdings" w:hAnsi="Wingdings"/>
      </w:rPr>
    </w:lvl>
  </w:abstractNum>
  <w:abstractNum w:abstractNumId="10">
    <w:nsid w:val="211E2CC6"/>
    <w:multiLevelType w:val="multilevel"/>
    <w:tmpl w:val="211E2CC6"/>
    <w:lvl w:ilvl="0" w:tentative="0">
      <w:start w:val="1"/>
      <w:numFmt w:val="chineseCountingThousand"/>
      <w:pStyle w:val="3"/>
      <w:suff w:val="nothing"/>
      <w:lvlText w:val="第%1节"/>
      <w:lvlJc w:val="left"/>
      <w:pPr>
        <w:ind w:left="0" w:firstLine="0"/>
      </w:pPr>
      <w:rPr>
        <w:rFonts w:hint="eastAsia" w:ascii="黑体" w:hAnsi="黑体" w:eastAsia="黑体"/>
        <w:b w:val="0"/>
        <w:i w:val="0"/>
        <w:sz w:val="32"/>
      </w:rPr>
    </w:lvl>
    <w:lvl w:ilvl="1" w:tentative="0">
      <w:start w:val="1"/>
      <w:numFmt w:val="koreanDigital2"/>
      <w:suff w:val="nothing"/>
      <w:lvlText w:val="%2、"/>
      <w:lvlJc w:val="left"/>
      <w:pPr>
        <w:ind w:left="0" w:firstLine="0"/>
      </w:pPr>
      <w:rPr>
        <w:rFonts w:hint="default" w:ascii="Times New Roman" w:hAnsi="Times New Roman" w:cs="Times New Roman"/>
        <w:b w:val="0"/>
        <w:i w:val="0"/>
        <w:sz w:val="28"/>
      </w:rPr>
    </w:lvl>
    <w:lvl w:ilvl="2" w:tentative="0">
      <w:start w:val="1"/>
      <w:numFmt w:val="koreanDigital2"/>
      <w:suff w:val="nothing"/>
      <w:lvlText w:val="（%3）"/>
      <w:lvlJc w:val="left"/>
      <w:rPr>
        <w:rFonts w:hint="default" w:ascii="Times New Roman" w:hAnsi="Times New Roman" w:cs="Times New Roman"/>
        <w:b w:val="0"/>
        <w:bCs w:val="0"/>
        <w:i w:val="0"/>
        <w:iCs w:val="0"/>
        <w:caps w:val="0"/>
        <w:smallCaps w:val="0"/>
        <w:strike w:val="0"/>
        <w:dstrike w:val="0"/>
        <w:vanish w:val="0"/>
        <w:color w:val="000000"/>
        <w:spacing w:val="0"/>
        <w:position w:val="0"/>
        <w:sz w:val="24"/>
        <w:u w:val="none"/>
        <w:vertAlign w:val="baseline"/>
      </w:rPr>
    </w:lvl>
    <w:lvl w:ilvl="3" w:tentative="0">
      <w:start w:val="1"/>
      <w:numFmt w:val="decimal"/>
      <w:suff w:val="nothing"/>
      <w:lvlText w:val="%4、"/>
      <w:lvlJc w:val="left"/>
      <w:pPr>
        <w:ind w:left="0" w:firstLine="0"/>
      </w:pPr>
      <w:rPr>
        <w:rFonts w:hint="default" w:ascii="Times New Roman" w:hAnsi="Times New Roman" w:cs="Times New Roman"/>
        <w:b/>
        <w:i w:val="0"/>
        <w:sz w:val="24"/>
      </w:rPr>
    </w:lvl>
    <w:lvl w:ilvl="4" w:tentative="0">
      <w:start w:val="1"/>
      <w:numFmt w:val="decimal"/>
      <w:suff w:val="nothing"/>
      <w:lvlText w:val="（%5）"/>
      <w:lvlJc w:val="left"/>
      <w:rPr>
        <w:rFonts w:hint="default" w:ascii="Times New Roman" w:hAnsi="Times New Roman" w:cs="Times New Roman"/>
        <w:b w:val="0"/>
        <w:bCs w:val="0"/>
        <w:i w:val="0"/>
        <w:iCs w:val="0"/>
        <w:caps w:val="0"/>
        <w:smallCaps w:val="0"/>
        <w:strike w:val="0"/>
        <w:dstrike w:val="0"/>
        <w:vanish w:val="0"/>
        <w:color w:val="000000"/>
        <w:spacing w:val="0"/>
        <w:position w:val="0"/>
        <w:sz w:val="24"/>
        <w:u w:val="none"/>
        <w:vertAlign w:val="baseline"/>
      </w:rPr>
    </w:lvl>
    <w:lvl w:ilvl="5" w:tentative="0">
      <w:start w:val="1"/>
      <w:numFmt w:val="decimal"/>
      <w:suff w:val="nothing"/>
      <w:lvlText w:val="%6）"/>
      <w:lvlJc w:val="left"/>
      <w:pPr>
        <w:ind w:left="0" w:firstLine="0"/>
      </w:pPr>
      <w:rPr>
        <w:rFonts w:hint="default" w:ascii="Times New Roman" w:hAnsi="Times New Roman" w:cs="Times New Roman"/>
        <w:b w:val="0"/>
        <w:i w:val="0"/>
        <w:sz w:val="24"/>
        <w:u w:val="none"/>
      </w:rPr>
    </w:lvl>
    <w:lvl w:ilvl="6" w:tentative="0">
      <w:start w:val="1"/>
      <w:numFmt w:val="decimalEnclosedCircle"/>
      <w:suff w:val="nothing"/>
      <w:lvlText w:val="%7"/>
      <w:lvlJc w:val="left"/>
      <w:pPr>
        <w:ind w:left="0" w:firstLine="0"/>
      </w:pPr>
      <w:rPr>
        <w:rFonts w:hint="default" w:ascii="Times New Roman" w:hAnsi="Times New Roman" w:cs="Times New Roman"/>
        <w:b w:val="0"/>
        <w:i w:val="0"/>
        <w:sz w:val="24"/>
        <w:lang w:val="en-US"/>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1">
    <w:nsid w:val="22EA2350"/>
    <w:multiLevelType w:val="multilevel"/>
    <w:tmpl w:val="22EA2350"/>
    <w:lvl w:ilvl="0" w:tentative="0">
      <w:start w:val="0"/>
      <w:numFmt w:val="bullet"/>
      <w:lvlText w:val="•"/>
      <w:lvlJc w:val="left"/>
      <w:pPr>
        <w:ind w:left="1696" w:hanging="420"/>
      </w:pPr>
      <w:rPr>
        <w:rFonts w:hint="eastAsia" w:ascii="宋体" w:hAnsi="宋体" w:eastAsia="宋体" w:cs="Times New Roman"/>
      </w:rPr>
    </w:lvl>
    <w:lvl w:ilvl="1" w:tentative="0">
      <w:start w:val="1"/>
      <w:numFmt w:val="bullet"/>
      <w:lvlText w:val=""/>
      <w:lvlJc w:val="left"/>
      <w:pPr>
        <w:ind w:left="2116" w:hanging="420"/>
      </w:pPr>
      <w:rPr>
        <w:rFonts w:hint="default" w:ascii="Wingdings" w:hAnsi="Wingdings"/>
      </w:rPr>
    </w:lvl>
    <w:lvl w:ilvl="2" w:tentative="0">
      <w:start w:val="1"/>
      <w:numFmt w:val="bullet"/>
      <w:lvlText w:val=""/>
      <w:lvlJc w:val="left"/>
      <w:pPr>
        <w:ind w:left="2536" w:hanging="420"/>
      </w:pPr>
      <w:rPr>
        <w:rFonts w:hint="default" w:ascii="Wingdings" w:hAnsi="Wingdings"/>
      </w:rPr>
    </w:lvl>
    <w:lvl w:ilvl="3" w:tentative="0">
      <w:start w:val="1"/>
      <w:numFmt w:val="bullet"/>
      <w:lvlText w:val=""/>
      <w:lvlJc w:val="left"/>
      <w:pPr>
        <w:ind w:left="2956" w:hanging="420"/>
      </w:pPr>
      <w:rPr>
        <w:rFonts w:hint="default" w:ascii="Wingdings" w:hAnsi="Wingdings"/>
      </w:rPr>
    </w:lvl>
    <w:lvl w:ilvl="4" w:tentative="0">
      <w:start w:val="1"/>
      <w:numFmt w:val="bullet"/>
      <w:lvlText w:val=""/>
      <w:lvlJc w:val="left"/>
      <w:pPr>
        <w:ind w:left="3376" w:hanging="420"/>
      </w:pPr>
      <w:rPr>
        <w:rFonts w:hint="default" w:ascii="Wingdings" w:hAnsi="Wingdings"/>
      </w:rPr>
    </w:lvl>
    <w:lvl w:ilvl="5" w:tentative="0">
      <w:start w:val="1"/>
      <w:numFmt w:val="bullet"/>
      <w:lvlText w:val=""/>
      <w:lvlJc w:val="left"/>
      <w:pPr>
        <w:ind w:left="3796" w:hanging="420"/>
      </w:pPr>
      <w:rPr>
        <w:rFonts w:hint="default" w:ascii="Wingdings" w:hAnsi="Wingdings"/>
      </w:rPr>
    </w:lvl>
    <w:lvl w:ilvl="6" w:tentative="0">
      <w:start w:val="1"/>
      <w:numFmt w:val="bullet"/>
      <w:lvlText w:val=""/>
      <w:lvlJc w:val="left"/>
      <w:pPr>
        <w:ind w:left="4216" w:hanging="420"/>
      </w:pPr>
      <w:rPr>
        <w:rFonts w:hint="default" w:ascii="Wingdings" w:hAnsi="Wingdings"/>
      </w:rPr>
    </w:lvl>
    <w:lvl w:ilvl="7" w:tentative="0">
      <w:start w:val="1"/>
      <w:numFmt w:val="bullet"/>
      <w:lvlText w:val=""/>
      <w:lvlJc w:val="left"/>
      <w:pPr>
        <w:ind w:left="4636" w:hanging="420"/>
      </w:pPr>
      <w:rPr>
        <w:rFonts w:hint="default" w:ascii="Wingdings" w:hAnsi="Wingdings"/>
      </w:rPr>
    </w:lvl>
    <w:lvl w:ilvl="8" w:tentative="0">
      <w:start w:val="1"/>
      <w:numFmt w:val="bullet"/>
      <w:lvlText w:val=""/>
      <w:lvlJc w:val="left"/>
      <w:pPr>
        <w:ind w:left="5056" w:hanging="420"/>
      </w:pPr>
      <w:rPr>
        <w:rFonts w:hint="default" w:ascii="Wingdings" w:hAnsi="Wingdings"/>
      </w:rPr>
    </w:lvl>
  </w:abstractNum>
  <w:abstractNum w:abstractNumId="12">
    <w:nsid w:val="3065C6BC"/>
    <w:multiLevelType w:val="singleLevel"/>
    <w:tmpl w:val="3065C6BC"/>
    <w:lvl w:ilvl="0" w:tentative="0">
      <w:start w:val="2"/>
      <w:numFmt w:val="chineseCounting"/>
      <w:suff w:val="space"/>
      <w:lvlText w:val="(%1)"/>
      <w:lvlJc w:val="left"/>
      <w:rPr>
        <w:rFonts w:hint="eastAsia"/>
      </w:rPr>
    </w:lvl>
  </w:abstractNum>
  <w:abstractNum w:abstractNumId="13">
    <w:nsid w:val="34197B9F"/>
    <w:multiLevelType w:val="singleLevel"/>
    <w:tmpl w:val="34197B9F"/>
    <w:lvl w:ilvl="0" w:tentative="0">
      <w:start w:val="5"/>
      <w:numFmt w:val="chineseCounting"/>
      <w:suff w:val="nothing"/>
      <w:lvlText w:val="%1、"/>
      <w:lvlJc w:val="left"/>
      <w:rPr>
        <w:rFonts w:hint="eastAsia"/>
      </w:rPr>
    </w:lvl>
  </w:abstractNum>
  <w:abstractNum w:abstractNumId="14">
    <w:nsid w:val="36C71CE3"/>
    <w:multiLevelType w:val="multilevel"/>
    <w:tmpl w:val="36C71CE3"/>
    <w:lvl w:ilvl="0" w:tentative="0">
      <w:start w:val="0"/>
      <w:numFmt w:val="bullet"/>
      <w:lvlText w:val="•"/>
      <w:lvlJc w:val="left"/>
      <w:pPr>
        <w:ind w:left="1696" w:hanging="420"/>
      </w:pPr>
      <w:rPr>
        <w:rFonts w:hint="eastAsia" w:ascii="宋体" w:hAnsi="宋体" w:eastAsia="宋体" w:cs="Times New Roman"/>
      </w:rPr>
    </w:lvl>
    <w:lvl w:ilvl="1" w:tentative="0">
      <w:start w:val="1"/>
      <w:numFmt w:val="bullet"/>
      <w:lvlText w:val=""/>
      <w:lvlJc w:val="left"/>
      <w:pPr>
        <w:ind w:left="2116" w:hanging="420"/>
      </w:pPr>
      <w:rPr>
        <w:rFonts w:hint="default" w:ascii="Wingdings" w:hAnsi="Wingdings"/>
      </w:rPr>
    </w:lvl>
    <w:lvl w:ilvl="2" w:tentative="0">
      <w:start w:val="1"/>
      <w:numFmt w:val="bullet"/>
      <w:lvlText w:val=""/>
      <w:lvlJc w:val="left"/>
      <w:pPr>
        <w:ind w:left="2536" w:hanging="420"/>
      </w:pPr>
      <w:rPr>
        <w:rFonts w:hint="default" w:ascii="Wingdings" w:hAnsi="Wingdings"/>
      </w:rPr>
    </w:lvl>
    <w:lvl w:ilvl="3" w:tentative="0">
      <w:start w:val="1"/>
      <w:numFmt w:val="bullet"/>
      <w:lvlText w:val=""/>
      <w:lvlJc w:val="left"/>
      <w:pPr>
        <w:ind w:left="2956" w:hanging="420"/>
      </w:pPr>
      <w:rPr>
        <w:rFonts w:hint="default" w:ascii="Wingdings" w:hAnsi="Wingdings"/>
      </w:rPr>
    </w:lvl>
    <w:lvl w:ilvl="4" w:tentative="0">
      <w:start w:val="1"/>
      <w:numFmt w:val="bullet"/>
      <w:lvlText w:val=""/>
      <w:lvlJc w:val="left"/>
      <w:pPr>
        <w:ind w:left="3376" w:hanging="420"/>
      </w:pPr>
      <w:rPr>
        <w:rFonts w:hint="default" w:ascii="Wingdings" w:hAnsi="Wingdings"/>
      </w:rPr>
    </w:lvl>
    <w:lvl w:ilvl="5" w:tentative="0">
      <w:start w:val="1"/>
      <w:numFmt w:val="bullet"/>
      <w:lvlText w:val=""/>
      <w:lvlJc w:val="left"/>
      <w:pPr>
        <w:ind w:left="3796" w:hanging="420"/>
      </w:pPr>
      <w:rPr>
        <w:rFonts w:hint="default" w:ascii="Wingdings" w:hAnsi="Wingdings"/>
      </w:rPr>
    </w:lvl>
    <w:lvl w:ilvl="6" w:tentative="0">
      <w:start w:val="1"/>
      <w:numFmt w:val="bullet"/>
      <w:lvlText w:val=""/>
      <w:lvlJc w:val="left"/>
      <w:pPr>
        <w:ind w:left="4216" w:hanging="420"/>
      </w:pPr>
      <w:rPr>
        <w:rFonts w:hint="default" w:ascii="Wingdings" w:hAnsi="Wingdings"/>
      </w:rPr>
    </w:lvl>
    <w:lvl w:ilvl="7" w:tentative="0">
      <w:start w:val="1"/>
      <w:numFmt w:val="bullet"/>
      <w:lvlText w:val=""/>
      <w:lvlJc w:val="left"/>
      <w:pPr>
        <w:ind w:left="4636" w:hanging="420"/>
      </w:pPr>
      <w:rPr>
        <w:rFonts w:hint="default" w:ascii="Wingdings" w:hAnsi="Wingdings"/>
      </w:rPr>
    </w:lvl>
    <w:lvl w:ilvl="8" w:tentative="0">
      <w:start w:val="1"/>
      <w:numFmt w:val="bullet"/>
      <w:lvlText w:val=""/>
      <w:lvlJc w:val="left"/>
      <w:pPr>
        <w:ind w:left="5056" w:hanging="420"/>
      </w:pPr>
      <w:rPr>
        <w:rFonts w:hint="default" w:ascii="Wingdings" w:hAnsi="Wingdings"/>
      </w:rPr>
    </w:lvl>
  </w:abstractNum>
  <w:abstractNum w:abstractNumId="15">
    <w:nsid w:val="39622BA3"/>
    <w:multiLevelType w:val="multilevel"/>
    <w:tmpl w:val="39622BA3"/>
    <w:lvl w:ilvl="0" w:tentative="0">
      <w:start w:val="1"/>
      <w:numFmt w:val="decimal"/>
      <w:lvlText w:val="%1)"/>
      <w:lvlJc w:val="left"/>
      <w:pPr>
        <w:ind w:left="1696" w:hanging="420"/>
      </w:pPr>
    </w:lvl>
    <w:lvl w:ilvl="1" w:tentative="0">
      <w:start w:val="1"/>
      <w:numFmt w:val="lowerLetter"/>
      <w:lvlText w:val="%2)"/>
      <w:lvlJc w:val="left"/>
      <w:pPr>
        <w:ind w:left="2116" w:hanging="420"/>
      </w:pPr>
    </w:lvl>
    <w:lvl w:ilvl="2" w:tentative="0">
      <w:start w:val="1"/>
      <w:numFmt w:val="lowerRoman"/>
      <w:lvlText w:val="%3."/>
      <w:lvlJc w:val="right"/>
      <w:pPr>
        <w:ind w:left="2536" w:hanging="420"/>
      </w:pPr>
    </w:lvl>
    <w:lvl w:ilvl="3" w:tentative="0">
      <w:start w:val="1"/>
      <w:numFmt w:val="decimal"/>
      <w:lvlText w:val="%4."/>
      <w:lvlJc w:val="left"/>
      <w:pPr>
        <w:ind w:left="2956" w:hanging="420"/>
      </w:pPr>
    </w:lvl>
    <w:lvl w:ilvl="4" w:tentative="0">
      <w:start w:val="1"/>
      <w:numFmt w:val="lowerLetter"/>
      <w:lvlText w:val="%5)"/>
      <w:lvlJc w:val="left"/>
      <w:pPr>
        <w:ind w:left="3376" w:hanging="420"/>
      </w:pPr>
    </w:lvl>
    <w:lvl w:ilvl="5" w:tentative="0">
      <w:start w:val="1"/>
      <w:numFmt w:val="lowerRoman"/>
      <w:lvlText w:val="%6."/>
      <w:lvlJc w:val="right"/>
      <w:pPr>
        <w:ind w:left="3796" w:hanging="420"/>
      </w:pPr>
    </w:lvl>
    <w:lvl w:ilvl="6" w:tentative="0">
      <w:start w:val="1"/>
      <w:numFmt w:val="decimal"/>
      <w:lvlText w:val="%7."/>
      <w:lvlJc w:val="left"/>
      <w:pPr>
        <w:ind w:left="4216" w:hanging="420"/>
      </w:pPr>
    </w:lvl>
    <w:lvl w:ilvl="7" w:tentative="0">
      <w:start w:val="1"/>
      <w:numFmt w:val="lowerLetter"/>
      <w:lvlText w:val="%8)"/>
      <w:lvlJc w:val="left"/>
      <w:pPr>
        <w:ind w:left="4636" w:hanging="420"/>
      </w:pPr>
    </w:lvl>
    <w:lvl w:ilvl="8" w:tentative="0">
      <w:start w:val="1"/>
      <w:numFmt w:val="lowerRoman"/>
      <w:lvlText w:val="%9."/>
      <w:lvlJc w:val="right"/>
      <w:pPr>
        <w:ind w:left="5056" w:hanging="420"/>
      </w:pPr>
    </w:lvl>
  </w:abstractNum>
  <w:abstractNum w:abstractNumId="16">
    <w:nsid w:val="43B529EB"/>
    <w:multiLevelType w:val="multilevel"/>
    <w:tmpl w:val="43B529EB"/>
    <w:lvl w:ilvl="0" w:tentative="0">
      <w:start w:val="5"/>
      <w:numFmt w:val="bullet"/>
      <w:lvlText w:val="-"/>
      <w:lvlJc w:val="left"/>
      <w:pPr>
        <w:ind w:left="1635" w:hanging="360"/>
      </w:pPr>
      <w:rPr>
        <w:rFonts w:hint="default" w:ascii="Times New Roman" w:hAnsi="Times New Roman" w:cs="Times New Roman" w:eastAsiaTheme="minorEastAsia"/>
      </w:rPr>
    </w:lvl>
    <w:lvl w:ilvl="1" w:tentative="0">
      <w:start w:val="1"/>
      <w:numFmt w:val="bullet"/>
      <w:lvlText w:val=""/>
      <w:lvlJc w:val="left"/>
      <w:pPr>
        <w:ind w:left="2115" w:hanging="420"/>
      </w:pPr>
      <w:rPr>
        <w:rFonts w:hint="default" w:ascii="Wingdings" w:hAnsi="Wingdings"/>
      </w:rPr>
    </w:lvl>
    <w:lvl w:ilvl="2" w:tentative="0">
      <w:start w:val="1"/>
      <w:numFmt w:val="bullet"/>
      <w:lvlText w:val=""/>
      <w:lvlJc w:val="left"/>
      <w:pPr>
        <w:ind w:left="2535" w:hanging="420"/>
      </w:pPr>
      <w:rPr>
        <w:rFonts w:hint="default" w:ascii="Wingdings" w:hAnsi="Wingdings"/>
      </w:rPr>
    </w:lvl>
    <w:lvl w:ilvl="3" w:tentative="0">
      <w:start w:val="1"/>
      <w:numFmt w:val="bullet"/>
      <w:lvlText w:val=""/>
      <w:lvlJc w:val="left"/>
      <w:pPr>
        <w:ind w:left="2955" w:hanging="420"/>
      </w:pPr>
      <w:rPr>
        <w:rFonts w:hint="default" w:ascii="Wingdings" w:hAnsi="Wingdings"/>
      </w:rPr>
    </w:lvl>
    <w:lvl w:ilvl="4" w:tentative="0">
      <w:start w:val="1"/>
      <w:numFmt w:val="bullet"/>
      <w:lvlText w:val=""/>
      <w:lvlJc w:val="left"/>
      <w:pPr>
        <w:ind w:left="3375" w:hanging="420"/>
      </w:pPr>
      <w:rPr>
        <w:rFonts w:hint="default" w:ascii="Wingdings" w:hAnsi="Wingdings"/>
      </w:rPr>
    </w:lvl>
    <w:lvl w:ilvl="5" w:tentative="0">
      <w:start w:val="1"/>
      <w:numFmt w:val="bullet"/>
      <w:lvlText w:val=""/>
      <w:lvlJc w:val="left"/>
      <w:pPr>
        <w:ind w:left="3795" w:hanging="420"/>
      </w:pPr>
      <w:rPr>
        <w:rFonts w:hint="default" w:ascii="Wingdings" w:hAnsi="Wingdings"/>
      </w:rPr>
    </w:lvl>
    <w:lvl w:ilvl="6" w:tentative="0">
      <w:start w:val="1"/>
      <w:numFmt w:val="bullet"/>
      <w:lvlText w:val=""/>
      <w:lvlJc w:val="left"/>
      <w:pPr>
        <w:ind w:left="4215" w:hanging="420"/>
      </w:pPr>
      <w:rPr>
        <w:rFonts w:hint="default" w:ascii="Wingdings" w:hAnsi="Wingdings"/>
      </w:rPr>
    </w:lvl>
    <w:lvl w:ilvl="7" w:tentative="0">
      <w:start w:val="1"/>
      <w:numFmt w:val="bullet"/>
      <w:lvlText w:val=""/>
      <w:lvlJc w:val="left"/>
      <w:pPr>
        <w:ind w:left="4635" w:hanging="420"/>
      </w:pPr>
      <w:rPr>
        <w:rFonts w:hint="default" w:ascii="Wingdings" w:hAnsi="Wingdings"/>
      </w:rPr>
    </w:lvl>
    <w:lvl w:ilvl="8" w:tentative="0">
      <w:start w:val="1"/>
      <w:numFmt w:val="bullet"/>
      <w:lvlText w:val=""/>
      <w:lvlJc w:val="left"/>
      <w:pPr>
        <w:ind w:left="5055" w:hanging="420"/>
      </w:pPr>
      <w:rPr>
        <w:rFonts w:hint="default" w:ascii="Wingdings" w:hAnsi="Wingdings"/>
      </w:rPr>
    </w:lvl>
  </w:abstractNum>
  <w:abstractNum w:abstractNumId="17">
    <w:nsid w:val="44331C38"/>
    <w:multiLevelType w:val="multilevel"/>
    <w:tmpl w:val="44331C38"/>
    <w:lvl w:ilvl="0" w:tentative="0">
      <w:start w:val="0"/>
      <w:numFmt w:val="bullet"/>
      <w:lvlText w:val="•"/>
      <w:lvlJc w:val="left"/>
      <w:pPr>
        <w:ind w:left="1074" w:hanging="360"/>
      </w:pPr>
      <w:rPr>
        <w:rFonts w:hint="eastAsia" w:ascii="宋体" w:hAnsi="宋体" w:eastAsia="宋体" w:cs="Times New Roman"/>
      </w:rPr>
    </w:lvl>
    <w:lvl w:ilvl="1" w:tentative="0">
      <w:start w:val="1"/>
      <w:numFmt w:val="bullet"/>
      <w:lvlText w:val=""/>
      <w:lvlJc w:val="left"/>
      <w:pPr>
        <w:ind w:left="1554" w:hanging="420"/>
      </w:pPr>
      <w:rPr>
        <w:rFonts w:hint="default" w:ascii="Wingdings" w:hAnsi="Wingdings"/>
      </w:rPr>
    </w:lvl>
    <w:lvl w:ilvl="2" w:tentative="0">
      <w:start w:val="1"/>
      <w:numFmt w:val="bullet"/>
      <w:lvlText w:val=""/>
      <w:lvlJc w:val="left"/>
      <w:pPr>
        <w:ind w:left="1974" w:hanging="420"/>
      </w:pPr>
      <w:rPr>
        <w:rFonts w:hint="default" w:ascii="Wingdings" w:hAnsi="Wingdings"/>
      </w:rPr>
    </w:lvl>
    <w:lvl w:ilvl="3" w:tentative="0">
      <w:start w:val="1"/>
      <w:numFmt w:val="bullet"/>
      <w:lvlText w:val=""/>
      <w:lvlJc w:val="left"/>
      <w:pPr>
        <w:ind w:left="2394" w:hanging="420"/>
      </w:pPr>
      <w:rPr>
        <w:rFonts w:hint="default" w:ascii="Wingdings" w:hAnsi="Wingdings"/>
      </w:rPr>
    </w:lvl>
    <w:lvl w:ilvl="4" w:tentative="0">
      <w:start w:val="1"/>
      <w:numFmt w:val="bullet"/>
      <w:lvlText w:val=""/>
      <w:lvlJc w:val="left"/>
      <w:pPr>
        <w:ind w:left="2814" w:hanging="420"/>
      </w:pPr>
      <w:rPr>
        <w:rFonts w:hint="default" w:ascii="Wingdings" w:hAnsi="Wingdings"/>
      </w:rPr>
    </w:lvl>
    <w:lvl w:ilvl="5" w:tentative="0">
      <w:start w:val="1"/>
      <w:numFmt w:val="bullet"/>
      <w:lvlText w:val=""/>
      <w:lvlJc w:val="left"/>
      <w:pPr>
        <w:ind w:left="3234" w:hanging="420"/>
      </w:pPr>
      <w:rPr>
        <w:rFonts w:hint="default" w:ascii="Wingdings" w:hAnsi="Wingdings"/>
      </w:rPr>
    </w:lvl>
    <w:lvl w:ilvl="6" w:tentative="0">
      <w:start w:val="1"/>
      <w:numFmt w:val="bullet"/>
      <w:lvlText w:val=""/>
      <w:lvlJc w:val="left"/>
      <w:pPr>
        <w:ind w:left="3654" w:hanging="420"/>
      </w:pPr>
      <w:rPr>
        <w:rFonts w:hint="default" w:ascii="Wingdings" w:hAnsi="Wingdings"/>
      </w:rPr>
    </w:lvl>
    <w:lvl w:ilvl="7" w:tentative="0">
      <w:start w:val="1"/>
      <w:numFmt w:val="bullet"/>
      <w:lvlText w:val=""/>
      <w:lvlJc w:val="left"/>
      <w:pPr>
        <w:ind w:left="4074" w:hanging="420"/>
      </w:pPr>
      <w:rPr>
        <w:rFonts w:hint="default" w:ascii="Wingdings" w:hAnsi="Wingdings"/>
      </w:rPr>
    </w:lvl>
    <w:lvl w:ilvl="8" w:tentative="0">
      <w:start w:val="1"/>
      <w:numFmt w:val="bullet"/>
      <w:lvlText w:val=""/>
      <w:lvlJc w:val="left"/>
      <w:pPr>
        <w:ind w:left="4494" w:hanging="420"/>
      </w:pPr>
      <w:rPr>
        <w:rFonts w:hint="default" w:ascii="Wingdings" w:hAnsi="Wingdings"/>
      </w:rPr>
    </w:lvl>
  </w:abstractNum>
  <w:abstractNum w:abstractNumId="18">
    <w:nsid w:val="482C15F5"/>
    <w:multiLevelType w:val="multilevel"/>
    <w:tmpl w:val="482C15F5"/>
    <w:lvl w:ilvl="0" w:tentative="0">
      <w:start w:val="0"/>
      <w:numFmt w:val="bullet"/>
      <w:lvlText w:val="•"/>
      <w:lvlJc w:val="left"/>
      <w:pPr>
        <w:ind w:left="1696" w:hanging="420"/>
      </w:pPr>
      <w:rPr>
        <w:rFonts w:hint="eastAsia" w:ascii="宋体" w:hAnsi="宋体" w:eastAsia="宋体" w:cs="Times New Roman"/>
      </w:rPr>
    </w:lvl>
    <w:lvl w:ilvl="1" w:tentative="0">
      <w:start w:val="1"/>
      <w:numFmt w:val="bullet"/>
      <w:lvlText w:val=""/>
      <w:lvlJc w:val="left"/>
      <w:pPr>
        <w:ind w:left="2116" w:hanging="420"/>
      </w:pPr>
      <w:rPr>
        <w:rFonts w:hint="default" w:ascii="Wingdings" w:hAnsi="Wingdings"/>
      </w:rPr>
    </w:lvl>
    <w:lvl w:ilvl="2" w:tentative="0">
      <w:start w:val="1"/>
      <w:numFmt w:val="bullet"/>
      <w:lvlText w:val=""/>
      <w:lvlJc w:val="left"/>
      <w:pPr>
        <w:ind w:left="2536" w:hanging="420"/>
      </w:pPr>
      <w:rPr>
        <w:rFonts w:hint="default" w:ascii="Wingdings" w:hAnsi="Wingdings"/>
      </w:rPr>
    </w:lvl>
    <w:lvl w:ilvl="3" w:tentative="0">
      <w:start w:val="1"/>
      <w:numFmt w:val="bullet"/>
      <w:lvlText w:val=""/>
      <w:lvlJc w:val="left"/>
      <w:pPr>
        <w:ind w:left="2956" w:hanging="420"/>
      </w:pPr>
      <w:rPr>
        <w:rFonts w:hint="default" w:ascii="Wingdings" w:hAnsi="Wingdings"/>
      </w:rPr>
    </w:lvl>
    <w:lvl w:ilvl="4" w:tentative="0">
      <w:start w:val="1"/>
      <w:numFmt w:val="bullet"/>
      <w:lvlText w:val=""/>
      <w:lvlJc w:val="left"/>
      <w:pPr>
        <w:ind w:left="3376" w:hanging="420"/>
      </w:pPr>
      <w:rPr>
        <w:rFonts w:hint="default" w:ascii="Wingdings" w:hAnsi="Wingdings"/>
      </w:rPr>
    </w:lvl>
    <w:lvl w:ilvl="5" w:tentative="0">
      <w:start w:val="1"/>
      <w:numFmt w:val="bullet"/>
      <w:lvlText w:val=""/>
      <w:lvlJc w:val="left"/>
      <w:pPr>
        <w:ind w:left="3796" w:hanging="420"/>
      </w:pPr>
      <w:rPr>
        <w:rFonts w:hint="default" w:ascii="Wingdings" w:hAnsi="Wingdings"/>
      </w:rPr>
    </w:lvl>
    <w:lvl w:ilvl="6" w:tentative="0">
      <w:start w:val="1"/>
      <w:numFmt w:val="bullet"/>
      <w:lvlText w:val=""/>
      <w:lvlJc w:val="left"/>
      <w:pPr>
        <w:ind w:left="4216" w:hanging="420"/>
      </w:pPr>
      <w:rPr>
        <w:rFonts w:hint="default" w:ascii="Wingdings" w:hAnsi="Wingdings"/>
      </w:rPr>
    </w:lvl>
    <w:lvl w:ilvl="7" w:tentative="0">
      <w:start w:val="1"/>
      <w:numFmt w:val="bullet"/>
      <w:lvlText w:val=""/>
      <w:lvlJc w:val="left"/>
      <w:pPr>
        <w:ind w:left="4636" w:hanging="420"/>
      </w:pPr>
      <w:rPr>
        <w:rFonts w:hint="default" w:ascii="Wingdings" w:hAnsi="Wingdings"/>
      </w:rPr>
    </w:lvl>
    <w:lvl w:ilvl="8" w:tentative="0">
      <w:start w:val="1"/>
      <w:numFmt w:val="bullet"/>
      <w:lvlText w:val=""/>
      <w:lvlJc w:val="left"/>
      <w:pPr>
        <w:ind w:left="5056" w:hanging="420"/>
      </w:pPr>
      <w:rPr>
        <w:rFonts w:hint="default" w:ascii="Wingdings" w:hAnsi="Wingdings"/>
      </w:rPr>
    </w:lvl>
  </w:abstractNum>
  <w:abstractNum w:abstractNumId="19">
    <w:nsid w:val="4F8142EE"/>
    <w:multiLevelType w:val="multilevel"/>
    <w:tmpl w:val="4F8142EE"/>
    <w:lvl w:ilvl="0" w:tentative="0">
      <w:start w:val="1"/>
      <w:numFmt w:val="chineseCountingThousand"/>
      <w:pStyle w:val="42"/>
      <w:lvlText w:val="%1、"/>
      <w:lvlJc w:val="left"/>
      <w:pPr>
        <w:ind w:left="1007" w:hanging="440"/>
      </w:pPr>
    </w:lvl>
    <w:lvl w:ilvl="1" w:tentative="0">
      <w:start w:val="1"/>
      <w:numFmt w:val="lowerLetter"/>
      <w:lvlText w:val="%2)"/>
      <w:lvlJc w:val="left"/>
      <w:pPr>
        <w:ind w:left="1447" w:hanging="440"/>
      </w:pPr>
    </w:lvl>
    <w:lvl w:ilvl="2" w:tentative="0">
      <w:start w:val="1"/>
      <w:numFmt w:val="lowerRoman"/>
      <w:lvlText w:val="%3."/>
      <w:lvlJc w:val="right"/>
      <w:pPr>
        <w:ind w:left="1887" w:hanging="440"/>
      </w:pPr>
    </w:lvl>
    <w:lvl w:ilvl="3" w:tentative="0">
      <w:start w:val="1"/>
      <w:numFmt w:val="decimal"/>
      <w:lvlText w:val="%4."/>
      <w:lvlJc w:val="left"/>
      <w:pPr>
        <w:ind w:left="2327" w:hanging="440"/>
      </w:pPr>
    </w:lvl>
    <w:lvl w:ilvl="4" w:tentative="0">
      <w:start w:val="1"/>
      <w:numFmt w:val="lowerLetter"/>
      <w:lvlText w:val="%5)"/>
      <w:lvlJc w:val="left"/>
      <w:pPr>
        <w:ind w:left="2767" w:hanging="440"/>
      </w:pPr>
    </w:lvl>
    <w:lvl w:ilvl="5" w:tentative="0">
      <w:start w:val="1"/>
      <w:numFmt w:val="lowerRoman"/>
      <w:lvlText w:val="%6."/>
      <w:lvlJc w:val="right"/>
      <w:pPr>
        <w:ind w:left="3207" w:hanging="440"/>
      </w:pPr>
    </w:lvl>
    <w:lvl w:ilvl="6" w:tentative="0">
      <w:start w:val="1"/>
      <w:numFmt w:val="decimal"/>
      <w:lvlText w:val="%7."/>
      <w:lvlJc w:val="left"/>
      <w:pPr>
        <w:ind w:left="3647" w:hanging="440"/>
      </w:pPr>
    </w:lvl>
    <w:lvl w:ilvl="7" w:tentative="0">
      <w:start w:val="1"/>
      <w:numFmt w:val="lowerLetter"/>
      <w:lvlText w:val="%8)"/>
      <w:lvlJc w:val="left"/>
      <w:pPr>
        <w:ind w:left="4087" w:hanging="440"/>
      </w:pPr>
    </w:lvl>
    <w:lvl w:ilvl="8" w:tentative="0">
      <w:start w:val="1"/>
      <w:numFmt w:val="lowerRoman"/>
      <w:lvlText w:val="%9."/>
      <w:lvlJc w:val="right"/>
      <w:pPr>
        <w:ind w:left="4527" w:hanging="440"/>
      </w:pPr>
    </w:lvl>
  </w:abstractNum>
  <w:abstractNum w:abstractNumId="20">
    <w:nsid w:val="526F35D9"/>
    <w:multiLevelType w:val="multilevel"/>
    <w:tmpl w:val="526F35D9"/>
    <w:lvl w:ilvl="0" w:tentative="0">
      <w:start w:val="0"/>
      <w:numFmt w:val="bullet"/>
      <w:lvlText w:val="-"/>
      <w:lvlJc w:val="left"/>
      <w:pPr>
        <w:ind w:left="1636" w:hanging="360"/>
      </w:pPr>
      <w:rPr>
        <w:rFonts w:hint="default" w:ascii="Times New Roman" w:hAnsi="Times New Roman" w:cs="Times New Roman" w:eastAsiaTheme="minorEastAsia"/>
      </w:rPr>
    </w:lvl>
    <w:lvl w:ilvl="1" w:tentative="0">
      <w:start w:val="1"/>
      <w:numFmt w:val="bullet"/>
      <w:lvlText w:val=""/>
      <w:lvlJc w:val="left"/>
      <w:pPr>
        <w:ind w:left="2116" w:hanging="420"/>
      </w:pPr>
      <w:rPr>
        <w:rFonts w:hint="default" w:ascii="Wingdings" w:hAnsi="Wingdings"/>
      </w:rPr>
    </w:lvl>
    <w:lvl w:ilvl="2" w:tentative="0">
      <w:start w:val="1"/>
      <w:numFmt w:val="bullet"/>
      <w:lvlText w:val=""/>
      <w:lvlJc w:val="left"/>
      <w:pPr>
        <w:ind w:left="2536" w:hanging="420"/>
      </w:pPr>
      <w:rPr>
        <w:rFonts w:hint="default" w:ascii="Wingdings" w:hAnsi="Wingdings"/>
      </w:rPr>
    </w:lvl>
    <w:lvl w:ilvl="3" w:tentative="0">
      <w:start w:val="1"/>
      <w:numFmt w:val="bullet"/>
      <w:lvlText w:val=""/>
      <w:lvlJc w:val="left"/>
      <w:pPr>
        <w:ind w:left="2956" w:hanging="420"/>
      </w:pPr>
      <w:rPr>
        <w:rFonts w:hint="default" w:ascii="Wingdings" w:hAnsi="Wingdings"/>
      </w:rPr>
    </w:lvl>
    <w:lvl w:ilvl="4" w:tentative="0">
      <w:start w:val="1"/>
      <w:numFmt w:val="bullet"/>
      <w:lvlText w:val=""/>
      <w:lvlJc w:val="left"/>
      <w:pPr>
        <w:ind w:left="3376" w:hanging="420"/>
      </w:pPr>
      <w:rPr>
        <w:rFonts w:hint="default" w:ascii="Wingdings" w:hAnsi="Wingdings"/>
      </w:rPr>
    </w:lvl>
    <w:lvl w:ilvl="5" w:tentative="0">
      <w:start w:val="1"/>
      <w:numFmt w:val="bullet"/>
      <w:lvlText w:val=""/>
      <w:lvlJc w:val="left"/>
      <w:pPr>
        <w:ind w:left="3796" w:hanging="420"/>
      </w:pPr>
      <w:rPr>
        <w:rFonts w:hint="default" w:ascii="Wingdings" w:hAnsi="Wingdings"/>
      </w:rPr>
    </w:lvl>
    <w:lvl w:ilvl="6" w:tentative="0">
      <w:start w:val="1"/>
      <w:numFmt w:val="bullet"/>
      <w:lvlText w:val=""/>
      <w:lvlJc w:val="left"/>
      <w:pPr>
        <w:ind w:left="4216" w:hanging="420"/>
      </w:pPr>
      <w:rPr>
        <w:rFonts w:hint="default" w:ascii="Wingdings" w:hAnsi="Wingdings"/>
      </w:rPr>
    </w:lvl>
    <w:lvl w:ilvl="7" w:tentative="0">
      <w:start w:val="1"/>
      <w:numFmt w:val="bullet"/>
      <w:lvlText w:val=""/>
      <w:lvlJc w:val="left"/>
      <w:pPr>
        <w:ind w:left="4636" w:hanging="420"/>
      </w:pPr>
      <w:rPr>
        <w:rFonts w:hint="default" w:ascii="Wingdings" w:hAnsi="Wingdings"/>
      </w:rPr>
    </w:lvl>
    <w:lvl w:ilvl="8" w:tentative="0">
      <w:start w:val="1"/>
      <w:numFmt w:val="bullet"/>
      <w:lvlText w:val=""/>
      <w:lvlJc w:val="left"/>
      <w:pPr>
        <w:ind w:left="5056" w:hanging="420"/>
      </w:pPr>
      <w:rPr>
        <w:rFonts w:hint="default" w:ascii="Wingdings" w:hAnsi="Wingdings"/>
      </w:rPr>
    </w:lvl>
  </w:abstractNum>
  <w:abstractNum w:abstractNumId="21">
    <w:nsid w:val="5E25A94E"/>
    <w:multiLevelType w:val="singleLevel"/>
    <w:tmpl w:val="5E25A94E"/>
    <w:lvl w:ilvl="0" w:tentative="0">
      <w:start w:val="2"/>
      <w:numFmt w:val="chineseCounting"/>
      <w:suff w:val="nothing"/>
      <w:lvlText w:val="（%1）"/>
      <w:lvlJc w:val="left"/>
      <w:rPr>
        <w:rFonts w:hint="eastAsia"/>
      </w:rPr>
    </w:lvl>
  </w:abstractNum>
  <w:abstractNum w:abstractNumId="22">
    <w:nsid w:val="5F2075A5"/>
    <w:multiLevelType w:val="singleLevel"/>
    <w:tmpl w:val="5F2075A5"/>
    <w:lvl w:ilvl="0" w:tentative="0">
      <w:start w:val="2"/>
      <w:numFmt w:val="chineseCounting"/>
      <w:suff w:val="nothing"/>
      <w:lvlText w:val="%1、"/>
      <w:lvlJc w:val="left"/>
      <w:rPr>
        <w:rFonts w:hint="eastAsia"/>
      </w:rPr>
    </w:lvl>
  </w:abstractNum>
  <w:abstractNum w:abstractNumId="23">
    <w:nsid w:val="647DF120"/>
    <w:multiLevelType w:val="singleLevel"/>
    <w:tmpl w:val="647DF120"/>
    <w:lvl w:ilvl="0" w:tentative="0">
      <w:start w:val="3"/>
      <w:numFmt w:val="chineseCounting"/>
      <w:suff w:val="nothing"/>
      <w:lvlText w:val="%1、"/>
      <w:lvlJc w:val="left"/>
    </w:lvl>
  </w:abstractNum>
  <w:abstractNum w:abstractNumId="24">
    <w:nsid w:val="6B0D13B3"/>
    <w:multiLevelType w:val="multilevel"/>
    <w:tmpl w:val="6B0D13B3"/>
    <w:lvl w:ilvl="0" w:tentative="0">
      <w:start w:val="0"/>
      <w:numFmt w:val="bullet"/>
      <w:lvlText w:val="•"/>
      <w:lvlJc w:val="left"/>
      <w:pPr>
        <w:ind w:left="1696" w:hanging="420"/>
      </w:pPr>
      <w:rPr>
        <w:rFonts w:hint="eastAsia" w:ascii="宋体" w:hAnsi="宋体" w:eastAsia="宋体" w:cs="Times New Roman"/>
      </w:rPr>
    </w:lvl>
    <w:lvl w:ilvl="1" w:tentative="0">
      <w:start w:val="1"/>
      <w:numFmt w:val="bullet"/>
      <w:lvlText w:val=""/>
      <w:lvlJc w:val="left"/>
      <w:pPr>
        <w:ind w:left="2116" w:hanging="420"/>
      </w:pPr>
      <w:rPr>
        <w:rFonts w:hint="default" w:ascii="Wingdings" w:hAnsi="Wingdings"/>
      </w:rPr>
    </w:lvl>
    <w:lvl w:ilvl="2" w:tentative="0">
      <w:start w:val="1"/>
      <w:numFmt w:val="bullet"/>
      <w:lvlText w:val=""/>
      <w:lvlJc w:val="left"/>
      <w:pPr>
        <w:ind w:left="2536" w:hanging="420"/>
      </w:pPr>
      <w:rPr>
        <w:rFonts w:hint="default" w:ascii="Wingdings" w:hAnsi="Wingdings"/>
      </w:rPr>
    </w:lvl>
    <w:lvl w:ilvl="3" w:tentative="0">
      <w:start w:val="1"/>
      <w:numFmt w:val="bullet"/>
      <w:lvlText w:val=""/>
      <w:lvlJc w:val="left"/>
      <w:pPr>
        <w:ind w:left="2956" w:hanging="420"/>
      </w:pPr>
      <w:rPr>
        <w:rFonts w:hint="default" w:ascii="Wingdings" w:hAnsi="Wingdings"/>
      </w:rPr>
    </w:lvl>
    <w:lvl w:ilvl="4" w:tentative="0">
      <w:start w:val="1"/>
      <w:numFmt w:val="bullet"/>
      <w:lvlText w:val=""/>
      <w:lvlJc w:val="left"/>
      <w:pPr>
        <w:ind w:left="3376" w:hanging="420"/>
      </w:pPr>
      <w:rPr>
        <w:rFonts w:hint="default" w:ascii="Wingdings" w:hAnsi="Wingdings"/>
      </w:rPr>
    </w:lvl>
    <w:lvl w:ilvl="5" w:tentative="0">
      <w:start w:val="1"/>
      <w:numFmt w:val="bullet"/>
      <w:lvlText w:val=""/>
      <w:lvlJc w:val="left"/>
      <w:pPr>
        <w:ind w:left="3796" w:hanging="420"/>
      </w:pPr>
      <w:rPr>
        <w:rFonts w:hint="default" w:ascii="Wingdings" w:hAnsi="Wingdings"/>
      </w:rPr>
    </w:lvl>
    <w:lvl w:ilvl="6" w:tentative="0">
      <w:start w:val="1"/>
      <w:numFmt w:val="bullet"/>
      <w:lvlText w:val=""/>
      <w:lvlJc w:val="left"/>
      <w:pPr>
        <w:ind w:left="4216" w:hanging="420"/>
      </w:pPr>
      <w:rPr>
        <w:rFonts w:hint="default" w:ascii="Wingdings" w:hAnsi="Wingdings"/>
      </w:rPr>
    </w:lvl>
    <w:lvl w:ilvl="7" w:tentative="0">
      <w:start w:val="1"/>
      <w:numFmt w:val="bullet"/>
      <w:lvlText w:val=""/>
      <w:lvlJc w:val="left"/>
      <w:pPr>
        <w:ind w:left="4636" w:hanging="420"/>
      </w:pPr>
      <w:rPr>
        <w:rFonts w:hint="default" w:ascii="Wingdings" w:hAnsi="Wingdings"/>
      </w:rPr>
    </w:lvl>
    <w:lvl w:ilvl="8" w:tentative="0">
      <w:start w:val="1"/>
      <w:numFmt w:val="bullet"/>
      <w:lvlText w:val=""/>
      <w:lvlJc w:val="left"/>
      <w:pPr>
        <w:ind w:left="5056" w:hanging="420"/>
      </w:pPr>
      <w:rPr>
        <w:rFonts w:hint="default" w:ascii="Wingdings" w:hAnsi="Wingdings"/>
      </w:rPr>
    </w:lvl>
  </w:abstractNum>
  <w:num w:numId="1">
    <w:abstractNumId w:val="10"/>
  </w:num>
  <w:num w:numId="2">
    <w:abstractNumId w:val="4"/>
  </w:num>
  <w:num w:numId="3">
    <w:abstractNumId w:val="6"/>
  </w:num>
  <w:num w:numId="4">
    <w:abstractNumId w:val="19"/>
  </w:num>
  <w:num w:numId="5">
    <w:abstractNumId w:val="21"/>
  </w:num>
  <w:num w:numId="6">
    <w:abstractNumId w:val="1"/>
  </w:num>
  <w:num w:numId="7">
    <w:abstractNumId w:val="3"/>
  </w:num>
  <w:num w:numId="8">
    <w:abstractNumId w:val="12"/>
  </w:num>
  <w:num w:numId="9">
    <w:abstractNumId w:val="22"/>
  </w:num>
  <w:num w:numId="10">
    <w:abstractNumId w:val="2"/>
  </w:num>
  <w:num w:numId="11">
    <w:abstractNumId w:val="13"/>
  </w:num>
  <w:num w:numId="12">
    <w:abstractNumId w:val="23"/>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20"/>
  </w:num>
  <w:num w:numId="16">
    <w:abstractNumId w:val="17"/>
  </w:num>
  <w:num w:numId="17">
    <w:abstractNumId w:val="9"/>
  </w:num>
  <w:num w:numId="18">
    <w:abstractNumId w:val="24"/>
  </w:num>
  <w:num w:numId="19">
    <w:abstractNumId w:val="5"/>
  </w:num>
  <w:num w:numId="20">
    <w:abstractNumId w:val="8"/>
  </w:num>
  <w:num w:numId="21">
    <w:abstractNumId w:val="15"/>
  </w:num>
  <w:num w:numId="22">
    <w:abstractNumId w:val="11"/>
  </w:num>
  <w:num w:numId="23">
    <w:abstractNumId w:val="14"/>
  </w:num>
  <w:num w:numId="24">
    <w:abstractNumId w:val="18"/>
  </w:num>
  <w:num w:numId="25">
    <w:abstractNumId w:val="7"/>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iMmJjMGUyMDNhMGI0MjllZTc4OTE3ODRjOTBjMWQifQ=="/>
  </w:docVars>
  <w:rsids>
    <w:rsidRoot w:val="22DF6A53"/>
    <w:rsid w:val="002F5CBC"/>
    <w:rsid w:val="01E11C91"/>
    <w:rsid w:val="03426A18"/>
    <w:rsid w:val="0469004A"/>
    <w:rsid w:val="052D3FD1"/>
    <w:rsid w:val="0B653183"/>
    <w:rsid w:val="0BB27066"/>
    <w:rsid w:val="0E946425"/>
    <w:rsid w:val="0F125794"/>
    <w:rsid w:val="14525D61"/>
    <w:rsid w:val="16CF4223"/>
    <w:rsid w:val="1761455F"/>
    <w:rsid w:val="1E8C473C"/>
    <w:rsid w:val="1FFA0760"/>
    <w:rsid w:val="20736FEC"/>
    <w:rsid w:val="21C76FCB"/>
    <w:rsid w:val="22DF6A53"/>
    <w:rsid w:val="23CE4806"/>
    <w:rsid w:val="23DC5340"/>
    <w:rsid w:val="24225747"/>
    <w:rsid w:val="24471CCB"/>
    <w:rsid w:val="26541A9A"/>
    <w:rsid w:val="2B6B2404"/>
    <w:rsid w:val="2B8651EB"/>
    <w:rsid w:val="2BB92A88"/>
    <w:rsid w:val="2D01554D"/>
    <w:rsid w:val="3017175C"/>
    <w:rsid w:val="31ED3A2A"/>
    <w:rsid w:val="33480691"/>
    <w:rsid w:val="364B19CE"/>
    <w:rsid w:val="38A81412"/>
    <w:rsid w:val="3C3835D8"/>
    <w:rsid w:val="3D9A0C24"/>
    <w:rsid w:val="3FBF5339"/>
    <w:rsid w:val="427D0F05"/>
    <w:rsid w:val="447E4F36"/>
    <w:rsid w:val="47B30D43"/>
    <w:rsid w:val="4A81715C"/>
    <w:rsid w:val="4CE5295D"/>
    <w:rsid w:val="4E496563"/>
    <w:rsid w:val="4EC55D28"/>
    <w:rsid w:val="4EDB6465"/>
    <w:rsid w:val="50D80813"/>
    <w:rsid w:val="511160B1"/>
    <w:rsid w:val="553A3F54"/>
    <w:rsid w:val="56BB3F58"/>
    <w:rsid w:val="573E11CC"/>
    <w:rsid w:val="58F85CAE"/>
    <w:rsid w:val="5BBB5452"/>
    <w:rsid w:val="61EB30D9"/>
    <w:rsid w:val="64277BE4"/>
    <w:rsid w:val="6C6045C7"/>
    <w:rsid w:val="6D285D1C"/>
    <w:rsid w:val="76BA7BCE"/>
    <w:rsid w:val="77DF6386"/>
    <w:rsid w:val="7876341A"/>
    <w:rsid w:val="797F564A"/>
    <w:rsid w:val="7A9462A9"/>
    <w:rsid w:val="7B7716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9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qFormat="1" w:unhideWhenUsed="0" w:uiPriority="99"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next w:val="2"/>
    <w:qFormat/>
    <w:uiPriority w:val="99"/>
    <w:pPr>
      <w:keepNext/>
      <w:keepLines/>
      <w:pageBreakBefore/>
      <w:numPr>
        <w:ilvl w:val="0"/>
        <w:numId w:val="1"/>
      </w:numPr>
      <w:spacing w:beforeLines="50" w:afterLines="50" w:line="360" w:lineRule="auto"/>
      <w:jc w:val="center"/>
      <w:outlineLvl w:val="0"/>
    </w:pPr>
    <w:rPr>
      <w:rFonts w:ascii="Times New Roman" w:hAnsi="Times New Roman" w:eastAsia="黑体" w:cs="Times New Roman"/>
      <w:bCs/>
      <w:sz w:val="32"/>
      <w:szCs w:val="44"/>
      <w:lang w:bidi="ar-SA"/>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24">
    <w:name w:val="Default Paragraph Font"/>
    <w:semiHidden/>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style>
  <w:style w:type="paragraph" w:styleId="5">
    <w:name w:val="annotation text"/>
    <w:basedOn w:val="1"/>
    <w:unhideWhenUsed/>
    <w:qFormat/>
    <w:uiPriority w:val="99"/>
    <w:pPr>
      <w:jc w:val="left"/>
    </w:pPr>
  </w:style>
  <w:style w:type="paragraph" w:styleId="6">
    <w:name w:val="Body Text"/>
    <w:basedOn w:val="1"/>
    <w:next w:val="7"/>
    <w:qFormat/>
    <w:uiPriority w:val="1"/>
    <w:rPr>
      <w:rFonts w:ascii="宋体" w:hAnsi="宋体" w:eastAsia="宋体" w:cs="宋体"/>
      <w:sz w:val="28"/>
      <w:szCs w:val="28"/>
      <w:lang w:val="zh-CN" w:bidi="zh-CN"/>
    </w:rPr>
  </w:style>
  <w:style w:type="paragraph" w:styleId="7">
    <w:name w:val="Title"/>
    <w:basedOn w:val="1"/>
    <w:next w:val="1"/>
    <w:qFormat/>
    <w:uiPriority w:val="0"/>
    <w:pPr>
      <w:widowControl/>
      <w:spacing w:before="240" w:after="60" w:line="560" w:lineRule="exact"/>
      <w:jc w:val="center"/>
      <w:outlineLvl w:val="0"/>
    </w:pPr>
    <w:rPr>
      <w:rFonts w:ascii="Arial" w:hAnsi="Arial" w:eastAsia="华文中宋" w:cs="Arial"/>
      <w:b/>
      <w:bCs/>
      <w:color w:val="FF0000"/>
      <w:kern w:val="0"/>
      <w:sz w:val="84"/>
      <w:szCs w:val="32"/>
    </w:rPr>
  </w:style>
  <w:style w:type="paragraph" w:styleId="8">
    <w:name w:val="Body Text Indent"/>
    <w:basedOn w:val="1"/>
    <w:next w:val="9"/>
    <w:qFormat/>
    <w:uiPriority w:val="0"/>
    <w:pPr>
      <w:spacing w:line="480" w:lineRule="exact"/>
      <w:ind w:firstLine="495"/>
    </w:pPr>
    <w:rPr>
      <w:rFonts w:ascii="楷体_GB2312" w:hAnsi="Times New Roman" w:eastAsia="楷体_GB2312" w:cs="Times New Roman"/>
      <w:sz w:val="28"/>
    </w:rPr>
  </w:style>
  <w:style w:type="paragraph" w:customStyle="1" w:styleId="9">
    <w:name w:val="正文文本缩进1"/>
    <w:basedOn w:val="1"/>
    <w:qFormat/>
    <w:uiPriority w:val="0"/>
    <w:pPr>
      <w:numPr>
        <w:ilvl w:val="0"/>
        <w:numId w:val="2"/>
      </w:numPr>
      <w:spacing w:line="480" w:lineRule="exact"/>
      <w:ind w:left="0" w:firstLine="0"/>
    </w:pPr>
    <w:rPr>
      <w:sz w:val="24"/>
    </w:rPr>
  </w:style>
  <w:style w:type="paragraph" w:styleId="10">
    <w:name w:val="Plain Text"/>
    <w:basedOn w:val="1"/>
    <w:semiHidden/>
    <w:qFormat/>
    <w:uiPriority w:val="0"/>
    <w:rPr>
      <w:rFonts w:hint="eastAsia" w:ascii="宋体" w:hAnsi="Courier New" w:cs="宋体"/>
    </w:rPr>
  </w:style>
  <w:style w:type="paragraph" w:styleId="11">
    <w:name w:val="Body Text Indent 2"/>
    <w:basedOn w:val="1"/>
    <w:unhideWhenUsed/>
    <w:qFormat/>
    <w:uiPriority w:val="99"/>
    <w:pPr>
      <w:spacing w:after="120" w:line="480" w:lineRule="auto"/>
      <w:ind w:left="420" w:leftChars="200"/>
    </w:p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toc 1"/>
    <w:basedOn w:val="1"/>
    <w:next w:val="1"/>
    <w:unhideWhenUsed/>
    <w:qFormat/>
    <w:uiPriority w:val="99"/>
  </w:style>
  <w:style w:type="paragraph" w:styleId="15">
    <w:name w:val="footnote text"/>
    <w:basedOn w:val="1"/>
    <w:qFormat/>
    <w:uiPriority w:val="0"/>
    <w:pPr>
      <w:widowControl/>
      <w:snapToGrid w:val="0"/>
      <w:spacing w:line="400" w:lineRule="atLeast"/>
      <w:jc w:val="left"/>
    </w:pPr>
    <w:rPr>
      <w:b/>
      <w:sz w:val="18"/>
      <w:szCs w:val="18"/>
    </w:rPr>
  </w:style>
  <w:style w:type="paragraph" w:styleId="16">
    <w:name w:val="Body Text Indent 3"/>
    <w:basedOn w:val="1"/>
    <w:qFormat/>
    <w:uiPriority w:val="99"/>
    <w:pPr>
      <w:spacing w:after="120"/>
      <w:ind w:left="420" w:leftChars="200"/>
    </w:pPr>
    <w:rPr>
      <w:sz w:val="16"/>
      <w:szCs w:val="16"/>
    </w:rPr>
  </w:style>
  <w:style w:type="paragraph" w:styleId="17">
    <w:name w:val="table of figures"/>
    <w:basedOn w:val="1"/>
    <w:next w:val="1"/>
    <w:unhideWhenUsed/>
    <w:qFormat/>
    <w:uiPriority w:val="99"/>
    <w:pPr>
      <w:ind w:left="200" w:leftChars="200" w:hanging="200" w:hangingChars="200"/>
    </w:pPr>
  </w:style>
  <w:style w:type="paragraph" w:styleId="18">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9">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20">
    <w:name w:val="Body Text First Indent"/>
    <w:basedOn w:val="6"/>
    <w:next w:val="1"/>
    <w:unhideWhenUsed/>
    <w:qFormat/>
    <w:uiPriority w:val="99"/>
    <w:pPr>
      <w:ind w:firstLine="420" w:firstLineChars="100"/>
    </w:pPr>
  </w:style>
  <w:style w:type="paragraph" w:styleId="21">
    <w:name w:val="Body Text First Indent 2"/>
    <w:basedOn w:val="8"/>
    <w:next w:val="20"/>
    <w:qFormat/>
    <w:uiPriority w:val="0"/>
    <w:pPr>
      <w:ind w:firstLine="420" w:firstLineChars="200"/>
    </w:p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page number"/>
    <w:basedOn w:val="24"/>
    <w:qFormat/>
    <w:uiPriority w:val="0"/>
  </w:style>
  <w:style w:type="character" w:styleId="26">
    <w:name w:val="annotation reference"/>
    <w:unhideWhenUsed/>
    <w:qFormat/>
    <w:uiPriority w:val="99"/>
    <w:rPr>
      <w:sz w:val="21"/>
      <w:szCs w:val="21"/>
    </w:rPr>
  </w:style>
  <w:style w:type="paragraph" w:customStyle="1" w:styleId="27">
    <w:name w:val="NormalIndent"/>
    <w:basedOn w:val="1"/>
    <w:qFormat/>
    <w:uiPriority w:val="0"/>
    <w:pPr>
      <w:spacing w:line="360" w:lineRule="auto"/>
      <w:ind w:firstLine="200" w:firstLineChars="200"/>
      <w:textAlignment w:val="baseline"/>
    </w:pPr>
    <w:rPr>
      <w:rFonts w:ascii="Arial" w:hAnsi="Arial"/>
      <w:sz w:val="24"/>
    </w:rPr>
  </w:style>
  <w:style w:type="paragraph" w:customStyle="1" w:styleId="28">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30">
    <w:name w:val="font112"/>
    <w:basedOn w:val="24"/>
    <w:qFormat/>
    <w:uiPriority w:val="0"/>
    <w:rPr>
      <w:rFonts w:hint="eastAsia" w:ascii="宋体" w:hAnsi="宋体" w:eastAsia="宋体" w:cs="宋体"/>
      <w:b/>
      <w:color w:val="000000"/>
      <w:sz w:val="20"/>
      <w:szCs w:val="20"/>
      <w:u w:val="none"/>
    </w:rPr>
  </w:style>
  <w:style w:type="character" w:customStyle="1" w:styleId="31">
    <w:name w:val="font91"/>
    <w:basedOn w:val="24"/>
    <w:qFormat/>
    <w:uiPriority w:val="0"/>
    <w:rPr>
      <w:rFonts w:ascii="Arial" w:hAnsi="Arial" w:cs="Arial"/>
      <w:color w:val="000000"/>
      <w:sz w:val="20"/>
      <w:szCs w:val="20"/>
      <w:u w:val="none"/>
    </w:rPr>
  </w:style>
  <w:style w:type="character" w:customStyle="1" w:styleId="32">
    <w:name w:val="font11"/>
    <w:basedOn w:val="24"/>
    <w:qFormat/>
    <w:uiPriority w:val="0"/>
    <w:rPr>
      <w:rFonts w:hint="eastAsia" w:ascii="宋体" w:hAnsi="宋体" w:eastAsia="宋体" w:cs="宋体"/>
      <w:color w:val="000000"/>
      <w:sz w:val="20"/>
      <w:szCs w:val="20"/>
      <w:u w:val="none"/>
    </w:rPr>
  </w:style>
  <w:style w:type="paragraph" w:customStyle="1" w:styleId="33">
    <w:name w:val="TOC 标题1"/>
    <w:basedOn w:val="3"/>
    <w:next w:val="1"/>
    <w:unhideWhenUsed/>
    <w:qFormat/>
    <w:uiPriority w:val="39"/>
    <w:pPr>
      <w:pageBreakBefore w:val="0"/>
      <w:numPr>
        <w:ilvl w:val="0"/>
        <w:numId w:val="0"/>
      </w:numPr>
      <w:spacing w:beforeLines="0" w:afterLines="0" w:line="259" w:lineRule="auto"/>
      <w:jc w:val="left"/>
      <w:outlineLvl w:val="9"/>
    </w:pPr>
    <w:rPr>
      <w:rFonts w:ascii="等线 Light" w:hAnsi="等线 Light" w:eastAsia="等线 Light" w:cs="Times New Roman"/>
      <w:bCs w:val="0"/>
      <w:color w:val="2F5496"/>
      <w:szCs w:val="32"/>
    </w:rPr>
  </w:style>
  <w:style w:type="paragraph" w:customStyle="1" w:styleId="34">
    <w:name w:val="正文0"/>
    <w:basedOn w:val="1"/>
    <w:qFormat/>
    <w:uiPriority w:val="99"/>
    <w:pPr>
      <w:autoSpaceDE w:val="0"/>
      <w:autoSpaceDN w:val="0"/>
      <w:adjustRightInd w:val="0"/>
      <w:spacing w:line="484" w:lineRule="atLeast"/>
      <w:ind w:firstLine="491"/>
      <w:textAlignment w:val="center"/>
    </w:pPr>
    <w:rPr>
      <w:rFonts w:ascii="方正书宋_GBK" w:hAnsi="Times New Roman" w:eastAsia="方正书宋_GBK" w:cs="方正书宋_GBK"/>
      <w:color w:val="000000"/>
      <w:kern w:val="0"/>
      <w:sz w:val="24"/>
      <w:szCs w:val="24"/>
      <w:lang w:val="zh-CN"/>
    </w:rPr>
  </w:style>
  <w:style w:type="paragraph" w:customStyle="1" w:styleId="35">
    <w:name w:val="立信附注正文 [3级]"/>
    <w:qFormat/>
    <w:uiPriority w:val="0"/>
    <w:pPr>
      <w:widowControl w:val="0"/>
      <w:tabs>
        <w:tab w:val="left" w:pos="0"/>
      </w:tabs>
      <w:adjustRightInd w:val="0"/>
      <w:snapToGrid w:val="0"/>
      <w:spacing w:line="400" w:lineRule="atLeast"/>
      <w:ind w:left="1276"/>
      <w:jc w:val="both"/>
    </w:pPr>
    <w:rPr>
      <w:rFonts w:ascii="Times New Roman" w:hAnsi="Times New Roman" w:eastAsia="宋体" w:cs="Times New Roman"/>
      <w:color w:val="000000"/>
      <w:kern w:val="2"/>
      <w:sz w:val="21"/>
      <w:szCs w:val="21"/>
      <w:lang w:val="en-US" w:eastAsia="zh-CN" w:bidi="ar-SA"/>
    </w:rPr>
  </w:style>
  <w:style w:type="table" w:customStyle="1" w:styleId="36">
    <w:name w:val="立信年报表格 [2级]"/>
    <w:basedOn w:val="22"/>
    <w:qFormat/>
    <w:uiPriority w:val="0"/>
    <w:pPr>
      <w:jc w:val="both"/>
    </w:pPr>
    <w:rPr>
      <w:rFonts w:ascii="Times New Roman" w:hAnsi="Times New Roman" w:eastAsia="宋体" w:cs="Times New Roman"/>
      <w:color w:val="000000"/>
      <w:sz w:val="18"/>
    </w:rPr>
    <w:tblPr>
      <w:tblBorders>
        <w:top w:val="single" w:color="auto" w:sz="12" w:space="0"/>
        <w:bottom w:val="single" w:color="auto" w:sz="12" w:space="0"/>
        <w:insideH w:val="dotted" w:color="auto" w:sz="4" w:space="0"/>
        <w:insideV w:val="dotted" w:color="auto" w:sz="4" w:space="0"/>
      </w:tblBorders>
    </w:tblPr>
    <w:tcPr>
      <w:shd w:val="clear" w:color="auto" w:fill="auto"/>
    </w:tcPr>
  </w:style>
  <w:style w:type="paragraph" w:customStyle="1" w:styleId="37">
    <w:name w:val="立信附注标题 [2级]"/>
    <w:next w:val="38"/>
    <w:qFormat/>
    <w:uiPriority w:val="0"/>
    <w:pPr>
      <w:widowControl w:val="0"/>
      <w:numPr>
        <w:ilvl w:val="1"/>
        <w:numId w:val="3"/>
      </w:numPr>
      <w:tabs>
        <w:tab w:val="left" w:pos="714"/>
        <w:tab w:val="left" w:pos="850"/>
      </w:tabs>
      <w:adjustRightInd w:val="0"/>
      <w:snapToGrid w:val="0"/>
      <w:spacing w:line="400" w:lineRule="atLeast"/>
      <w:jc w:val="both"/>
      <w:outlineLvl w:val="1"/>
    </w:pPr>
    <w:rPr>
      <w:rFonts w:ascii="Times New Roman" w:hAnsi="Times New Roman" w:eastAsia="宋体" w:cs="Times New Roman"/>
      <w:b/>
      <w:color w:val="000000"/>
      <w:kern w:val="2"/>
      <w:sz w:val="21"/>
      <w:szCs w:val="21"/>
      <w:lang w:val="en-US" w:eastAsia="zh-CN" w:bidi="ar-SA"/>
    </w:rPr>
  </w:style>
  <w:style w:type="paragraph" w:customStyle="1" w:styleId="38">
    <w:name w:val="立信附注正文 [2级]"/>
    <w:qFormat/>
    <w:uiPriority w:val="0"/>
    <w:pPr>
      <w:widowControl w:val="0"/>
      <w:tabs>
        <w:tab w:val="left" w:pos="0"/>
      </w:tabs>
      <w:adjustRightInd w:val="0"/>
      <w:snapToGrid w:val="0"/>
      <w:spacing w:line="400" w:lineRule="atLeast"/>
      <w:ind w:left="714"/>
      <w:jc w:val="both"/>
    </w:pPr>
    <w:rPr>
      <w:rFonts w:ascii="Times New Roman" w:hAnsi="Times New Roman" w:eastAsia="宋体" w:cs="Times New Roman"/>
      <w:color w:val="000000"/>
      <w:kern w:val="2"/>
      <w:sz w:val="21"/>
      <w:szCs w:val="21"/>
      <w:lang w:val="en-US" w:eastAsia="zh-CN" w:bidi="ar-SA"/>
    </w:rPr>
  </w:style>
  <w:style w:type="paragraph" w:styleId="39">
    <w:name w:val="No Spacing"/>
    <w:qFormat/>
    <w:uiPriority w:val="99"/>
    <w:pPr>
      <w:widowControl w:val="0"/>
      <w:jc w:val="both"/>
    </w:pPr>
    <w:rPr>
      <w:rFonts w:ascii="Calibri" w:hAnsi="Calibri" w:eastAsia="宋体" w:cs="Times New Roman"/>
      <w:kern w:val="2"/>
      <w:sz w:val="21"/>
      <w:szCs w:val="22"/>
      <w:lang w:val="en-US" w:eastAsia="zh-CN" w:bidi="ar-SA"/>
    </w:rPr>
  </w:style>
  <w:style w:type="paragraph" w:customStyle="1" w:styleId="40">
    <w:name w:val="Table Paragraph"/>
    <w:basedOn w:val="1"/>
    <w:qFormat/>
    <w:uiPriority w:val="1"/>
    <w:pPr>
      <w:autoSpaceDE w:val="0"/>
      <w:autoSpaceDN w:val="0"/>
      <w:jc w:val="left"/>
    </w:pPr>
    <w:rPr>
      <w:rFonts w:ascii="宋体" w:hAnsi="宋体" w:eastAsia="宋体" w:cs="宋体"/>
      <w:kern w:val="0"/>
      <w:sz w:val="22"/>
      <w:szCs w:val="22"/>
      <w:lang w:eastAsia="en-US"/>
    </w:rPr>
  </w:style>
  <w:style w:type="paragraph" w:customStyle="1" w:styleId="41">
    <w:name w:val="立信附注正文 [1级]"/>
    <w:qFormat/>
    <w:uiPriority w:val="0"/>
    <w:pPr>
      <w:widowControl w:val="0"/>
      <w:tabs>
        <w:tab w:val="left" w:pos="0"/>
      </w:tabs>
      <w:adjustRightInd w:val="0"/>
      <w:snapToGrid w:val="0"/>
      <w:spacing w:line="400" w:lineRule="atLeast"/>
      <w:ind w:firstLine="567"/>
      <w:jc w:val="both"/>
    </w:pPr>
    <w:rPr>
      <w:rFonts w:ascii="Times New Roman" w:hAnsi="Times New Roman" w:eastAsia="宋体" w:cs="Times New Roman"/>
      <w:color w:val="000000"/>
      <w:kern w:val="2"/>
      <w:sz w:val="28"/>
      <w:szCs w:val="21"/>
      <w:lang w:val="en-US" w:eastAsia="zh-CN" w:bidi="ar-SA"/>
    </w:rPr>
  </w:style>
  <w:style w:type="paragraph" w:customStyle="1" w:styleId="42">
    <w:name w:val="审计报告标题1 [1级]"/>
    <w:qFormat/>
    <w:uiPriority w:val="0"/>
    <w:pPr>
      <w:numPr>
        <w:ilvl w:val="0"/>
        <w:numId w:val="4"/>
      </w:numPr>
      <w:adjustRightInd w:val="0"/>
      <w:snapToGrid w:val="0"/>
      <w:spacing w:line="400" w:lineRule="atLeast"/>
    </w:pPr>
    <w:rPr>
      <w:rFonts w:ascii="宋体" w:hAnsi="宋体" w:eastAsia="宋体" w:cstheme="minorBidi"/>
      <w:b/>
      <w:kern w:val="2"/>
      <w:sz w:val="28"/>
      <w:szCs w:val="21"/>
      <w:lang w:val="en-US" w:eastAsia="zh-CN" w:bidi="ar-SA"/>
    </w:rPr>
  </w:style>
  <w:style w:type="paragraph" w:customStyle="1" w:styleId="43">
    <w:name w:val="立信附注标题 [1级]"/>
    <w:next w:val="38"/>
    <w:qFormat/>
    <w:uiPriority w:val="0"/>
    <w:pPr>
      <w:widowControl w:val="0"/>
      <w:numPr>
        <w:ilvl w:val="0"/>
        <w:numId w:val="3"/>
      </w:numPr>
      <w:tabs>
        <w:tab w:val="left" w:pos="714"/>
        <w:tab w:val="left" w:pos="850"/>
      </w:tabs>
      <w:adjustRightInd w:val="0"/>
      <w:snapToGrid w:val="0"/>
      <w:spacing w:line="400" w:lineRule="atLeast"/>
      <w:jc w:val="both"/>
      <w:outlineLvl w:val="0"/>
    </w:pPr>
    <w:rPr>
      <w:rFonts w:ascii="Times New Roman" w:hAnsi="Times New Roman" w:eastAsia="宋体" w:cs="Times New Roman"/>
      <w:b/>
      <w:color w:val="000000"/>
      <w:kern w:val="2"/>
      <w:sz w:val="21"/>
      <w:szCs w:val="21"/>
      <w:lang w:val="en-US" w:eastAsia="zh-CN" w:bidi="ar-SA"/>
    </w:rPr>
  </w:style>
  <w:style w:type="paragraph" w:customStyle="1" w:styleId="44">
    <w:name w:val="立信附注标题 [3级]"/>
    <w:next w:val="35"/>
    <w:qFormat/>
    <w:uiPriority w:val="0"/>
    <w:pPr>
      <w:widowControl w:val="0"/>
      <w:numPr>
        <w:ilvl w:val="2"/>
        <w:numId w:val="3"/>
      </w:numPr>
      <w:tabs>
        <w:tab w:val="left" w:pos="0"/>
      </w:tabs>
      <w:adjustRightInd w:val="0"/>
      <w:snapToGrid w:val="0"/>
      <w:spacing w:line="400" w:lineRule="atLeast"/>
      <w:jc w:val="both"/>
      <w:outlineLvl w:val="2"/>
    </w:pPr>
    <w:rPr>
      <w:rFonts w:ascii="Times New Roman" w:hAnsi="Times New Roman" w:eastAsia="宋体" w:cs="Times New Roman"/>
      <w:b/>
      <w:color w:val="000000"/>
      <w:kern w:val="2"/>
      <w:sz w:val="21"/>
      <w:szCs w:val="21"/>
      <w:lang w:val="en-US" w:eastAsia="zh-CN" w:bidi="ar-SA"/>
    </w:rPr>
  </w:style>
  <w:style w:type="table" w:customStyle="1" w:styleId="45">
    <w:name w:val="立信年报表格"/>
    <w:basedOn w:val="22"/>
    <w:qFormat/>
    <w:uiPriority w:val="0"/>
    <w:pPr>
      <w:jc w:val="both"/>
    </w:pPr>
    <w:rPr>
      <w:color w:val="000000"/>
      <w:sz w:val="18"/>
    </w:rPr>
    <w:tblPr>
      <w:tblBorders>
        <w:top w:val="single" w:color="auto" w:sz="12" w:space="0"/>
        <w:bottom w:val="single" w:color="auto" w:sz="12" w:space="0"/>
        <w:insideH w:val="dotted" w:color="auto" w:sz="4" w:space="0"/>
        <w:insideV w:val="dotted" w:color="auto" w:sz="4" w:space="0"/>
      </w:tblBorders>
    </w:tblPr>
    <w:tcPr>
      <w:shd w:val="clear" w:color="auto" w:fill="auto"/>
    </w:tcPr>
  </w:style>
  <w:style w:type="character" w:customStyle="1" w:styleId="46">
    <w:name w:val="span"/>
    <w:basedOn w:val="24"/>
    <w:qFormat/>
    <w:uiPriority w:val="0"/>
    <w:rPr>
      <w:rFonts w:ascii="Times New Roman" w:hAnsi="Times New Roman" w:eastAsia="宋体" w:cs="Times New Roman"/>
    </w:rPr>
  </w:style>
  <w:style w:type="character" w:customStyle="1" w:styleId="47">
    <w:name w:val="font132"/>
    <w:basedOn w:val="24"/>
    <w:qFormat/>
    <w:uiPriority w:val="0"/>
    <w:rPr>
      <w:rFonts w:ascii="汉仪书宋二KW" w:hAnsi="汉仪书宋二KW" w:eastAsia="汉仪书宋二KW" w:cs="汉仪书宋二KW"/>
      <w:color w:val="000000"/>
      <w:sz w:val="20"/>
      <w:szCs w:val="20"/>
      <w:u w:val="none"/>
    </w:rPr>
  </w:style>
  <w:style w:type="character" w:customStyle="1" w:styleId="48">
    <w:name w:val="font21"/>
    <w:basedOn w:val="24"/>
    <w:qFormat/>
    <w:uiPriority w:val="0"/>
    <w:rPr>
      <w:rFonts w:ascii="Calibri" w:hAnsi="Calibri" w:cs="Calibri"/>
      <w:color w:val="000000"/>
      <w:sz w:val="21"/>
      <w:szCs w:val="21"/>
      <w:u w:val="none"/>
    </w:rPr>
  </w:style>
  <w:style w:type="table" w:customStyle="1" w:styleId="49">
    <w:name w:val="立信年报表格 [2级]7"/>
    <w:basedOn w:val="22"/>
    <w:qFormat/>
    <w:uiPriority w:val="0"/>
    <w:pPr>
      <w:spacing w:line="240" w:lineRule="auto"/>
      <w:jc w:val="both"/>
    </w:pPr>
    <w:rPr>
      <w:rFonts w:ascii="Times New Roman" w:hAnsi="Times New Roman" w:eastAsia="宋体" w:cs="Times New Roman"/>
      <w:color w:val="000000"/>
      <w:kern w:val="0"/>
      <w:sz w:val="18"/>
      <w:szCs w:val="20"/>
    </w:rPr>
    <w:tblPr>
      <w:tblBorders>
        <w:top w:val="single" w:color="auto" w:sz="12" w:space="0"/>
        <w:bottom w:val="single" w:color="auto" w:sz="12" w:space="0"/>
        <w:insideH w:val="dotted" w:color="auto" w:sz="4" w:space="0"/>
        <w:insideV w:val="dotted" w:color="auto" w:sz="4" w:space="0"/>
      </w:tblBorders>
      <w:tblCellMar>
        <w:top w:w="0" w:type="dxa"/>
        <w:left w:w="108" w:type="dxa"/>
        <w:bottom w:w="0" w:type="dxa"/>
        <w:right w:w="108" w:type="dxa"/>
      </w:tblCellMar>
    </w:tblPr>
    <w:tcPr>
      <w:shd w:val="clear" w:color="auto" w:fill="auto"/>
    </w:tc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7" Type="http://schemas.openxmlformats.org/officeDocument/2006/relationships/fontTable" Target="fontTable.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theme" Target="theme/theme1.xml"/><Relationship Id="rId33" Type="http://schemas.openxmlformats.org/officeDocument/2006/relationships/footer" Target="footer16.xml"/><Relationship Id="rId32" Type="http://schemas.openxmlformats.org/officeDocument/2006/relationships/header" Target="header15.xml"/><Relationship Id="rId31" Type="http://schemas.openxmlformats.org/officeDocument/2006/relationships/footer" Target="footer15.xml"/><Relationship Id="rId30" Type="http://schemas.openxmlformats.org/officeDocument/2006/relationships/footer" Target="footer14.xml"/><Relationship Id="rId3" Type="http://schemas.openxmlformats.org/officeDocument/2006/relationships/footer" Target="footer1.xml"/><Relationship Id="rId29" Type="http://schemas.openxmlformats.org/officeDocument/2006/relationships/footer" Target="footer13.xml"/><Relationship Id="rId28" Type="http://schemas.openxmlformats.org/officeDocument/2006/relationships/footer" Target="footer12.xml"/><Relationship Id="rId27" Type="http://schemas.openxmlformats.org/officeDocument/2006/relationships/footer" Target="footer11.xml"/><Relationship Id="rId26" Type="http://schemas.openxmlformats.org/officeDocument/2006/relationships/header" Target="header14.xml"/><Relationship Id="rId25" Type="http://schemas.openxmlformats.org/officeDocument/2006/relationships/footer" Target="footer10.xml"/><Relationship Id="rId24" Type="http://schemas.openxmlformats.org/officeDocument/2006/relationships/header" Target="header13.xml"/><Relationship Id="rId23" Type="http://schemas.openxmlformats.org/officeDocument/2006/relationships/header" Target="header12.xml"/><Relationship Id="rId22" Type="http://schemas.openxmlformats.org/officeDocument/2006/relationships/header" Target="header11.xml"/><Relationship Id="rId21" Type="http://schemas.openxmlformats.org/officeDocument/2006/relationships/header" Target="head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9.xml"/><Relationship Id="rId17" Type="http://schemas.openxmlformats.org/officeDocument/2006/relationships/header" Target="header7.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237</Pages>
  <Words>112620</Words>
  <Characters>174237</Characters>
  <Lines>0</Lines>
  <Paragraphs>0</Paragraphs>
  <TotalTime>13</TotalTime>
  <ScaleCrop>false</ScaleCrop>
  <LinksUpToDate>false</LinksUpToDate>
  <CharactersWithSpaces>179773</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2024-06-21T09:05:00Z</dcterms:created>
  <dc:creator>田果果</dc:creator>
  <cp:lastModifiedBy>田果果</cp:lastModifiedBy>
  <cp:lastPrinted>2024-06-24T04:08:00Z</cp:lastPrinted>
  <dcterms:modified xsi:type="dcterms:W3CDTF">2025-07-02T02:47:22Z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ADE3D3CFAF54452AB7040810414939EE_12</vt:lpwstr>
  </property>
</Properties>
</file>