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6540"/>
        </w:tabs>
        <w:ind w:left="1259" w:leftChars="150" w:hanging="944" w:hangingChars="295"/>
        <w:rPr>
          <w:rFonts w:ascii="Times New Roman"/>
        </w:rPr>
      </w:pPr>
    </w:p>
    <w:p>
      <w:pPr>
        <w:rPr>
          <w:b/>
          <w:sz w:val="44"/>
        </w:rPr>
      </w:pPr>
    </w:p>
    <w:p>
      <w:pPr>
        <w:jc w:val="center"/>
        <w:rPr>
          <w:rFonts w:eastAsia="黑体"/>
          <w:b/>
          <w:color w:val="000000"/>
          <w:sz w:val="48"/>
        </w:rPr>
      </w:pPr>
    </w:p>
    <w:p>
      <w:pPr>
        <w:rPr>
          <w:rFonts w:eastAsia="黑体"/>
          <w:b/>
          <w:color w:val="0000FF"/>
          <w:sz w:val="48"/>
        </w:rPr>
      </w:pPr>
    </w:p>
    <w:p>
      <w:pPr>
        <w:snapToGrid w:val="0"/>
        <w:spacing w:line="360" w:lineRule="auto"/>
        <w:jc w:val="center"/>
        <w:rPr>
          <w:rFonts w:eastAsia="黑体"/>
          <w:sz w:val="48"/>
        </w:rPr>
      </w:pPr>
      <w:r>
        <w:rPr>
          <w:rFonts w:eastAsia="黑体"/>
          <w:sz w:val="48"/>
        </w:rPr>
        <w:t>生产建设项目水土保持设施</w:t>
      </w:r>
    </w:p>
    <w:p>
      <w:pPr>
        <w:snapToGrid w:val="0"/>
        <w:spacing w:line="360" w:lineRule="auto"/>
        <w:jc w:val="center"/>
        <w:rPr>
          <w:rFonts w:eastAsia="仿宋"/>
          <w:b/>
          <w:sz w:val="72"/>
          <w:szCs w:val="72"/>
        </w:rPr>
      </w:pPr>
      <w:r>
        <w:rPr>
          <w:rFonts w:eastAsia="仿宋"/>
          <w:b/>
          <w:sz w:val="72"/>
          <w:szCs w:val="72"/>
        </w:rPr>
        <w:t>验收鉴定书</w:t>
      </w:r>
    </w:p>
    <w:p>
      <w:pPr>
        <w:jc w:val="center"/>
        <w:rPr>
          <w:sz w:val="28"/>
        </w:rPr>
      </w:pPr>
    </w:p>
    <w:p>
      <w:pPr>
        <w:jc w:val="center"/>
        <w:rPr>
          <w:sz w:val="28"/>
        </w:rPr>
      </w:pPr>
    </w:p>
    <w:p>
      <w:pPr>
        <w:jc w:val="center"/>
        <w:rPr>
          <w:sz w:val="28"/>
        </w:rPr>
      </w:pPr>
    </w:p>
    <w:p>
      <w:pPr>
        <w:jc w:val="center"/>
        <w:rPr>
          <w:sz w:val="28"/>
        </w:rPr>
      </w:pPr>
    </w:p>
    <w:p>
      <w:pPr>
        <w:tabs>
          <w:tab w:val="left" w:pos="4140"/>
        </w:tabs>
        <w:snapToGrid w:val="0"/>
        <w:spacing w:line="480" w:lineRule="auto"/>
        <w:rPr>
          <w:sz w:val="28"/>
          <w:u w:val="single"/>
        </w:rPr>
      </w:pPr>
      <w:r>
        <w:rPr>
          <w:b/>
          <w:sz w:val="28"/>
        </w:rPr>
        <w:t>项 目 名 称：</w:t>
      </w:r>
      <w:r>
        <w:rPr>
          <w:rFonts w:hint="eastAsia"/>
          <w:bCs/>
          <w:spacing w:val="-16"/>
          <w:sz w:val="28"/>
          <w:szCs w:val="28"/>
          <w:u w:val="single"/>
        </w:rPr>
        <w:t xml:space="preserve">                 牛栏江象鼻岭水电站工程                         </w:t>
      </w:r>
      <w:r>
        <w:rPr>
          <w:bCs/>
          <w:spacing w:val="-16"/>
          <w:sz w:val="28"/>
          <w:szCs w:val="28"/>
          <w:u w:val="single"/>
        </w:rPr>
        <w:t xml:space="preserve"> </w:t>
      </w:r>
    </w:p>
    <w:p>
      <w:pPr>
        <w:tabs>
          <w:tab w:val="left" w:pos="4140"/>
        </w:tabs>
        <w:snapToGrid w:val="0"/>
        <w:spacing w:line="480" w:lineRule="auto"/>
        <w:rPr>
          <w:sz w:val="28"/>
        </w:rPr>
      </w:pPr>
      <w:r>
        <w:rPr>
          <w:b/>
          <w:sz w:val="28"/>
        </w:rPr>
        <w:t>项 目 编 号：</w:t>
      </w:r>
      <w:r>
        <w:rPr>
          <w:sz w:val="28"/>
          <w:u w:val="single"/>
        </w:rPr>
        <w:t xml:space="preserve">      </w:t>
      </w:r>
      <w:r>
        <w:rPr>
          <w:rFonts w:hint="eastAsia"/>
          <w:sz w:val="28"/>
          <w:u w:val="single"/>
        </w:rPr>
        <w:t xml:space="preserve">     </w:t>
      </w:r>
      <w:r>
        <w:rPr>
          <w:rFonts w:hint="eastAsia"/>
          <w:bCs/>
          <w:spacing w:val="-16"/>
          <w:sz w:val="28"/>
          <w:szCs w:val="28"/>
          <w:u w:val="single"/>
        </w:rPr>
        <w:t xml:space="preserve"> </w:t>
      </w:r>
      <w:r>
        <w:rPr>
          <w:bCs/>
          <w:spacing w:val="-16"/>
          <w:sz w:val="28"/>
          <w:szCs w:val="28"/>
          <w:u w:val="single"/>
        </w:rPr>
        <w:t xml:space="preserve">  </w:t>
      </w:r>
      <w:r>
        <w:rPr>
          <w:rFonts w:hint="eastAsia"/>
          <w:bCs/>
          <w:sz w:val="28"/>
          <w:u w:val="single"/>
        </w:rPr>
        <w:t>黔发改能源【2010】2924号</w:t>
      </w:r>
      <w:r>
        <w:rPr>
          <w:bCs/>
          <w:spacing w:val="-16"/>
          <w:sz w:val="28"/>
          <w:szCs w:val="28"/>
          <w:u w:val="single"/>
        </w:rPr>
        <w:t xml:space="preserve">   </w:t>
      </w:r>
      <w:r>
        <w:rPr>
          <w:rFonts w:hint="eastAsia"/>
          <w:bCs/>
          <w:spacing w:val="-16"/>
          <w:sz w:val="28"/>
          <w:szCs w:val="28"/>
          <w:u w:val="single"/>
        </w:rPr>
        <w:t xml:space="preserve">  </w:t>
      </w:r>
      <w:r>
        <w:rPr>
          <w:rFonts w:hint="eastAsia"/>
          <w:sz w:val="28"/>
          <w:u w:val="single"/>
        </w:rPr>
        <w:t xml:space="preserve">              </w:t>
      </w:r>
      <w:r>
        <w:rPr>
          <w:sz w:val="28"/>
          <w:u w:val="single"/>
        </w:rPr>
        <w:t xml:space="preserve">   </w:t>
      </w:r>
    </w:p>
    <w:p>
      <w:pPr>
        <w:tabs>
          <w:tab w:val="left" w:pos="4140"/>
        </w:tabs>
        <w:snapToGrid w:val="0"/>
        <w:spacing w:line="480" w:lineRule="auto"/>
        <w:rPr>
          <w:sz w:val="28"/>
        </w:rPr>
      </w:pPr>
      <w:r>
        <w:rPr>
          <w:b/>
          <w:sz w:val="28"/>
        </w:rPr>
        <w:t>建 设 地 点：</w:t>
      </w:r>
      <w:r>
        <w:rPr>
          <w:sz w:val="28"/>
          <w:u w:val="single"/>
        </w:rPr>
        <w:t xml:space="preserve">        </w:t>
      </w:r>
      <w:r>
        <w:rPr>
          <w:rFonts w:hint="eastAsia"/>
          <w:bCs/>
          <w:sz w:val="28"/>
          <w:u w:val="single"/>
        </w:rPr>
        <w:t>贵州省毕节市威宁县田坝村</w:t>
      </w:r>
      <w:r>
        <w:rPr>
          <w:sz w:val="28"/>
          <w:u w:val="single"/>
        </w:rPr>
        <w:t xml:space="preserve">       </w:t>
      </w:r>
      <w:r>
        <w:rPr>
          <w:rFonts w:hint="eastAsia"/>
          <w:sz w:val="28"/>
          <w:u w:val="single"/>
        </w:rPr>
        <w:t xml:space="preserve"> </w:t>
      </w:r>
      <w:r>
        <w:rPr>
          <w:sz w:val="28"/>
          <w:u w:val="single"/>
        </w:rPr>
        <w:t xml:space="preserve"> </w:t>
      </w:r>
      <w:r>
        <w:rPr>
          <w:rFonts w:hint="eastAsia"/>
          <w:sz w:val="28"/>
          <w:u w:val="single"/>
        </w:rPr>
        <w:t xml:space="preserve">      </w:t>
      </w:r>
      <w:r>
        <w:rPr>
          <w:sz w:val="28"/>
          <w:u w:val="single"/>
        </w:rPr>
        <w:t xml:space="preserve">      </w:t>
      </w:r>
      <w:r>
        <w:rPr>
          <w:sz w:val="28"/>
        </w:rPr>
        <w:t xml:space="preserve"> </w:t>
      </w:r>
    </w:p>
    <w:p>
      <w:pPr>
        <w:spacing w:line="360" w:lineRule="auto"/>
        <w:rPr>
          <w:sz w:val="28"/>
          <w:u w:val="single"/>
        </w:rPr>
      </w:pPr>
      <w:r>
        <w:rPr>
          <w:b/>
          <w:sz w:val="28"/>
        </w:rPr>
        <w:t>验 收 单 位：</w:t>
      </w:r>
      <w:r>
        <w:rPr>
          <w:rFonts w:hint="eastAsia"/>
          <w:sz w:val="28"/>
          <w:u w:val="single"/>
        </w:rPr>
        <w:t xml:space="preserve">国家电投集团贵州金元威宁能源股份有限公司象鼻岭水电站   </w:t>
      </w:r>
      <w:r>
        <w:rPr>
          <w:sz w:val="28"/>
          <w:u w:val="single"/>
        </w:rPr>
        <w:t xml:space="preserve">    </w:t>
      </w:r>
    </w:p>
    <w:p>
      <w:pPr>
        <w:jc w:val="center"/>
        <w:rPr>
          <w:color w:val="000000"/>
          <w:sz w:val="28"/>
        </w:rPr>
      </w:pPr>
    </w:p>
    <w:p>
      <w:pPr>
        <w:jc w:val="center"/>
        <w:rPr>
          <w:color w:val="000000"/>
          <w:sz w:val="28"/>
        </w:rPr>
      </w:pPr>
    </w:p>
    <w:p>
      <w:pPr>
        <w:jc w:val="center"/>
        <w:rPr>
          <w:color w:val="000000"/>
          <w:sz w:val="28"/>
        </w:rPr>
      </w:pPr>
    </w:p>
    <w:p>
      <w:pPr>
        <w:jc w:val="center"/>
        <w:rPr>
          <w:color w:val="000000"/>
          <w:sz w:val="28"/>
        </w:rPr>
      </w:pPr>
    </w:p>
    <w:p>
      <w:pPr>
        <w:jc w:val="center"/>
        <w:rPr>
          <w:sz w:val="28"/>
        </w:rPr>
        <w:sectPr>
          <w:headerReference r:id="rId3" w:type="default"/>
          <w:footerReference r:id="rId4" w:type="default"/>
          <w:footerReference r:id="rId5" w:type="even"/>
          <w:pgSz w:w="11906" w:h="16838"/>
          <w:pgMar w:top="1701" w:right="1304" w:bottom="1134" w:left="1304" w:header="851" w:footer="992" w:gutter="0"/>
          <w:pgNumType w:fmt="numberInDash"/>
          <w:cols w:space="720" w:num="1"/>
          <w:docGrid w:type="lines" w:linePitch="312" w:charSpace="0"/>
        </w:sectPr>
      </w:pPr>
      <w:r>
        <w:rPr>
          <w:sz w:val="28"/>
          <w:u w:val="single"/>
        </w:rPr>
        <w:t>201</w:t>
      </w:r>
      <w:r>
        <w:rPr>
          <w:rFonts w:hint="eastAsia"/>
          <w:sz w:val="28"/>
          <w:u w:val="single"/>
        </w:rPr>
        <w:t>9</w:t>
      </w:r>
      <w:r>
        <w:rPr>
          <w:sz w:val="28"/>
        </w:rPr>
        <w:t>年</w:t>
      </w:r>
      <w:r>
        <w:rPr>
          <w:rFonts w:hint="eastAsia"/>
          <w:sz w:val="28"/>
          <w:u w:val="single"/>
          <w:lang w:val="en-US" w:eastAsia="zh-CN"/>
        </w:rPr>
        <w:t>9</w:t>
      </w:r>
      <w:r>
        <w:rPr>
          <w:sz w:val="28"/>
        </w:rPr>
        <w:t>月</w:t>
      </w:r>
      <w:r>
        <w:rPr>
          <w:rFonts w:hint="eastAsia"/>
          <w:sz w:val="28"/>
          <w:u w:val="single"/>
          <w:lang w:val="en-US" w:eastAsia="zh-CN"/>
        </w:rPr>
        <w:t>9</w:t>
      </w:r>
      <w:bookmarkStart w:id="0" w:name="_GoBack"/>
      <w:bookmarkEnd w:id="0"/>
      <w:r>
        <w:rPr>
          <w:rFonts w:hint="eastAsia"/>
          <w:sz w:val="28"/>
          <w:u w:val="single"/>
        </w:rPr>
        <w:t>日</w:t>
      </w:r>
    </w:p>
    <w:p>
      <w:pPr>
        <w:ind w:firstLine="708" w:firstLineChars="252"/>
        <w:outlineLvl w:val="0"/>
        <w:rPr>
          <w:b/>
          <w:sz w:val="28"/>
          <w:szCs w:val="28"/>
        </w:rPr>
      </w:pPr>
      <w:r>
        <w:rPr>
          <w:b/>
          <w:sz w:val="28"/>
          <w:szCs w:val="28"/>
        </w:rPr>
        <w:t>一、生产建设项目水土保持设施验收基本情况表</w:t>
      </w:r>
    </w:p>
    <w:tbl>
      <w:tblPr>
        <w:tblStyle w:val="6"/>
        <w:tblW w:w="9180" w:type="dxa"/>
        <w:tblInd w:w="0" w:type="dxa"/>
        <w:tblLayout w:type="fixed"/>
        <w:tblCellMar>
          <w:top w:w="0" w:type="dxa"/>
          <w:left w:w="108" w:type="dxa"/>
          <w:bottom w:w="0" w:type="dxa"/>
          <w:right w:w="108" w:type="dxa"/>
        </w:tblCellMar>
      </w:tblPr>
      <w:tblGrid>
        <w:gridCol w:w="3057"/>
        <w:gridCol w:w="4231"/>
        <w:gridCol w:w="817"/>
        <w:gridCol w:w="1075"/>
      </w:tblGrid>
      <w:tr>
        <w:tblPrEx>
          <w:tblLayout w:type="fixed"/>
          <w:tblCellMar>
            <w:top w:w="0" w:type="dxa"/>
            <w:left w:w="108" w:type="dxa"/>
            <w:bottom w:w="0" w:type="dxa"/>
            <w:right w:w="108" w:type="dxa"/>
          </w:tblCellMar>
        </w:tblPrEx>
        <w:trPr>
          <w:trHeight w:val="1304" w:hRule="atLeast"/>
        </w:trPr>
        <w:tc>
          <w:tcPr>
            <w:tcW w:w="3057"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r>
              <w:rPr>
                <w:kern w:val="0"/>
                <w:szCs w:val="21"/>
              </w:rPr>
              <w:t>项目名称</w:t>
            </w:r>
          </w:p>
        </w:tc>
        <w:tc>
          <w:tcPr>
            <w:tcW w:w="4231" w:type="dxa"/>
            <w:tcBorders>
              <w:top w:val="single" w:color="auto" w:sz="4" w:space="0"/>
              <w:left w:val="nil"/>
              <w:bottom w:val="single" w:color="auto" w:sz="4" w:space="0"/>
              <w:right w:val="single" w:color="auto" w:sz="4" w:space="0"/>
            </w:tcBorders>
            <w:vAlign w:val="center"/>
          </w:tcPr>
          <w:p>
            <w:pPr>
              <w:widowControl/>
              <w:jc w:val="center"/>
              <w:rPr>
                <w:kern w:val="0"/>
                <w:szCs w:val="21"/>
              </w:rPr>
            </w:pPr>
            <w:r>
              <w:rPr>
                <w:rFonts w:hint="eastAsia"/>
                <w:kern w:val="0"/>
                <w:szCs w:val="21"/>
              </w:rPr>
              <w:t>牛栏江象鼻岭水电站工程</w:t>
            </w:r>
          </w:p>
        </w:tc>
        <w:tc>
          <w:tcPr>
            <w:tcW w:w="817" w:type="dxa"/>
            <w:tcBorders>
              <w:top w:val="single" w:color="auto" w:sz="4" w:space="0"/>
              <w:left w:val="nil"/>
              <w:bottom w:val="single" w:color="auto" w:sz="4" w:space="0"/>
              <w:right w:val="single" w:color="auto" w:sz="4" w:space="0"/>
            </w:tcBorders>
            <w:vAlign w:val="center"/>
          </w:tcPr>
          <w:p>
            <w:pPr>
              <w:spacing w:line="240" w:lineRule="exact"/>
              <w:ind w:firstLine="105" w:firstLineChars="50"/>
              <w:jc w:val="center"/>
              <w:rPr>
                <w:szCs w:val="21"/>
              </w:rPr>
            </w:pPr>
            <w:r>
              <w:rPr>
                <w:kern w:val="0"/>
                <w:szCs w:val="21"/>
              </w:rPr>
              <w:t>行业</w:t>
            </w:r>
          </w:p>
          <w:p>
            <w:pPr>
              <w:spacing w:line="240" w:lineRule="exact"/>
              <w:ind w:firstLine="105" w:firstLineChars="50"/>
              <w:jc w:val="center"/>
              <w:rPr>
                <w:szCs w:val="21"/>
              </w:rPr>
            </w:pPr>
            <w:r>
              <w:rPr>
                <w:kern w:val="0"/>
                <w:szCs w:val="21"/>
              </w:rPr>
              <w:t>类别</w:t>
            </w:r>
          </w:p>
        </w:tc>
        <w:tc>
          <w:tcPr>
            <w:tcW w:w="1075" w:type="dxa"/>
            <w:tcBorders>
              <w:top w:val="single" w:color="auto" w:sz="4" w:space="0"/>
              <w:left w:val="nil"/>
              <w:bottom w:val="single" w:color="auto" w:sz="4" w:space="0"/>
              <w:right w:val="single" w:color="auto" w:sz="4" w:space="0"/>
            </w:tcBorders>
            <w:vAlign w:val="center"/>
          </w:tcPr>
          <w:p>
            <w:pPr>
              <w:widowControl/>
              <w:adjustRightInd w:val="0"/>
              <w:snapToGrid w:val="0"/>
              <w:ind w:firstLine="105" w:firstLineChars="50"/>
              <w:jc w:val="center"/>
              <w:rPr>
                <w:kern w:val="0"/>
                <w:szCs w:val="21"/>
              </w:rPr>
            </w:pPr>
            <w:r>
              <w:rPr>
                <w:rFonts w:hint="eastAsia"/>
                <w:kern w:val="0"/>
                <w:szCs w:val="21"/>
              </w:rPr>
              <w:t>水电枢纽工程</w:t>
            </w:r>
          </w:p>
        </w:tc>
      </w:tr>
      <w:tr>
        <w:tblPrEx>
          <w:tblLayout w:type="fixed"/>
          <w:tblCellMar>
            <w:top w:w="0" w:type="dxa"/>
            <w:left w:w="108" w:type="dxa"/>
            <w:bottom w:w="0" w:type="dxa"/>
            <w:right w:w="108" w:type="dxa"/>
          </w:tblCellMar>
        </w:tblPrEx>
        <w:trPr>
          <w:trHeight w:val="1304" w:hRule="atLeast"/>
        </w:trPr>
        <w:tc>
          <w:tcPr>
            <w:tcW w:w="3057" w:type="dxa"/>
            <w:tcBorders>
              <w:top w:val="nil"/>
              <w:left w:val="single" w:color="auto" w:sz="4" w:space="0"/>
              <w:bottom w:val="single" w:color="auto" w:sz="4" w:space="0"/>
              <w:right w:val="single" w:color="auto" w:sz="4" w:space="0"/>
            </w:tcBorders>
            <w:vAlign w:val="center"/>
          </w:tcPr>
          <w:p>
            <w:pPr>
              <w:widowControl/>
              <w:jc w:val="center"/>
              <w:rPr>
                <w:kern w:val="0"/>
                <w:szCs w:val="21"/>
              </w:rPr>
            </w:pPr>
            <w:r>
              <w:rPr>
                <w:kern w:val="0"/>
                <w:szCs w:val="21"/>
              </w:rPr>
              <w:t>主管部门</w:t>
            </w:r>
          </w:p>
          <w:p>
            <w:pPr>
              <w:widowControl/>
              <w:jc w:val="center"/>
              <w:rPr>
                <w:kern w:val="0"/>
                <w:szCs w:val="21"/>
              </w:rPr>
            </w:pPr>
            <w:r>
              <w:rPr>
                <w:kern w:val="0"/>
                <w:szCs w:val="21"/>
              </w:rPr>
              <w:t>（或主要投资方）</w:t>
            </w:r>
          </w:p>
        </w:tc>
        <w:tc>
          <w:tcPr>
            <w:tcW w:w="4231" w:type="dxa"/>
            <w:tcBorders>
              <w:top w:val="single" w:color="auto" w:sz="4" w:space="0"/>
              <w:left w:val="nil"/>
              <w:bottom w:val="single" w:color="auto" w:sz="4" w:space="0"/>
              <w:right w:val="single" w:color="auto" w:sz="4" w:space="0"/>
            </w:tcBorders>
            <w:vAlign w:val="center"/>
          </w:tcPr>
          <w:p>
            <w:pPr>
              <w:widowControl/>
              <w:jc w:val="center"/>
              <w:rPr>
                <w:kern w:val="0"/>
                <w:szCs w:val="21"/>
              </w:rPr>
            </w:pPr>
            <w:r>
              <w:rPr>
                <w:rFonts w:hint="eastAsia"/>
                <w:kern w:val="0"/>
                <w:szCs w:val="21"/>
              </w:rPr>
              <w:t>国家电投集团贵州金元威宁能源股份有限</w:t>
            </w:r>
          </w:p>
          <w:p>
            <w:pPr>
              <w:widowControl/>
              <w:jc w:val="center"/>
              <w:rPr>
                <w:kern w:val="0"/>
                <w:szCs w:val="21"/>
              </w:rPr>
            </w:pPr>
            <w:r>
              <w:rPr>
                <w:rFonts w:hint="eastAsia"/>
                <w:kern w:val="0"/>
                <w:szCs w:val="21"/>
              </w:rPr>
              <w:t>公司象鼻岭水电站</w:t>
            </w:r>
          </w:p>
        </w:tc>
        <w:tc>
          <w:tcPr>
            <w:tcW w:w="817" w:type="dxa"/>
            <w:tcBorders>
              <w:top w:val="nil"/>
              <w:left w:val="nil"/>
              <w:bottom w:val="single" w:color="auto" w:sz="4" w:space="0"/>
              <w:right w:val="single" w:color="auto" w:sz="4" w:space="0"/>
            </w:tcBorders>
            <w:vAlign w:val="center"/>
          </w:tcPr>
          <w:p>
            <w:pPr>
              <w:widowControl/>
              <w:jc w:val="center"/>
              <w:rPr>
                <w:kern w:val="0"/>
                <w:szCs w:val="21"/>
              </w:rPr>
            </w:pPr>
            <w:r>
              <w:rPr>
                <w:kern w:val="0"/>
                <w:szCs w:val="21"/>
              </w:rPr>
              <w:t>项目</w:t>
            </w:r>
          </w:p>
          <w:p>
            <w:pPr>
              <w:widowControl/>
              <w:jc w:val="center"/>
              <w:rPr>
                <w:szCs w:val="21"/>
              </w:rPr>
            </w:pPr>
            <w:r>
              <w:rPr>
                <w:kern w:val="0"/>
                <w:szCs w:val="21"/>
              </w:rPr>
              <w:t>性质</w:t>
            </w:r>
          </w:p>
        </w:tc>
        <w:tc>
          <w:tcPr>
            <w:tcW w:w="1075" w:type="dxa"/>
            <w:tcBorders>
              <w:top w:val="single" w:color="auto" w:sz="4" w:space="0"/>
              <w:left w:val="nil"/>
              <w:bottom w:val="single" w:color="auto" w:sz="4" w:space="0"/>
              <w:right w:val="single" w:color="auto" w:sz="4" w:space="0"/>
            </w:tcBorders>
            <w:vAlign w:val="center"/>
          </w:tcPr>
          <w:p>
            <w:pPr>
              <w:widowControl/>
              <w:jc w:val="center"/>
              <w:rPr>
                <w:szCs w:val="21"/>
              </w:rPr>
            </w:pPr>
            <w:r>
              <w:rPr>
                <w:rFonts w:hint="eastAsia"/>
                <w:szCs w:val="21"/>
              </w:rPr>
              <w:t>新建</w:t>
            </w:r>
          </w:p>
        </w:tc>
      </w:tr>
      <w:tr>
        <w:tblPrEx>
          <w:tblLayout w:type="fixed"/>
          <w:tblCellMar>
            <w:top w:w="0" w:type="dxa"/>
            <w:left w:w="108" w:type="dxa"/>
            <w:bottom w:w="0" w:type="dxa"/>
            <w:right w:w="108" w:type="dxa"/>
          </w:tblCellMar>
        </w:tblPrEx>
        <w:trPr>
          <w:trHeight w:val="1304" w:hRule="atLeast"/>
        </w:trPr>
        <w:tc>
          <w:tcPr>
            <w:tcW w:w="3057" w:type="dxa"/>
            <w:tcBorders>
              <w:top w:val="single" w:color="auto" w:sz="4" w:space="0"/>
              <w:left w:val="single" w:color="auto" w:sz="4" w:space="0"/>
              <w:bottom w:val="single" w:color="auto" w:sz="4" w:space="0"/>
              <w:right w:val="single" w:color="auto" w:sz="4" w:space="0"/>
            </w:tcBorders>
            <w:vAlign w:val="center"/>
          </w:tcPr>
          <w:p>
            <w:pPr>
              <w:widowControl/>
              <w:ind w:firstLine="420" w:firstLineChars="200"/>
              <w:jc w:val="center"/>
              <w:rPr>
                <w:kern w:val="0"/>
                <w:szCs w:val="21"/>
              </w:rPr>
            </w:pPr>
            <w:r>
              <w:rPr>
                <w:kern w:val="0"/>
                <w:szCs w:val="21"/>
              </w:rPr>
              <w:t>水土保持方案批复机关、</w:t>
            </w:r>
          </w:p>
          <w:p>
            <w:pPr>
              <w:widowControl/>
              <w:ind w:firstLine="420" w:firstLineChars="200"/>
              <w:jc w:val="center"/>
              <w:rPr>
                <w:kern w:val="0"/>
                <w:szCs w:val="21"/>
              </w:rPr>
            </w:pPr>
            <w:r>
              <w:rPr>
                <w:kern w:val="0"/>
                <w:szCs w:val="21"/>
              </w:rPr>
              <w:t>文号及时间</w:t>
            </w:r>
          </w:p>
        </w:tc>
        <w:tc>
          <w:tcPr>
            <w:tcW w:w="6123" w:type="dxa"/>
            <w:gridSpan w:val="3"/>
            <w:tcBorders>
              <w:top w:val="single" w:color="auto" w:sz="4" w:space="0"/>
              <w:left w:val="nil"/>
              <w:bottom w:val="single" w:color="auto" w:sz="4" w:space="0"/>
              <w:right w:val="single" w:color="auto" w:sz="4" w:space="0"/>
            </w:tcBorders>
            <w:vAlign w:val="center"/>
          </w:tcPr>
          <w:p>
            <w:pPr>
              <w:widowControl/>
              <w:jc w:val="center"/>
              <w:rPr>
                <w:kern w:val="0"/>
                <w:szCs w:val="21"/>
              </w:rPr>
            </w:pPr>
            <w:r>
              <w:rPr>
                <w:rFonts w:hint="eastAsia"/>
                <w:kern w:val="0"/>
                <w:szCs w:val="21"/>
              </w:rPr>
              <w:t>贵州省水利厅文件《关于牛栏江象鼻岭水电站工程水土保持方案的批复》黔水保[2007]32号</w:t>
            </w:r>
          </w:p>
        </w:tc>
      </w:tr>
      <w:tr>
        <w:tblPrEx>
          <w:tblLayout w:type="fixed"/>
          <w:tblCellMar>
            <w:top w:w="0" w:type="dxa"/>
            <w:left w:w="108" w:type="dxa"/>
            <w:bottom w:w="0" w:type="dxa"/>
            <w:right w:w="108" w:type="dxa"/>
          </w:tblCellMar>
        </w:tblPrEx>
        <w:trPr>
          <w:trHeight w:val="1304" w:hRule="atLeast"/>
        </w:trPr>
        <w:tc>
          <w:tcPr>
            <w:tcW w:w="3057" w:type="dxa"/>
            <w:tcBorders>
              <w:top w:val="single" w:color="auto" w:sz="4" w:space="0"/>
              <w:left w:val="single" w:color="auto" w:sz="4" w:space="0"/>
              <w:bottom w:val="single" w:color="auto" w:sz="4" w:space="0"/>
              <w:right w:val="single" w:color="auto" w:sz="4" w:space="0"/>
            </w:tcBorders>
            <w:vAlign w:val="center"/>
          </w:tcPr>
          <w:p>
            <w:pPr>
              <w:widowControl/>
              <w:ind w:firstLine="420" w:firstLineChars="200"/>
              <w:jc w:val="center"/>
              <w:rPr>
                <w:kern w:val="0"/>
                <w:szCs w:val="21"/>
              </w:rPr>
            </w:pPr>
            <w:r>
              <w:rPr>
                <w:kern w:val="0"/>
                <w:szCs w:val="21"/>
              </w:rPr>
              <w:t>项目建设起止时间</w:t>
            </w:r>
          </w:p>
        </w:tc>
        <w:tc>
          <w:tcPr>
            <w:tcW w:w="6123" w:type="dxa"/>
            <w:gridSpan w:val="3"/>
            <w:tcBorders>
              <w:top w:val="single" w:color="auto" w:sz="4" w:space="0"/>
              <w:left w:val="nil"/>
              <w:bottom w:val="single" w:color="auto" w:sz="4" w:space="0"/>
              <w:right w:val="single" w:color="auto" w:sz="4" w:space="0"/>
            </w:tcBorders>
            <w:vAlign w:val="center"/>
          </w:tcPr>
          <w:p>
            <w:pPr>
              <w:widowControl/>
              <w:jc w:val="center"/>
              <w:rPr>
                <w:bCs/>
                <w:szCs w:val="21"/>
              </w:rPr>
            </w:pPr>
            <w:r>
              <w:rPr>
                <w:rFonts w:hint="eastAsia"/>
                <w:bCs/>
                <w:szCs w:val="21"/>
              </w:rPr>
              <w:t>2007年10月开工，2019年9月竣工，</w:t>
            </w:r>
          </w:p>
        </w:tc>
      </w:tr>
      <w:tr>
        <w:tblPrEx>
          <w:tblLayout w:type="fixed"/>
          <w:tblCellMar>
            <w:top w:w="0" w:type="dxa"/>
            <w:left w:w="108" w:type="dxa"/>
            <w:bottom w:w="0" w:type="dxa"/>
            <w:right w:w="108" w:type="dxa"/>
          </w:tblCellMar>
        </w:tblPrEx>
        <w:trPr>
          <w:trHeight w:val="1304" w:hRule="atLeast"/>
        </w:trPr>
        <w:tc>
          <w:tcPr>
            <w:tcW w:w="3057"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r>
              <w:rPr>
                <w:kern w:val="0"/>
                <w:szCs w:val="21"/>
              </w:rPr>
              <w:t>水土保持方案编制单位</w:t>
            </w:r>
          </w:p>
        </w:tc>
        <w:tc>
          <w:tcPr>
            <w:tcW w:w="6123" w:type="dxa"/>
            <w:gridSpan w:val="3"/>
            <w:tcBorders>
              <w:top w:val="single" w:color="auto" w:sz="4" w:space="0"/>
              <w:left w:val="nil"/>
              <w:bottom w:val="single" w:color="auto" w:sz="4" w:space="0"/>
              <w:right w:val="single" w:color="auto" w:sz="4" w:space="0"/>
            </w:tcBorders>
            <w:vAlign w:val="center"/>
          </w:tcPr>
          <w:p>
            <w:pPr>
              <w:widowControl/>
              <w:jc w:val="center"/>
              <w:rPr>
                <w:bCs/>
                <w:szCs w:val="21"/>
              </w:rPr>
            </w:pPr>
            <w:r>
              <w:rPr>
                <w:rFonts w:hint="eastAsia"/>
                <w:bCs/>
                <w:szCs w:val="21"/>
              </w:rPr>
              <w:t>中国水电顾问集团贵阳勘测设计研究院</w:t>
            </w:r>
          </w:p>
        </w:tc>
      </w:tr>
      <w:tr>
        <w:tblPrEx>
          <w:tblLayout w:type="fixed"/>
          <w:tblCellMar>
            <w:top w:w="0" w:type="dxa"/>
            <w:left w:w="108" w:type="dxa"/>
            <w:bottom w:w="0" w:type="dxa"/>
            <w:right w:w="108" w:type="dxa"/>
          </w:tblCellMar>
        </w:tblPrEx>
        <w:trPr>
          <w:trHeight w:val="1304" w:hRule="atLeast"/>
        </w:trPr>
        <w:tc>
          <w:tcPr>
            <w:tcW w:w="3057"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r>
              <w:rPr>
                <w:kern w:val="0"/>
                <w:szCs w:val="21"/>
              </w:rPr>
              <w:t>水土保持初步设计单位</w:t>
            </w:r>
          </w:p>
        </w:tc>
        <w:tc>
          <w:tcPr>
            <w:tcW w:w="6123" w:type="dxa"/>
            <w:gridSpan w:val="3"/>
            <w:tcBorders>
              <w:top w:val="single" w:color="auto" w:sz="4" w:space="0"/>
              <w:left w:val="nil"/>
              <w:bottom w:val="single" w:color="auto" w:sz="4" w:space="0"/>
              <w:right w:val="single" w:color="auto" w:sz="4" w:space="0"/>
            </w:tcBorders>
            <w:vAlign w:val="center"/>
          </w:tcPr>
          <w:p>
            <w:pPr>
              <w:widowControl/>
              <w:jc w:val="center"/>
              <w:rPr>
                <w:kern w:val="0"/>
                <w:szCs w:val="21"/>
              </w:rPr>
            </w:pPr>
            <w:r>
              <w:rPr>
                <w:rFonts w:hint="eastAsia"/>
                <w:bCs/>
                <w:szCs w:val="21"/>
              </w:rPr>
              <w:t>\</w:t>
            </w:r>
          </w:p>
        </w:tc>
      </w:tr>
      <w:tr>
        <w:tblPrEx>
          <w:tblLayout w:type="fixed"/>
          <w:tblCellMar>
            <w:top w:w="0" w:type="dxa"/>
            <w:left w:w="108" w:type="dxa"/>
            <w:bottom w:w="0" w:type="dxa"/>
            <w:right w:w="108" w:type="dxa"/>
          </w:tblCellMar>
        </w:tblPrEx>
        <w:trPr>
          <w:trHeight w:val="1304" w:hRule="atLeast"/>
        </w:trPr>
        <w:tc>
          <w:tcPr>
            <w:tcW w:w="3057"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r>
              <w:rPr>
                <w:kern w:val="0"/>
                <w:szCs w:val="21"/>
              </w:rPr>
              <w:t>水土保持施工单位</w:t>
            </w:r>
          </w:p>
        </w:tc>
        <w:tc>
          <w:tcPr>
            <w:tcW w:w="6123" w:type="dxa"/>
            <w:gridSpan w:val="3"/>
            <w:tcBorders>
              <w:top w:val="single" w:color="auto" w:sz="4" w:space="0"/>
              <w:left w:val="nil"/>
              <w:bottom w:val="single" w:color="auto" w:sz="4" w:space="0"/>
              <w:right w:val="single" w:color="auto" w:sz="4" w:space="0"/>
            </w:tcBorders>
            <w:vAlign w:val="center"/>
          </w:tcPr>
          <w:p>
            <w:pPr>
              <w:widowControl/>
              <w:jc w:val="center"/>
              <w:rPr>
                <w:kern w:val="0"/>
                <w:szCs w:val="21"/>
              </w:rPr>
            </w:pPr>
            <w:r>
              <w:rPr>
                <w:rFonts w:hint="eastAsia" w:ascii="宋体" w:hAnsi="宋体"/>
                <w:color w:val="000000"/>
                <w:sz w:val="18"/>
                <w:szCs w:val="18"/>
              </w:rPr>
              <w:t>贵州华恒水利电力建设工程有限公司</w:t>
            </w:r>
          </w:p>
        </w:tc>
      </w:tr>
      <w:tr>
        <w:tblPrEx>
          <w:tblLayout w:type="fixed"/>
          <w:tblCellMar>
            <w:top w:w="0" w:type="dxa"/>
            <w:left w:w="108" w:type="dxa"/>
            <w:bottom w:w="0" w:type="dxa"/>
            <w:right w:w="108" w:type="dxa"/>
          </w:tblCellMar>
        </w:tblPrEx>
        <w:trPr>
          <w:trHeight w:val="1304" w:hRule="atLeast"/>
        </w:trPr>
        <w:tc>
          <w:tcPr>
            <w:tcW w:w="3057"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r>
              <w:rPr>
                <w:kern w:val="0"/>
                <w:szCs w:val="21"/>
              </w:rPr>
              <w:t>水土保持监理单位</w:t>
            </w:r>
          </w:p>
        </w:tc>
        <w:tc>
          <w:tcPr>
            <w:tcW w:w="6123"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olor w:val="000000"/>
                <w:sz w:val="18"/>
                <w:szCs w:val="18"/>
              </w:rPr>
            </w:pPr>
            <w:r>
              <w:rPr>
                <w:rFonts w:hint="eastAsia" w:ascii="宋体" w:hAnsi="宋体"/>
                <w:color w:val="000000"/>
                <w:sz w:val="18"/>
                <w:szCs w:val="18"/>
              </w:rPr>
              <w:t>贵州经纬水保工程咨询有限公司</w:t>
            </w:r>
          </w:p>
        </w:tc>
      </w:tr>
      <w:tr>
        <w:tblPrEx>
          <w:tblLayout w:type="fixed"/>
          <w:tblCellMar>
            <w:top w:w="0" w:type="dxa"/>
            <w:left w:w="108" w:type="dxa"/>
            <w:bottom w:w="0" w:type="dxa"/>
            <w:right w:w="108" w:type="dxa"/>
          </w:tblCellMar>
        </w:tblPrEx>
        <w:trPr>
          <w:trHeight w:val="1304" w:hRule="atLeast"/>
        </w:trPr>
        <w:tc>
          <w:tcPr>
            <w:tcW w:w="3057"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r>
              <w:rPr>
                <w:kern w:val="0"/>
                <w:szCs w:val="21"/>
              </w:rPr>
              <w:t>水土保持监测单位</w:t>
            </w:r>
          </w:p>
        </w:tc>
        <w:tc>
          <w:tcPr>
            <w:tcW w:w="6123" w:type="dxa"/>
            <w:gridSpan w:val="3"/>
            <w:tcBorders>
              <w:top w:val="single" w:color="auto" w:sz="4" w:space="0"/>
              <w:left w:val="nil"/>
              <w:bottom w:val="single" w:color="auto" w:sz="4" w:space="0"/>
              <w:right w:val="single" w:color="auto" w:sz="4" w:space="0"/>
            </w:tcBorders>
            <w:vAlign w:val="center"/>
          </w:tcPr>
          <w:p>
            <w:pPr>
              <w:widowControl/>
              <w:jc w:val="center"/>
              <w:rPr>
                <w:kern w:val="0"/>
                <w:szCs w:val="21"/>
              </w:rPr>
            </w:pPr>
            <w:r>
              <w:rPr>
                <w:rFonts w:hint="eastAsia" w:ascii="宋体" w:hAnsi="宋体"/>
                <w:color w:val="000000"/>
                <w:sz w:val="18"/>
                <w:szCs w:val="18"/>
              </w:rPr>
              <w:t>贵州同泽生态实业发展有限责任公司</w:t>
            </w:r>
          </w:p>
        </w:tc>
      </w:tr>
      <w:tr>
        <w:tblPrEx>
          <w:tblLayout w:type="fixed"/>
          <w:tblCellMar>
            <w:top w:w="0" w:type="dxa"/>
            <w:left w:w="108" w:type="dxa"/>
            <w:bottom w:w="0" w:type="dxa"/>
            <w:right w:w="108" w:type="dxa"/>
          </w:tblCellMar>
        </w:tblPrEx>
        <w:trPr>
          <w:trHeight w:val="1304" w:hRule="atLeast"/>
        </w:trPr>
        <w:tc>
          <w:tcPr>
            <w:tcW w:w="3057" w:type="dxa"/>
            <w:tcBorders>
              <w:top w:val="single" w:color="auto" w:sz="4" w:space="0"/>
              <w:left w:val="single" w:color="auto" w:sz="4" w:space="0"/>
              <w:bottom w:val="single" w:color="auto" w:sz="4" w:space="0"/>
              <w:right w:val="single" w:color="auto" w:sz="4" w:space="0"/>
            </w:tcBorders>
            <w:vAlign w:val="center"/>
          </w:tcPr>
          <w:p>
            <w:pPr>
              <w:widowControl/>
              <w:jc w:val="center"/>
              <w:rPr>
                <w:kern w:val="0"/>
                <w:szCs w:val="21"/>
              </w:rPr>
            </w:pPr>
            <w:r>
              <w:rPr>
                <w:kern w:val="0"/>
                <w:szCs w:val="21"/>
              </w:rPr>
              <w:t>水土保持设施验收报告</w:t>
            </w:r>
          </w:p>
          <w:p>
            <w:pPr>
              <w:widowControl/>
              <w:jc w:val="center"/>
              <w:rPr>
                <w:kern w:val="0"/>
                <w:szCs w:val="21"/>
              </w:rPr>
            </w:pPr>
            <w:r>
              <w:rPr>
                <w:kern w:val="0"/>
                <w:szCs w:val="21"/>
              </w:rPr>
              <w:t>编制单位</w:t>
            </w:r>
          </w:p>
        </w:tc>
        <w:tc>
          <w:tcPr>
            <w:tcW w:w="6123" w:type="dxa"/>
            <w:gridSpan w:val="3"/>
            <w:tcBorders>
              <w:top w:val="single" w:color="auto" w:sz="4" w:space="0"/>
              <w:left w:val="nil"/>
              <w:bottom w:val="single" w:color="auto" w:sz="4" w:space="0"/>
              <w:right w:val="single" w:color="auto" w:sz="4" w:space="0"/>
            </w:tcBorders>
            <w:vAlign w:val="center"/>
          </w:tcPr>
          <w:p>
            <w:pPr>
              <w:widowControl/>
              <w:jc w:val="center"/>
              <w:rPr>
                <w:kern w:val="0"/>
                <w:szCs w:val="21"/>
              </w:rPr>
            </w:pPr>
            <w:r>
              <w:rPr>
                <w:rFonts w:hint="eastAsia"/>
                <w:kern w:val="0"/>
                <w:szCs w:val="21"/>
              </w:rPr>
              <w:t>贵州智盛工程监理咨询有限公司</w:t>
            </w:r>
          </w:p>
        </w:tc>
      </w:tr>
    </w:tbl>
    <w:p>
      <w:pPr>
        <w:spacing w:line="360" w:lineRule="auto"/>
        <w:ind w:firstLine="790" w:firstLineChars="246"/>
        <w:outlineLvl w:val="0"/>
        <w:rPr>
          <w:b/>
          <w:sz w:val="32"/>
          <w:szCs w:val="32"/>
        </w:rPr>
      </w:pPr>
    </w:p>
    <w:p>
      <w:pPr>
        <w:spacing w:line="360" w:lineRule="auto"/>
        <w:ind w:firstLine="790" w:firstLineChars="246"/>
        <w:outlineLvl w:val="0"/>
        <w:rPr>
          <w:b/>
          <w:sz w:val="32"/>
          <w:szCs w:val="32"/>
        </w:rPr>
      </w:pPr>
      <w:r>
        <w:rPr>
          <w:b/>
          <w:sz w:val="32"/>
          <w:szCs w:val="32"/>
        </w:rPr>
        <w:t>二、验收意见</w:t>
      </w:r>
    </w:p>
    <w:tbl>
      <w:tblPr>
        <w:tblStyle w:val="6"/>
        <w:tblW w:w="87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 w:hRule="atLeast"/>
          <w:jc w:val="center"/>
        </w:trPr>
        <w:tc>
          <w:tcPr>
            <w:tcW w:w="8796" w:type="dxa"/>
          </w:tcPr>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根据《水利部办公厅关于印发生产建设项目水土保持设施自主验收规程（试行）的通知》的规定，建设单位</w:t>
            </w:r>
            <w:r>
              <w:rPr>
                <w:rFonts w:hint="eastAsia" w:ascii="宋体" w:hAnsi="宋体" w:cs="经典宋体简"/>
                <w:bCs/>
                <w:color w:val="000000"/>
                <w:sz w:val="28"/>
                <w:szCs w:val="28"/>
              </w:rPr>
              <w:t>国家电投集团贵州金元威宁能源股份有限公司象鼻岭水电站</w:t>
            </w:r>
            <w:r>
              <w:rPr>
                <w:rFonts w:ascii="宋体" w:hAnsi="宋体" w:cs="经典宋体简"/>
                <w:bCs/>
                <w:color w:val="000000"/>
                <w:sz w:val="28"/>
                <w:szCs w:val="28"/>
              </w:rPr>
              <w:t>于201</w:t>
            </w:r>
            <w:r>
              <w:rPr>
                <w:rFonts w:hint="eastAsia" w:ascii="宋体" w:hAnsi="宋体" w:cs="经典宋体简"/>
                <w:bCs/>
                <w:color w:val="000000"/>
                <w:sz w:val="28"/>
                <w:szCs w:val="28"/>
              </w:rPr>
              <w:t>9</w:t>
            </w:r>
            <w:r>
              <w:rPr>
                <w:rFonts w:ascii="宋体" w:hAnsi="宋体" w:cs="经典宋体简"/>
                <w:bCs/>
                <w:color w:val="000000"/>
                <w:sz w:val="28"/>
                <w:szCs w:val="28"/>
              </w:rPr>
              <w:t>年</w:t>
            </w:r>
            <w:r>
              <w:rPr>
                <w:rFonts w:hint="eastAsia" w:ascii="宋体" w:hAnsi="宋体" w:cs="经典宋体简"/>
                <w:bCs/>
                <w:color w:val="000000"/>
                <w:sz w:val="28"/>
                <w:szCs w:val="28"/>
              </w:rPr>
              <w:t>9</w:t>
            </w:r>
            <w:r>
              <w:rPr>
                <w:rFonts w:ascii="宋体" w:hAnsi="宋体" w:cs="经典宋体简"/>
                <w:bCs/>
                <w:color w:val="000000"/>
                <w:sz w:val="28"/>
                <w:szCs w:val="28"/>
              </w:rPr>
              <w:t>月</w:t>
            </w:r>
            <w:r>
              <w:rPr>
                <w:rFonts w:hint="eastAsia" w:ascii="宋体" w:hAnsi="宋体" w:cs="经典宋体简"/>
                <w:bCs/>
                <w:color w:val="000000"/>
                <w:sz w:val="28"/>
                <w:szCs w:val="28"/>
              </w:rPr>
              <w:t>5</w:t>
            </w:r>
            <w:r>
              <w:rPr>
                <w:rFonts w:ascii="宋体" w:hAnsi="宋体" w:cs="经典宋体简"/>
                <w:bCs/>
                <w:color w:val="000000"/>
                <w:sz w:val="28"/>
                <w:szCs w:val="28"/>
              </w:rPr>
              <w:t>日在</w:t>
            </w:r>
            <w:r>
              <w:rPr>
                <w:rFonts w:hint="eastAsia" w:ascii="宋体" w:hAnsi="宋体" w:cs="经典宋体简"/>
                <w:bCs/>
                <w:color w:val="000000"/>
                <w:sz w:val="28"/>
                <w:szCs w:val="28"/>
              </w:rPr>
              <w:t>毕节市威宁县田坝村象鼻岭水电厂</w:t>
            </w:r>
            <w:r>
              <w:rPr>
                <w:rFonts w:ascii="宋体" w:hAnsi="宋体" w:cs="经典宋体简"/>
                <w:bCs/>
                <w:color w:val="000000"/>
                <w:sz w:val="28"/>
                <w:szCs w:val="28"/>
              </w:rPr>
              <w:t>主持召开了</w:t>
            </w:r>
            <w:r>
              <w:rPr>
                <w:rFonts w:hint="eastAsia" w:ascii="宋体" w:hAnsi="宋体" w:cs="经典宋体简"/>
                <w:bCs/>
                <w:color w:val="000000"/>
                <w:sz w:val="28"/>
                <w:szCs w:val="28"/>
              </w:rPr>
              <w:t>牛栏江象鼻岭水电站工程</w:t>
            </w:r>
            <w:r>
              <w:rPr>
                <w:rFonts w:ascii="宋体" w:hAnsi="宋体" w:cs="经典宋体简"/>
                <w:bCs/>
                <w:color w:val="000000"/>
                <w:sz w:val="28"/>
                <w:szCs w:val="28"/>
              </w:rPr>
              <w:t>水土保持设施验收会议。参加会议的有：</w:t>
            </w:r>
            <w:r>
              <w:rPr>
                <w:rFonts w:hint="eastAsia" w:ascii="宋体" w:hAnsi="宋体" w:cs="经典宋体简"/>
                <w:bCs/>
                <w:color w:val="000000"/>
                <w:sz w:val="28"/>
                <w:szCs w:val="28"/>
              </w:rPr>
              <w:t>贵州省水利厅水保监测站：方启彬、宁茂歧两位专家、施工单位贵州华恒水利电力建设工程有限公司、</w:t>
            </w:r>
            <w:r>
              <w:rPr>
                <w:rFonts w:ascii="宋体" w:hAnsi="宋体" w:cs="经典宋体简"/>
                <w:bCs/>
                <w:color w:val="000000"/>
                <w:sz w:val="28"/>
                <w:szCs w:val="28"/>
              </w:rPr>
              <w:t>验收报告编制单位—</w:t>
            </w:r>
            <w:r>
              <w:rPr>
                <w:rFonts w:hint="eastAsia" w:ascii="宋体" w:hAnsi="宋体" w:cs="经典宋体简"/>
                <w:bCs/>
                <w:color w:val="000000"/>
                <w:sz w:val="28"/>
                <w:szCs w:val="28"/>
              </w:rPr>
              <w:t>贵州智盛工程监理咨询有限公司</w:t>
            </w:r>
            <w:r>
              <w:rPr>
                <w:rFonts w:ascii="宋体" w:hAnsi="宋体" w:cs="经典宋体简"/>
                <w:bCs/>
                <w:color w:val="000000"/>
                <w:sz w:val="28"/>
                <w:szCs w:val="28"/>
              </w:rPr>
              <w:t>、监理单位—</w:t>
            </w:r>
            <w:r>
              <w:rPr>
                <w:rFonts w:hint="eastAsia" w:ascii="宋体" w:hAnsi="宋体" w:cs="经典宋体简"/>
                <w:bCs/>
                <w:color w:val="000000"/>
                <w:sz w:val="28"/>
                <w:szCs w:val="28"/>
              </w:rPr>
              <w:t>贵州经纬水保工程咨询有限公司</w:t>
            </w:r>
            <w:r>
              <w:rPr>
                <w:rFonts w:ascii="宋体" w:hAnsi="宋体" w:cs="经典宋体简"/>
                <w:bCs/>
                <w:color w:val="000000"/>
                <w:sz w:val="28"/>
                <w:szCs w:val="28"/>
              </w:rPr>
              <w:t>、监测单位—</w:t>
            </w:r>
            <w:r>
              <w:rPr>
                <w:rFonts w:hint="eastAsia" w:ascii="宋体" w:hAnsi="宋体" w:cs="经典宋体简"/>
                <w:bCs/>
                <w:color w:val="000000"/>
                <w:sz w:val="28"/>
                <w:szCs w:val="28"/>
              </w:rPr>
              <w:t>贵州同泽生态实业发展有限责任公司</w:t>
            </w:r>
            <w:r>
              <w:rPr>
                <w:rFonts w:ascii="宋体" w:hAnsi="宋体" w:cs="经典宋体简"/>
                <w:bCs/>
                <w:color w:val="000000"/>
                <w:sz w:val="28"/>
                <w:szCs w:val="28"/>
              </w:rPr>
              <w:t>等参会人员共</w:t>
            </w:r>
            <w:r>
              <w:rPr>
                <w:rFonts w:hint="eastAsia" w:ascii="宋体" w:hAnsi="宋体" w:cs="经典宋体简"/>
                <w:bCs/>
                <w:color w:val="000000"/>
                <w:sz w:val="28"/>
                <w:szCs w:val="28"/>
              </w:rPr>
              <w:t>10</w:t>
            </w:r>
            <w:r>
              <w:rPr>
                <w:rFonts w:ascii="宋体" w:hAnsi="宋体" w:cs="经典宋体简"/>
                <w:bCs/>
                <w:color w:val="000000"/>
                <w:sz w:val="28"/>
                <w:szCs w:val="28"/>
              </w:rPr>
              <w:t>人，会议成立了验收组（名单附后）。</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验收会议前，建设单位委托</w:t>
            </w:r>
            <w:r>
              <w:rPr>
                <w:rFonts w:hint="eastAsia" w:ascii="宋体" w:hAnsi="宋体" w:cs="经典宋体简"/>
                <w:bCs/>
                <w:color w:val="000000"/>
                <w:sz w:val="28"/>
                <w:szCs w:val="28"/>
              </w:rPr>
              <w:t>贵州智盛工程监理咨询有限公司</w:t>
            </w:r>
            <w:r>
              <w:rPr>
                <w:rFonts w:ascii="宋体" w:hAnsi="宋体" w:cs="经典宋体简"/>
                <w:bCs/>
                <w:color w:val="000000"/>
                <w:sz w:val="28"/>
                <w:szCs w:val="28"/>
              </w:rPr>
              <w:t>对</w:t>
            </w:r>
            <w:r>
              <w:rPr>
                <w:rFonts w:hint="eastAsia" w:ascii="宋体" w:hAnsi="宋体" w:cs="经典宋体简"/>
                <w:bCs/>
                <w:color w:val="000000"/>
                <w:sz w:val="28"/>
                <w:szCs w:val="28"/>
              </w:rPr>
              <w:t>牛栏江象鼻岭水电站工程</w:t>
            </w:r>
            <w:r>
              <w:rPr>
                <w:rFonts w:ascii="宋体" w:hAnsi="宋体" w:cs="经典宋体简"/>
                <w:bCs/>
                <w:color w:val="000000"/>
                <w:sz w:val="28"/>
                <w:szCs w:val="28"/>
              </w:rPr>
              <w:t>水土保持设施进行了验收，提交了《</w:t>
            </w:r>
            <w:r>
              <w:rPr>
                <w:rFonts w:hint="eastAsia" w:ascii="宋体" w:hAnsi="宋体" w:cs="经典宋体简"/>
                <w:bCs/>
                <w:color w:val="000000"/>
                <w:sz w:val="28"/>
                <w:szCs w:val="28"/>
              </w:rPr>
              <w:t>牛栏江象鼻岭水电站工程</w:t>
            </w:r>
            <w:r>
              <w:rPr>
                <w:rFonts w:ascii="宋体" w:hAnsi="宋体" w:cs="经典宋体简"/>
                <w:bCs/>
                <w:color w:val="000000"/>
                <w:sz w:val="28"/>
                <w:szCs w:val="28"/>
              </w:rPr>
              <w:t>水土保持设施验收报告》，并委托</w:t>
            </w:r>
            <w:r>
              <w:rPr>
                <w:rFonts w:hint="eastAsia" w:ascii="宋体" w:hAnsi="宋体" w:cs="经典宋体简"/>
                <w:bCs/>
                <w:color w:val="000000"/>
                <w:sz w:val="28"/>
                <w:szCs w:val="28"/>
              </w:rPr>
              <w:t>贵州同泽生态实业发展有限责任公司</w:t>
            </w:r>
            <w:r>
              <w:rPr>
                <w:rFonts w:ascii="宋体" w:hAnsi="宋体" w:cs="经典宋体简"/>
                <w:bCs/>
                <w:color w:val="000000"/>
                <w:sz w:val="28"/>
                <w:szCs w:val="28"/>
              </w:rPr>
              <w:t>承担本项目的水土保持监测工作，编写完成了《</w:t>
            </w:r>
            <w:r>
              <w:rPr>
                <w:rFonts w:hint="eastAsia" w:ascii="宋体" w:hAnsi="宋体" w:cs="经典宋体简"/>
                <w:bCs/>
                <w:color w:val="000000"/>
                <w:sz w:val="28"/>
                <w:szCs w:val="28"/>
              </w:rPr>
              <w:t>牛栏江象鼻岭水电站工程</w:t>
            </w:r>
            <w:r>
              <w:rPr>
                <w:rFonts w:ascii="宋体" w:hAnsi="宋体" w:cs="经典宋体简"/>
                <w:bCs/>
                <w:color w:val="000000"/>
                <w:sz w:val="28"/>
                <w:szCs w:val="28"/>
              </w:rPr>
              <w:t>水土保持监测</w:t>
            </w:r>
            <w:r>
              <w:rPr>
                <w:rFonts w:hint="eastAsia" w:ascii="宋体" w:hAnsi="宋体" w:cs="经典宋体简"/>
                <w:bCs/>
                <w:color w:val="000000"/>
                <w:sz w:val="28"/>
                <w:szCs w:val="28"/>
              </w:rPr>
              <w:t>调查</w:t>
            </w:r>
            <w:r>
              <w:rPr>
                <w:rFonts w:ascii="宋体" w:hAnsi="宋体" w:cs="经典宋体简"/>
                <w:bCs/>
                <w:color w:val="000000"/>
                <w:sz w:val="28"/>
                <w:szCs w:val="28"/>
              </w:rPr>
              <w:t>报告》</w:t>
            </w:r>
            <w:r>
              <w:rPr>
                <w:rFonts w:hint="eastAsia" w:ascii="宋体" w:hAnsi="宋体" w:cs="经典宋体简"/>
                <w:bCs/>
                <w:color w:val="000000"/>
                <w:sz w:val="28"/>
                <w:szCs w:val="28"/>
              </w:rPr>
              <w:t>；</w:t>
            </w:r>
            <w:r>
              <w:rPr>
                <w:rFonts w:ascii="宋体" w:hAnsi="宋体" w:cs="经典宋体简"/>
                <w:bCs/>
                <w:color w:val="000000"/>
                <w:sz w:val="28"/>
                <w:szCs w:val="28"/>
              </w:rPr>
              <w:t>委托</w:t>
            </w:r>
            <w:r>
              <w:rPr>
                <w:rFonts w:hint="eastAsia" w:ascii="宋体" w:hAnsi="宋体" w:cs="经典宋体简"/>
                <w:bCs/>
                <w:color w:val="000000"/>
                <w:sz w:val="28"/>
                <w:szCs w:val="28"/>
              </w:rPr>
              <w:t>贵州经纬水保工程咨询有限公司</w:t>
            </w:r>
            <w:r>
              <w:rPr>
                <w:rFonts w:ascii="宋体" w:hAnsi="宋体" w:cs="经典宋体简"/>
                <w:bCs/>
                <w:color w:val="000000"/>
                <w:sz w:val="28"/>
                <w:szCs w:val="28"/>
              </w:rPr>
              <w:t>承担本项目的水土保持工程</w:t>
            </w:r>
            <w:r>
              <w:rPr>
                <w:rFonts w:hint="eastAsia" w:ascii="宋体" w:hAnsi="宋体" w:cs="经典宋体简"/>
                <w:bCs/>
                <w:color w:val="000000"/>
                <w:sz w:val="28"/>
                <w:szCs w:val="28"/>
              </w:rPr>
              <w:t>监理</w:t>
            </w:r>
            <w:r>
              <w:rPr>
                <w:rFonts w:ascii="宋体" w:hAnsi="宋体" w:cs="经典宋体简"/>
                <w:bCs/>
                <w:color w:val="000000"/>
                <w:sz w:val="28"/>
                <w:szCs w:val="28"/>
              </w:rPr>
              <w:t>工作，编写完成了《</w:t>
            </w:r>
            <w:r>
              <w:rPr>
                <w:rFonts w:hint="eastAsia" w:ascii="宋体" w:hAnsi="宋体" w:cs="经典宋体简"/>
                <w:bCs/>
                <w:color w:val="000000"/>
                <w:sz w:val="28"/>
                <w:szCs w:val="28"/>
              </w:rPr>
              <w:t>牛栏江象鼻岭水电站工程</w:t>
            </w:r>
            <w:r>
              <w:rPr>
                <w:rFonts w:ascii="宋体" w:hAnsi="宋体" w:cs="经典宋体简"/>
                <w:bCs/>
                <w:color w:val="000000"/>
                <w:sz w:val="28"/>
                <w:szCs w:val="28"/>
              </w:rPr>
              <w:t>水土保持工程</w:t>
            </w:r>
            <w:r>
              <w:rPr>
                <w:rFonts w:hint="eastAsia" w:ascii="宋体" w:hAnsi="宋体" w:cs="经典宋体简"/>
                <w:bCs/>
                <w:color w:val="000000"/>
                <w:sz w:val="28"/>
                <w:szCs w:val="28"/>
              </w:rPr>
              <w:t>监理</w:t>
            </w:r>
            <w:r>
              <w:rPr>
                <w:rFonts w:ascii="宋体" w:hAnsi="宋体" w:cs="经典宋体简"/>
                <w:bCs/>
                <w:color w:val="000000"/>
                <w:sz w:val="28"/>
                <w:szCs w:val="28"/>
              </w:rPr>
              <w:t>报告》。对此次验收提供了重要的技术依据。</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验收组及与会代表实地查勘了工程现场，查阅了技术资料，听取了验收报告编制单位关于水土保持工作情况的汇报以及监理、监测等单位的汇报，经质询和讨论，形成验收意见如下：</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（一）项目概况</w:t>
            </w:r>
          </w:p>
          <w:p>
            <w:pPr>
              <w:snapToGrid w:val="0"/>
              <w:spacing w:line="620" w:lineRule="exact"/>
              <w:ind w:firstLine="560" w:firstLineChars="200"/>
              <w:rPr>
                <w:rFonts w:ascii="宋体" w:hAnsi="宋体" w:cs="经典宋体简"/>
                <w:bCs/>
                <w:color w:val="000000"/>
                <w:sz w:val="28"/>
                <w:szCs w:val="28"/>
              </w:rPr>
            </w:pPr>
            <w:r>
              <w:rPr>
                <w:rFonts w:hint="eastAsia" w:ascii="宋体" w:hAnsi="宋体" w:cs="经典宋体简"/>
                <w:bCs/>
                <w:color w:val="000000"/>
                <w:sz w:val="28"/>
                <w:szCs w:val="28"/>
              </w:rPr>
              <w:t>牛栏江</w:t>
            </w:r>
            <w:r>
              <w:rPr>
                <w:rFonts w:ascii="宋体" w:hAnsi="宋体" w:cs="经典宋体简"/>
                <w:bCs/>
                <w:color w:val="000000"/>
                <w:sz w:val="28"/>
                <w:szCs w:val="28"/>
              </w:rPr>
              <w:t>象鼻岭水电站位于牛栏江干流下游河段贵州省威宁县与云南省会泽县交界处，</w:t>
            </w:r>
            <w:r>
              <w:rPr>
                <w:rFonts w:hint="eastAsia" w:ascii="宋体" w:hAnsi="宋体" w:cs="经典宋体简"/>
                <w:bCs/>
                <w:color w:val="000000"/>
                <w:sz w:val="28"/>
                <w:szCs w:val="28"/>
              </w:rPr>
              <w:t>坝址地理坐标：东经103°66′，北纬27°03′，</w:t>
            </w:r>
            <w:r>
              <w:rPr>
                <w:rFonts w:ascii="宋体" w:hAnsi="宋体" w:cs="经典宋体简"/>
                <w:bCs/>
                <w:color w:val="000000"/>
                <w:sz w:val="28"/>
                <w:szCs w:val="28"/>
              </w:rPr>
              <w:t>坝址左岸为曲靖的会泽县，右岸为贵州威宁县，213 国道通过坝址区右坝肩。电站距威宁县城约163km，云南省昭通市约 41km</w:t>
            </w:r>
            <w:r>
              <w:rPr>
                <w:rFonts w:hint="eastAsia" w:ascii="宋体" w:hAnsi="宋体" w:cs="经典宋体简"/>
                <w:bCs/>
                <w:color w:val="000000"/>
                <w:sz w:val="28"/>
                <w:szCs w:val="28"/>
              </w:rPr>
              <w:t>，交通较为方便。</w:t>
            </w:r>
          </w:p>
          <w:p>
            <w:pPr>
              <w:snapToGrid w:val="0"/>
              <w:spacing w:line="620" w:lineRule="exact"/>
              <w:ind w:firstLine="560" w:firstLineChars="200"/>
              <w:rPr>
                <w:rFonts w:ascii="宋体" w:hAnsi="宋体" w:cs="经典宋体简"/>
                <w:bCs/>
                <w:color w:val="000000"/>
                <w:sz w:val="28"/>
                <w:szCs w:val="28"/>
              </w:rPr>
            </w:pPr>
            <w:r>
              <w:rPr>
                <w:rFonts w:hint="eastAsia" w:ascii="宋体" w:hAnsi="宋体" w:cs="经典宋体简"/>
                <w:bCs/>
                <w:color w:val="000000"/>
                <w:sz w:val="28"/>
                <w:szCs w:val="28"/>
              </w:rPr>
              <w:t>牛栏江象鼻岭水电站工程建设区占地面积114.57hm</w:t>
            </w:r>
            <w:r>
              <w:rPr>
                <w:rFonts w:hint="eastAsia" w:ascii="宋体" w:hAnsi="宋体" w:cs="经典宋体简"/>
                <w:bCs/>
                <w:color w:val="000000"/>
                <w:sz w:val="28"/>
                <w:szCs w:val="28"/>
                <w:vertAlign w:val="superscript"/>
              </w:rPr>
              <w:t>2</w:t>
            </w:r>
            <w:r>
              <w:rPr>
                <w:rFonts w:hint="eastAsia" w:ascii="宋体" w:hAnsi="宋体" w:cs="经典宋体简"/>
                <w:bCs/>
                <w:color w:val="000000"/>
                <w:sz w:val="28"/>
                <w:szCs w:val="28"/>
              </w:rPr>
              <w:t>。本项目建设期共开挖土石方461.15万m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，回填土石方量248.6万m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，弃方量212.55万m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弃方已经全部运至田坝弃渣场堆放）。主体工程于2007年10月开工，2019年9月完工（目前处于试运行阶段），建设总工期144个月；水土保持工程于2017年10月开工，2019年9月完工，建设总工期24个月。本项目共计完成水土保持措施投资1968.34万元，其中工程措施投资1186万元，植物措施投资253.88万元，临时措施投资68.13万元。</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（二）水土保持方案批复情况</w:t>
            </w:r>
          </w:p>
          <w:p>
            <w:pPr>
              <w:snapToGrid w:val="0"/>
              <w:spacing w:line="620" w:lineRule="exact"/>
              <w:ind w:firstLine="560" w:firstLineChars="200"/>
              <w:rPr>
                <w:rFonts w:ascii="宋体" w:hAnsi="宋体" w:cs="经典宋体简"/>
                <w:bCs/>
                <w:color w:val="000000" w:themeColor="text1"/>
                <w:sz w:val="28"/>
                <w:szCs w:val="28"/>
              </w:rPr>
            </w:pPr>
            <w:r>
              <w:rPr>
                <w:rFonts w:hint="eastAsia" w:ascii="宋体" w:hAnsi="宋体" w:cs="经典宋体简"/>
                <w:bCs/>
                <w:color w:val="000000" w:themeColor="text1"/>
                <w:sz w:val="28"/>
                <w:szCs w:val="28"/>
              </w:rPr>
              <w:t>2006年12月，中国水电顾问集团贵阳勘测设计研究院受建设单位委托，承担《牛栏江象鼻岭水电站工程水土保持方案报告书》的编制任务，2007年3月编制单位完成了《牛栏江象鼻岭水电站工程水土保持方案报告书（报批稿）》，贵州省水利厅于2007年5月9日以黔水保[2007]32号文对其进行了批复</w:t>
            </w:r>
            <w:r>
              <w:rPr>
                <w:rFonts w:ascii="宋体" w:hAnsi="宋体" w:cs="经典宋体简"/>
                <w:bCs/>
                <w:color w:val="000000" w:themeColor="text1"/>
                <w:sz w:val="28"/>
                <w:szCs w:val="28"/>
              </w:rPr>
              <w:t>。</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w:t>
            </w:r>
            <w:r>
              <w:rPr>
                <w:rFonts w:hint="eastAsia" w:ascii="宋体" w:hAnsi="宋体" w:cs="经典宋体简"/>
                <w:bCs/>
                <w:color w:val="000000"/>
                <w:sz w:val="28"/>
                <w:szCs w:val="28"/>
              </w:rPr>
              <w:t>三</w:t>
            </w:r>
            <w:r>
              <w:rPr>
                <w:rFonts w:ascii="宋体" w:hAnsi="宋体" w:cs="经典宋体简"/>
                <w:bCs/>
                <w:color w:val="000000"/>
                <w:sz w:val="28"/>
                <w:szCs w:val="28"/>
              </w:rPr>
              <w:t>）水土保持</w:t>
            </w:r>
            <w:r>
              <w:rPr>
                <w:rFonts w:hint="eastAsia" w:ascii="宋体" w:hAnsi="宋体" w:cs="经典宋体简"/>
                <w:bCs/>
                <w:color w:val="000000"/>
                <w:sz w:val="28"/>
                <w:szCs w:val="28"/>
              </w:rPr>
              <w:t>监理</w:t>
            </w:r>
            <w:r>
              <w:rPr>
                <w:rFonts w:ascii="宋体" w:hAnsi="宋体" w:cs="经典宋体简"/>
                <w:bCs/>
                <w:color w:val="000000"/>
                <w:sz w:val="28"/>
                <w:szCs w:val="28"/>
              </w:rPr>
              <w:t>情况</w:t>
            </w:r>
          </w:p>
          <w:p>
            <w:pPr>
              <w:snapToGrid w:val="0"/>
              <w:spacing w:line="620" w:lineRule="exact"/>
              <w:ind w:firstLine="560" w:firstLineChars="200"/>
              <w:rPr>
                <w:rFonts w:ascii="宋体" w:hAnsi="宋体" w:cs="经典宋体简"/>
                <w:bCs/>
                <w:color w:val="000000"/>
                <w:sz w:val="28"/>
                <w:szCs w:val="28"/>
              </w:rPr>
            </w:pPr>
            <w:r>
              <w:rPr>
                <w:rFonts w:hint="eastAsia" w:ascii="宋体" w:hAnsi="宋体" w:cs="经典宋体简"/>
                <w:bCs/>
                <w:color w:val="000000"/>
                <w:sz w:val="28"/>
                <w:szCs w:val="28"/>
              </w:rPr>
              <w:t>牛栏江象鼻岭水电站工程土建工程施工单位是中国葛洲坝集团股份有限公司，监理单位是湖南友源监理有限公司，由于该项目当时未将水土保持工程分离出来，其水土保持工程监理由湖南友源监理有限公司全部承担。</w:t>
            </w:r>
          </w:p>
          <w:p>
            <w:pPr>
              <w:snapToGrid w:val="0"/>
              <w:spacing w:line="620" w:lineRule="exact"/>
              <w:ind w:firstLine="560" w:firstLineChars="200"/>
              <w:rPr>
                <w:rFonts w:ascii="宋体" w:hAnsi="宋体" w:cs="经典宋体简"/>
                <w:bCs/>
                <w:color w:val="000000"/>
                <w:sz w:val="28"/>
                <w:szCs w:val="28"/>
              </w:rPr>
            </w:pPr>
            <w:r>
              <w:rPr>
                <w:rFonts w:hint="eastAsia" w:ascii="宋体" w:hAnsi="宋体" w:cs="经典宋体简"/>
                <w:bCs/>
                <w:color w:val="000000"/>
                <w:sz w:val="28"/>
                <w:szCs w:val="28"/>
              </w:rPr>
              <w:t>2016年12月，受国家电投集团贵州金元威宁能源股份有限公司象鼻岭水电站委托，贵州经纬水保工程咨询有限公司承接了牛栏江象鼻岭水电站工程水土保持专项工程监理工作，受委托后，监理单位随即成立了“贵州经纬水保工程咨询有限公司牛栏江象鼻岭水电站工程工程水土保持专项工程监理工作小组”,根据项目现场水土保持工程实际情况，对照查阅主体工程监理资料和竣工结算资料，将该项目水土保持工程部分剥离出来进行工程量和结算价的统计和分析。</w:t>
            </w:r>
          </w:p>
          <w:p>
            <w:pPr>
              <w:snapToGrid w:val="0"/>
              <w:spacing w:line="620" w:lineRule="exact"/>
              <w:ind w:firstLine="560" w:firstLineChars="200"/>
              <w:rPr>
                <w:rFonts w:ascii="宋体" w:hAnsi="宋体" w:cs="经典宋体简"/>
                <w:bCs/>
                <w:color w:val="000000"/>
                <w:sz w:val="28"/>
                <w:szCs w:val="28"/>
              </w:rPr>
            </w:pPr>
            <w:r>
              <w:rPr>
                <w:rFonts w:hint="eastAsia" w:ascii="宋体" w:hAnsi="宋体" w:cs="经典宋体简"/>
                <w:bCs/>
                <w:color w:val="000000"/>
                <w:sz w:val="28"/>
                <w:szCs w:val="28"/>
              </w:rPr>
              <w:t>2019年9月，本项目水土保持工程全面竣工，共计完成水土保持措施投资1968.34万元，其中工程措施投资1186万元，植物措施投资253.88万元，临时措施投资68.13万元。</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w:t>
            </w:r>
            <w:r>
              <w:rPr>
                <w:rFonts w:hint="eastAsia" w:ascii="宋体" w:hAnsi="宋体" w:cs="经典宋体简"/>
                <w:bCs/>
                <w:color w:val="000000"/>
                <w:sz w:val="28"/>
                <w:szCs w:val="28"/>
              </w:rPr>
              <w:t>四</w:t>
            </w:r>
            <w:r>
              <w:rPr>
                <w:rFonts w:ascii="宋体" w:hAnsi="宋体" w:cs="经典宋体简"/>
                <w:bCs/>
                <w:color w:val="000000"/>
                <w:sz w:val="28"/>
                <w:szCs w:val="28"/>
              </w:rPr>
              <w:t>）水土保持监测情况</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20</w:t>
            </w:r>
            <w:r>
              <w:rPr>
                <w:rFonts w:hint="eastAsia" w:ascii="宋体" w:hAnsi="宋体" w:cs="经典宋体简"/>
                <w:bCs/>
                <w:color w:val="000000"/>
                <w:sz w:val="28"/>
                <w:szCs w:val="28"/>
              </w:rPr>
              <w:t>16</w:t>
            </w:r>
            <w:r>
              <w:rPr>
                <w:rFonts w:ascii="宋体" w:hAnsi="宋体" w:cs="经典宋体简"/>
                <w:bCs/>
                <w:color w:val="000000"/>
                <w:sz w:val="28"/>
                <w:szCs w:val="28"/>
              </w:rPr>
              <w:t>年</w:t>
            </w:r>
            <w:r>
              <w:rPr>
                <w:rFonts w:hint="eastAsia" w:ascii="宋体" w:hAnsi="宋体" w:cs="经典宋体简"/>
                <w:bCs/>
                <w:color w:val="000000"/>
                <w:sz w:val="28"/>
                <w:szCs w:val="28"/>
              </w:rPr>
              <w:t>12</w:t>
            </w:r>
            <w:r>
              <w:rPr>
                <w:rFonts w:ascii="宋体" w:hAnsi="宋体" w:cs="经典宋体简"/>
                <w:bCs/>
                <w:color w:val="000000"/>
                <w:sz w:val="28"/>
                <w:szCs w:val="28"/>
              </w:rPr>
              <w:t>月，建设单位委托</w:t>
            </w:r>
            <w:r>
              <w:rPr>
                <w:rFonts w:hint="eastAsia" w:ascii="宋体" w:hAnsi="宋体" w:cs="经典宋体简"/>
                <w:bCs/>
                <w:color w:val="000000"/>
                <w:sz w:val="28"/>
                <w:szCs w:val="28"/>
              </w:rPr>
              <w:t>贵州同泽生态实业发展有限责任公司</w:t>
            </w:r>
            <w:r>
              <w:rPr>
                <w:rFonts w:ascii="宋体" w:hAnsi="宋体" w:cs="经典宋体简"/>
                <w:bCs/>
                <w:color w:val="000000"/>
                <w:sz w:val="28"/>
                <w:szCs w:val="28"/>
              </w:rPr>
              <w:t>承担本项目的水土保持监测工作。</w:t>
            </w:r>
            <w:r>
              <w:rPr>
                <w:rFonts w:hint="eastAsia" w:ascii="宋体" w:hAnsi="宋体" w:cs="经典宋体简"/>
                <w:bCs/>
                <w:color w:val="000000"/>
                <w:sz w:val="28"/>
                <w:szCs w:val="28"/>
              </w:rPr>
              <w:t>监测单位立即成立了水土保持监测项目小组，于</w:t>
            </w:r>
            <w:r>
              <w:rPr>
                <w:rFonts w:ascii="宋体" w:hAnsi="宋体" w:cs="经典宋体简"/>
                <w:bCs/>
                <w:color w:val="000000"/>
                <w:sz w:val="28"/>
                <w:szCs w:val="28"/>
              </w:rPr>
              <w:t>20</w:t>
            </w:r>
            <w:r>
              <w:rPr>
                <w:rFonts w:hint="eastAsia" w:ascii="宋体" w:hAnsi="宋体" w:cs="经典宋体简"/>
                <w:bCs/>
                <w:color w:val="000000"/>
                <w:sz w:val="28"/>
                <w:szCs w:val="28"/>
              </w:rPr>
              <w:t>16</w:t>
            </w:r>
            <w:r>
              <w:rPr>
                <w:rFonts w:ascii="宋体" w:hAnsi="宋体" w:cs="经典宋体简"/>
                <w:bCs/>
                <w:color w:val="000000"/>
                <w:sz w:val="28"/>
                <w:szCs w:val="28"/>
              </w:rPr>
              <w:t>年</w:t>
            </w:r>
            <w:r>
              <w:rPr>
                <w:rFonts w:hint="eastAsia" w:ascii="宋体" w:hAnsi="宋体" w:cs="经典宋体简"/>
                <w:bCs/>
                <w:color w:val="000000"/>
                <w:sz w:val="28"/>
                <w:szCs w:val="28"/>
              </w:rPr>
              <w:t>12</w:t>
            </w:r>
            <w:r>
              <w:rPr>
                <w:rFonts w:ascii="宋体" w:hAnsi="宋体" w:cs="经典宋体简"/>
                <w:bCs/>
                <w:color w:val="000000"/>
                <w:sz w:val="28"/>
                <w:szCs w:val="28"/>
              </w:rPr>
              <w:t>月</w:t>
            </w:r>
            <w:r>
              <w:rPr>
                <w:rFonts w:hint="eastAsia" w:ascii="宋体" w:hAnsi="宋体" w:cs="经典宋体简"/>
                <w:bCs/>
                <w:color w:val="000000"/>
                <w:sz w:val="28"/>
                <w:szCs w:val="28"/>
              </w:rPr>
              <w:t>中旬</w:t>
            </w:r>
            <w:r>
              <w:rPr>
                <w:rFonts w:ascii="宋体" w:hAnsi="宋体" w:cs="经典宋体简"/>
                <w:bCs/>
                <w:color w:val="000000"/>
                <w:sz w:val="28"/>
                <w:szCs w:val="28"/>
              </w:rPr>
              <w:t>采用全线路调查方法对项目实施了全面调查。201</w:t>
            </w:r>
            <w:r>
              <w:rPr>
                <w:rFonts w:hint="eastAsia" w:ascii="宋体" w:hAnsi="宋体" w:cs="经典宋体简"/>
                <w:bCs/>
                <w:color w:val="000000"/>
                <w:sz w:val="28"/>
                <w:szCs w:val="28"/>
              </w:rPr>
              <w:t>9</w:t>
            </w:r>
            <w:r>
              <w:rPr>
                <w:rFonts w:ascii="宋体" w:hAnsi="宋体" w:cs="经典宋体简"/>
                <w:bCs/>
                <w:color w:val="000000"/>
                <w:sz w:val="28"/>
                <w:szCs w:val="28"/>
              </w:rPr>
              <w:t>年</w:t>
            </w:r>
            <w:r>
              <w:rPr>
                <w:rFonts w:hint="eastAsia" w:ascii="宋体" w:hAnsi="宋体" w:cs="经典宋体简"/>
                <w:bCs/>
                <w:color w:val="000000"/>
                <w:sz w:val="28"/>
                <w:szCs w:val="28"/>
              </w:rPr>
              <w:t>9</w:t>
            </w:r>
            <w:r>
              <w:rPr>
                <w:rFonts w:ascii="宋体" w:hAnsi="宋体" w:cs="经典宋体简"/>
                <w:bCs/>
                <w:color w:val="000000"/>
                <w:sz w:val="28"/>
                <w:szCs w:val="28"/>
              </w:rPr>
              <w:t>月，监测小组通过汇总调查情况及收集资料，统计分析建设期末的相关数据，编制完成了《</w:t>
            </w:r>
            <w:r>
              <w:rPr>
                <w:rFonts w:hint="eastAsia" w:ascii="宋体" w:hAnsi="宋体" w:cs="经典宋体简"/>
                <w:bCs/>
                <w:color w:val="000000"/>
                <w:sz w:val="28"/>
                <w:szCs w:val="28"/>
              </w:rPr>
              <w:t>牛栏江象鼻岭水电站工程</w:t>
            </w:r>
            <w:r>
              <w:rPr>
                <w:rFonts w:ascii="宋体" w:hAnsi="宋体" w:cs="经典宋体简"/>
                <w:bCs/>
                <w:color w:val="000000"/>
                <w:sz w:val="28"/>
                <w:szCs w:val="28"/>
              </w:rPr>
              <w:t>水土保持监测</w:t>
            </w:r>
            <w:r>
              <w:rPr>
                <w:rFonts w:hint="eastAsia" w:ascii="宋体" w:hAnsi="宋体" w:cs="经典宋体简"/>
                <w:bCs/>
                <w:color w:val="000000"/>
                <w:sz w:val="28"/>
                <w:szCs w:val="28"/>
              </w:rPr>
              <w:t>调查</w:t>
            </w:r>
            <w:r>
              <w:rPr>
                <w:rFonts w:ascii="宋体" w:hAnsi="宋体" w:cs="经典宋体简"/>
                <w:bCs/>
                <w:color w:val="000000"/>
                <w:sz w:val="28"/>
                <w:szCs w:val="28"/>
              </w:rPr>
              <w:t>报告》。</w:t>
            </w:r>
            <w:r>
              <w:rPr>
                <w:rFonts w:hint="eastAsia" w:ascii="宋体" w:hAnsi="宋体" w:cs="经典宋体简"/>
                <w:bCs/>
                <w:color w:val="000000"/>
                <w:sz w:val="28"/>
                <w:szCs w:val="28"/>
              </w:rPr>
              <w:t>监测报告主要结论为：</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项目建设区实际发生的扰动地表面积为</w:t>
            </w:r>
            <w:r>
              <w:rPr>
                <w:rFonts w:hint="eastAsia" w:ascii="宋体" w:hAnsi="宋体" w:cs="经典宋体简"/>
                <w:bCs/>
                <w:color w:val="000000"/>
                <w:sz w:val="28"/>
                <w:szCs w:val="28"/>
              </w:rPr>
              <w:t>114.57</w:t>
            </w:r>
            <w:r>
              <w:rPr>
                <w:rFonts w:ascii="宋体" w:hAnsi="宋体" w:cs="经典宋体简"/>
                <w:bCs/>
                <w:color w:val="000000"/>
                <w:sz w:val="28"/>
                <w:szCs w:val="28"/>
              </w:rPr>
              <w:t>hm</w:t>
            </w:r>
            <w:r>
              <w:rPr>
                <w:rFonts w:ascii="宋体" w:hAnsi="宋体" w:cs="经典宋体简"/>
                <w:bCs/>
                <w:color w:val="000000"/>
                <w:sz w:val="28"/>
                <w:szCs w:val="28"/>
                <w:vertAlign w:val="superscript"/>
              </w:rPr>
              <w:t>2</w:t>
            </w:r>
            <w:r>
              <w:rPr>
                <w:rFonts w:ascii="宋体" w:hAnsi="宋体" w:cs="经典宋体简"/>
                <w:bCs/>
                <w:color w:val="000000"/>
                <w:sz w:val="28"/>
                <w:szCs w:val="28"/>
              </w:rPr>
              <w:t>，与原《方案（报批稿）》设计的项目建设区扰动地表面积</w:t>
            </w:r>
            <w:r>
              <w:rPr>
                <w:rFonts w:hint="eastAsia" w:ascii="宋体" w:hAnsi="宋体" w:cs="经典宋体简"/>
                <w:bCs/>
                <w:color w:val="000000"/>
                <w:sz w:val="28"/>
                <w:szCs w:val="28"/>
              </w:rPr>
              <w:t>144.6</w:t>
            </w:r>
            <w:r>
              <w:rPr>
                <w:rFonts w:ascii="宋体" w:hAnsi="宋体" w:cs="经典宋体简"/>
                <w:bCs/>
                <w:color w:val="000000"/>
                <w:sz w:val="28"/>
                <w:szCs w:val="28"/>
              </w:rPr>
              <w:t>hm</w:t>
            </w:r>
            <w:r>
              <w:rPr>
                <w:rFonts w:ascii="宋体" w:hAnsi="宋体" w:cs="经典宋体简"/>
                <w:bCs/>
                <w:color w:val="000000"/>
                <w:sz w:val="28"/>
                <w:szCs w:val="28"/>
                <w:vertAlign w:val="superscript"/>
              </w:rPr>
              <w:t>2</w:t>
            </w:r>
            <w:r>
              <w:rPr>
                <w:rFonts w:ascii="宋体" w:hAnsi="宋体" w:cs="经典宋体简"/>
                <w:bCs/>
                <w:color w:val="000000"/>
                <w:sz w:val="28"/>
                <w:szCs w:val="28"/>
              </w:rPr>
              <w:t>减少</w:t>
            </w:r>
            <w:r>
              <w:rPr>
                <w:rFonts w:hint="eastAsia" w:ascii="宋体" w:hAnsi="宋体" w:cs="经典宋体简"/>
                <w:bCs/>
                <w:color w:val="000000"/>
                <w:sz w:val="28"/>
                <w:szCs w:val="28"/>
              </w:rPr>
              <w:t>27.03</w:t>
            </w:r>
            <w:r>
              <w:rPr>
                <w:rFonts w:ascii="宋体" w:hAnsi="宋体" w:cs="经典宋体简"/>
                <w:bCs/>
                <w:color w:val="000000"/>
                <w:sz w:val="28"/>
                <w:szCs w:val="28"/>
              </w:rPr>
              <w:t>hm</w:t>
            </w:r>
            <w:r>
              <w:rPr>
                <w:rFonts w:ascii="宋体" w:hAnsi="宋体" w:cs="经典宋体简"/>
                <w:bCs/>
                <w:color w:val="000000"/>
                <w:sz w:val="28"/>
                <w:szCs w:val="28"/>
                <w:vertAlign w:val="superscript"/>
              </w:rPr>
              <w:t>2</w:t>
            </w:r>
            <w:r>
              <w:rPr>
                <w:rFonts w:ascii="宋体" w:hAnsi="宋体" w:cs="经典宋体简"/>
                <w:bCs/>
                <w:color w:val="000000"/>
                <w:sz w:val="28"/>
                <w:szCs w:val="28"/>
              </w:rPr>
              <w:t>，项目建设区扰动地表率为100%。</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建设期末项目建设区实际占地面积为</w:t>
            </w:r>
            <w:r>
              <w:rPr>
                <w:rFonts w:hint="eastAsia" w:ascii="宋体" w:hAnsi="宋体" w:cs="经典宋体简"/>
                <w:bCs/>
                <w:color w:val="000000"/>
                <w:sz w:val="28"/>
                <w:szCs w:val="28"/>
              </w:rPr>
              <w:t>144.57</w:t>
            </w:r>
            <w:r>
              <w:rPr>
                <w:rFonts w:ascii="宋体" w:hAnsi="宋体" w:cs="经典宋体简"/>
                <w:bCs/>
                <w:color w:val="000000"/>
                <w:sz w:val="28"/>
                <w:szCs w:val="28"/>
              </w:rPr>
              <w:t>hm</w:t>
            </w:r>
            <w:r>
              <w:rPr>
                <w:rFonts w:ascii="宋体" w:hAnsi="宋体" w:cs="经典宋体简"/>
                <w:bCs/>
                <w:color w:val="000000"/>
                <w:sz w:val="28"/>
                <w:szCs w:val="28"/>
                <w:vertAlign w:val="superscript"/>
              </w:rPr>
              <w:t>2</w:t>
            </w:r>
            <w:r>
              <w:rPr>
                <w:rFonts w:hint="eastAsia" w:ascii="宋体" w:hAnsi="宋体" w:cs="经典宋体简"/>
                <w:bCs/>
                <w:color w:val="000000"/>
                <w:sz w:val="28"/>
                <w:szCs w:val="28"/>
              </w:rPr>
              <w:t>，年均</w:t>
            </w:r>
            <w:r>
              <w:rPr>
                <w:rFonts w:ascii="宋体" w:hAnsi="宋体" w:cs="经典宋体简"/>
                <w:bCs/>
                <w:color w:val="000000"/>
                <w:sz w:val="28"/>
                <w:szCs w:val="28"/>
              </w:rPr>
              <w:t>土壤流失量</w:t>
            </w:r>
            <w:r>
              <w:rPr>
                <w:rFonts w:hint="eastAsia" w:ascii="宋体" w:hAnsi="宋体" w:cs="经典宋体简"/>
                <w:bCs/>
                <w:color w:val="000000"/>
                <w:sz w:val="28"/>
                <w:szCs w:val="28"/>
              </w:rPr>
              <w:t>为15.32t/a，项目建设区平均单位面积土壤流失量为121.2t/(km2·a)</w:t>
            </w:r>
            <w:r>
              <w:rPr>
                <w:rFonts w:ascii="宋体" w:hAnsi="宋体" w:cs="经典宋体简"/>
                <w:bCs/>
                <w:color w:val="000000"/>
                <w:sz w:val="28"/>
                <w:szCs w:val="28"/>
              </w:rPr>
              <w:t>。</w:t>
            </w:r>
          </w:p>
          <w:p>
            <w:pPr>
              <w:snapToGrid w:val="0"/>
              <w:spacing w:line="620" w:lineRule="exact"/>
              <w:ind w:firstLine="560" w:firstLineChars="200"/>
              <w:rPr>
                <w:rFonts w:ascii="宋体" w:hAnsi="宋体" w:cs="经典宋体简"/>
                <w:bCs/>
                <w:color w:val="000000"/>
                <w:sz w:val="28"/>
                <w:szCs w:val="28"/>
              </w:rPr>
            </w:pPr>
            <w:r>
              <w:rPr>
                <w:rFonts w:hint="eastAsia" w:ascii="宋体" w:hAnsi="宋体" w:cs="经典宋体简"/>
                <w:bCs/>
                <w:color w:val="000000"/>
                <w:sz w:val="28"/>
                <w:szCs w:val="28"/>
              </w:rPr>
              <w:t>建设期末项目建设区扰动土地整治率为</w:t>
            </w:r>
            <w:r>
              <w:rPr>
                <w:rFonts w:hint="eastAsia" w:ascii="仿宋" w:hAnsi="仿宋" w:eastAsia="仿宋"/>
                <w:bCs/>
                <w:sz w:val="28"/>
                <w:szCs w:val="28"/>
              </w:rPr>
              <w:t>97.65%，</w:t>
            </w:r>
            <w:r>
              <w:rPr>
                <w:rFonts w:hint="eastAsia" w:ascii="宋体" w:hAnsi="宋体" w:cs="经典宋体简"/>
                <w:bCs/>
                <w:color w:val="000000"/>
                <w:sz w:val="28"/>
                <w:szCs w:val="28"/>
              </w:rPr>
              <w:t>水土流失总治理度为95%，拦渣率99.92%，土壤流失控制比为0.9，林草植被恢复率为99.39%，林草覆盖率为27%。</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w:t>
            </w:r>
            <w:r>
              <w:rPr>
                <w:rFonts w:hint="eastAsia" w:ascii="宋体" w:hAnsi="宋体" w:cs="经典宋体简"/>
                <w:bCs/>
                <w:color w:val="000000"/>
                <w:sz w:val="28"/>
                <w:szCs w:val="28"/>
              </w:rPr>
              <w:t>五</w:t>
            </w:r>
            <w:r>
              <w:rPr>
                <w:rFonts w:ascii="宋体" w:hAnsi="宋体" w:cs="经典宋体简"/>
                <w:bCs/>
                <w:color w:val="000000"/>
                <w:sz w:val="28"/>
                <w:szCs w:val="28"/>
              </w:rPr>
              <w:t>）验收报告编制情况和主要结论</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根据《</w:t>
            </w:r>
            <w:r>
              <w:rPr>
                <w:rFonts w:hint="eastAsia" w:ascii="宋体" w:hAnsi="宋体" w:cs="经典宋体简"/>
                <w:bCs/>
                <w:color w:val="000000"/>
                <w:sz w:val="28"/>
                <w:szCs w:val="28"/>
              </w:rPr>
              <w:t>牛栏江象鼻岭水电站工程</w:t>
            </w:r>
            <w:r>
              <w:rPr>
                <w:rFonts w:ascii="宋体" w:hAnsi="宋体" w:cs="经典宋体简"/>
                <w:bCs/>
                <w:color w:val="000000"/>
                <w:sz w:val="28"/>
                <w:szCs w:val="28"/>
              </w:rPr>
              <w:t>水土保持方案报告书》及其批复（</w:t>
            </w:r>
            <w:r>
              <w:rPr>
                <w:rFonts w:hint="eastAsia" w:ascii="宋体" w:hAnsi="宋体" w:cs="经典宋体简"/>
                <w:bCs/>
                <w:color w:val="000000"/>
                <w:sz w:val="28"/>
                <w:szCs w:val="28"/>
              </w:rPr>
              <w:t>黔水保[2007]32号</w:t>
            </w:r>
            <w:r>
              <w:rPr>
                <w:rFonts w:ascii="宋体" w:hAnsi="宋体" w:cs="经典宋体简"/>
                <w:bCs/>
                <w:color w:val="000000"/>
                <w:sz w:val="28"/>
                <w:szCs w:val="28"/>
              </w:rPr>
              <w:t>），本项目水土流失防治责任范围总面积</w:t>
            </w:r>
            <w:r>
              <w:rPr>
                <w:rFonts w:hint="eastAsia" w:ascii="宋体" w:hAnsi="宋体" w:cs="经典宋体简"/>
                <w:bCs/>
                <w:color w:val="000000"/>
                <w:sz w:val="28"/>
                <w:szCs w:val="28"/>
              </w:rPr>
              <w:t>908.63</w:t>
            </w:r>
            <w:r>
              <w:rPr>
                <w:rFonts w:ascii="宋体" w:hAnsi="宋体" w:cs="经典宋体简"/>
                <w:bCs/>
                <w:color w:val="000000"/>
                <w:sz w:val="28"/>
                <w:szCs w:val="28"/>
              </w:rPr>
              <w:t>hm</w:t>
            </w:r>
            <w:r>
              <w:rPr>
                <w:rFonts w:ascii="宋体" w:hAnsi="宋体" w:cs="经典宋体简"/>
                <w:bCs/>
                <w:color w:val="000000"/>
                <w:sz w:val="28"/>
                <w:szCs w:val="28"/>
                <w:vertAlign w:val="superscript"/>
              </w:rPr>
              <w:t>2</w:t>
            </w:r>
            <w:r>
              <w:rPr>
                <w:rFonts w:ascii="宋体" w:hAnsi="宋体" w:cs="经典宋体简"/>
                <w:bCs/>
                <w:color w:val="000000"/>
                <w:sz w:val="28"/>
                <w:szCs w:val="28"/>
              </w:rPr>
              <w:t>，经核定，本次验收实际防治责任范围</w:t>
            </w:r>
            <w:r>
              <w:rPr>
                <w:rFonts w:hint="eastAsia" w:ascii="宋体" w:hAnsi="宋体" w:cs="经典宋体简"/>
                <w:bCs/>
                <w:color w:val="000000"/>
                <w:sz w:val="28"/>
                <w:szCs w:val="28"/>
              </w:rPr>
              <w:t>732.61</w:t>
            </w:r>
            <w:r>
              <w:rPr>
                <w:rFonts w:ascii="宋体" w:hAnsi="宋体" w:cs="经典宋体简"/>
                <w:bCs/>
                <w:color w:val="000000"/>
                <w:sz w:val="28"/>
                <w:szCs w:val="28"/>
              </w:rPr>
              <w:t>hm</w:t>
            </w:r>
            <w:r>
              <w:rPr>
                <w:rFonts w:ascii="宋体" w:hAnsi="宋体" w:cs="经典宋体简"/>
                <w:bCs/>
                <w:color w:val="000000"/>
                <w:sz w:val="28"/>
                <w:szCs w:val="28"/>
                <w:vertAlign w:val="superscript"/>
              </w:rPr>
              <w:t>2</w:t>
            </w:r>
            <w:r>
              <w:rPr>
                <w:rFonts w:ascii="宋体" w:hAnsi="宋体" w:cs="经典宋体简"/>
                <w:bCs/>
                <w:color w:val="000000"/>
                <w:sz w:val="28"/>
                <w:szCs w:val="28"/>
              </w:rPr>
              <w:t>。</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在工程建设过程中，建设单位共实施的水土保持措施如下：</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（1）枢纽工程施工区</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工程措施：外购表土1590m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、覆土整治面积0.53hm</w:t>
            </w:r>
            <w:r>
              <w:rPr>
                <w:rFonts w:hint="eastAsia" w:ascii="宋体" w:hAnsi="宋体" w:cs="经典宋体简"/>
                <w:bCs/>
                <w:color w:val="000000"/>
                <w:sz w:val="28"/>
                <w:szCs w:val="28"/>
                <w:vertAlign w:val="superscript"/>
              </w:rPr>
              <w:t>2</w:t>
            </w:r>
            <w:r>
              <w:rPr>
                <w:rFonts w:hint="eastAsia" w:ascii="宋体" w:hAnsi="宋体" w:cs="经典宋体简"/>
                <w:bCs/>
                <w:color w:val="000000"/>
                <w:sz w:val="28"/>
                <w:szCs w:val="28"/>
              </w:rPr>
              <w:t>（覆土1590m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）、大坝两岸坝肩边坡防护工程972m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、厂房出线平台边坡防护工程145m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、坝基左右两岸边坡防护工程3130m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、导流洞出口处布置边坡防护工程913m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、排水沟116m。</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植物措施：已实施植物措施面积0.05hm</w:t>
            </w:r>
            <w:r>
              <w:rPr>
                <w:rFonts w:hint="eastAsia" w:ascii="宋体" w:hAnsi="宋体" w:cs="经典宋体简"/>
                <w:bCs/>
                <w:color w:val="000000"/>
                <w:sz w:val="28"/>
                <w:szCs w:val="28"/>
                <w:vertAlign w:val="superscript"/>
              </w:rPr>
              <w:t>2</w:t>
            </w:r>
            <w:r>
              <w:rPr>
                <w:rFonts w:hint="eastAsia" w:ascii="宋体" w:hAnsi="宋体" w:cs="经典宋体简"/>
                <w:bCs/>
                <w:color w:val="000000"/>
                <w:sz w:val="28"/>
                <w:szCs w:val="28"/>
              </w:rPr>
              <w:t>，种植爬山虎440株、小叶女贞640株、红花继木680株、香樟20株。</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临时措施：已在坝址下游实施临时拦挡110m，现已全部拆除。</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（2）施工辅助设施及生活营地</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工程措施：外购表土51300m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、覆土整治面积17.1hm</w:t>
            </w:r>
            <w:r>
              <w:rPr>
                <w:rFonts w:hint="eastAsia" w:ascii="宋体" w:hAnsi="宋体" w:cs="经典宋体简"/>
                <w:bCs/>
                <w:color w:val="000000"/>
                <w:sz w:val="28"/>
                <w:szCs w:val="28"/>
                <w:vertAlign w:val="superscript"/>
              </w:rPr>
              <w:t>2</w:t>
            </w:r>
            <w:r>
              <w:rPr>
                <w:rFonts w:hint="eastAsia" w:ascii="宋体" w:hAnsi="宋体" w:cs="经典宋体简"/>
                <w:bCs/>
                <w:color w:val="000000"/>
                <w:sz w:val="28"/>
                <w:szCs w:val="28"/>
              </w:rPr>
              <w:t>（覆土51300m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）、排水沟（0.3×0.3m）231m。</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植物措施：已实施植物措施面积17.1hm</w:t>
            </w:r>
            <w:r>
              <w:rPr>
                <w:rFonts w:hint="eastAsia" w:ascii="宋体" w:hAnsi="宋体" w:cs="经典宋体简"/>
                <w:bCs/>
                <w:color w:val="000000"/>
                <w:sz w:val="28"/>
                <w:szCs w:val="28"/>
                <w:vertAlign w:val="superscript"/>
              </w:rPr>
              <w:t>2</w:t>
            </w:r>
            <w:r>
              <w:rPr>
                <w:rFonts w:hint="eastAsia" w:ascii="宋体" w:hAnsi="宋体" w:cs="经典宋体简"/>
                <w:bCs/>
                <w:color w:val="000000"/>
                <w:sz w:val="28"/>
                <w:szCs w:val="28"/>
              </w:rPr>
              <w:t>，种植四季青500株、塔柏100株、大叶桅子球350株、小叶女贞球100株、小叶女贞苗500株、桂花球100株、香樟10株、桂花10株、红叶石楠50株、樱花10株、罗汉松4株、颠仆2株、柳树2株、茶花50株、月季30株、清香木60株、花石榴10株、爬山虎187株、花椒树22200株、铜钱按20000株、合欢树60株、狗牙根草9.87hm</w:t>
            </w:r>
            <w:r>
              <w:rPr>
                <w:rFonts w:hint="eastAsia" w:ascii="宋体" w:hAnsi="宋体" w:cs="经典宋体简"/>
                <w:bCs/>
                <w:color w:val="000000"/>
                <w:sz w:val="28"/>
                <w:szCs w:val="28"/>
                <w:vertAlign w:val="superscript"/>
              </w:rPr>
              <w:t>2</w:t>
            </w:r>
            <w:r>
              <w:rPr>
                <w:rFonts w:hint="eastAsia" w:ascii="宋体" w:hAnsi="宋体" w:cs="经典宋体简"/>
                <w:bCs/>
                <w:color w:val="000000"/>
                <w:sz w:val="28"/>
                <w:szCs w:val="28"/>
              </w:rPr>
              <w:t>。</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临时措施：已在生活营地建设期为防治对下游造成冲刷已实施临时拦挡175m，现已全部拆除。</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（3）料场区</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工程措施：排水沟（0.3×0.3m）240m、边坡防护（喷锚）132m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植物措施：该区未实施任何植物措施。</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（4）渣场区</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工程措施：外购表土4020m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、覆土整治面积1.34hm</w:t>
            </w:r>
            <w:r>
              <w:rPr>
                <w:rFonts w:hint="eastAsia" w:ascii="宋体" w:hAnsi="宋体" w:cs="经典宋体简"/>
                <w:bCs/>
                <w:color w:val="000000"/>
                <w:sz w:val="28"/>
                <w:szCs w:val="28"/>
                <w:vertAlign w:val="superscript"/>
              </w:rPr>
              <w:t>2</w:t>
            </w:r>
            <w:r>
              <w:rPr>
                <w:rFonts w:hint="eastAsia" w:ascii="宋体" w:hAnsi="宋体" w:cs="经典宋体简"/>
                <w:bCs/>
                <w:color w:val="000000"/>
                <w:sz w:val="28"/>
                <w:szCs w:val="28"/>
              </w:rPr>
              <w:t>（覆土4020m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）、排水沟（0.6×0.8m）259.1m、干砌石护坡10520m</w:t>
            </w:r>
            <w:r>
              <w:rPr>
                <w:rFonts w:hint="eastAsia" w:ascii="宋体" w:hAnsi="宋体" w:cs="经典宋体简"/>
                <w:bCs/>
                <w:color w:val="000000"/>
                <w:sz w:val="28"/>
                <w:szCs w:val="28"/>
                <w:vertAlign w:val="superscript"/>
              </w:rPr>
              <w:t>2</w:t>
            </w:r>
            <w:r>
              <w:rPr>
                <w:rFonts w:hint="eastAsia" w:ascii="宋体" w:hAnsi="宋体" w:cs="经典宋体简"/>
                <w:bCs/>
                <w:color w:val="000000"/>
                <w:sz w:val="28"/>
                <w:szCs w:val="28"/>
              </w:rPr>
              <w:t>、挡土墙68m（130m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植物措施：已实施植物措施面积1.34hm</w:t>
            </w:r>
            <w:r>
              <w:rPr>
                <w:rFonts w:hint="eastAsia" w:ascii="宋体" w:hAnsi="宋体" w:cs="经典宋体简"/>
                <w:bCs/>
                <w:color w:val="000000"/>
                <w:sz w:val="28"/>
                <w:szCs w:val="28"/>
                <w:vertAlign w:val="superscript"/>
              </w:rPr>
              <w:t>2</w:t>
            </w:r>
            <w:r>
              <w:rPr>
                <w:rFonts w:hint="eastAsia" w:ascii="宋体" w:hAnsi="宋体" w:cs="经典宋体简"/>
                <w:bCs/>
                <w:color w:val="000000"/>
                <w:sz w:val="28"/>
                <w:szCs w:val="28"/>
              </w:rPr>
              <w:t>，全为大棚康乃馨种植基地，为象鼻岭水电站提供苗木。</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（5）场内交通运输系统</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工程措施：外购表土35880m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、覆土整治面积11.96hm</w:t>
            </w:r>
            <w:r>
              <w:rPr>
                <w:rFonts w:hint="eastAsia" w:ascii="宋体" w:hAnsi="宋体" w:cs="经典宋体简"/>
                <w:bCs/>
                <w:color w:val="000000"/>
                <w:sz w:val="28"/>
                <w:szCs w:val="28"/>
                <w:vertAlign w:val="superscript"/>
              </w:rPr>
              <w:t>2</w:t>
            </w:r>
            <w:r>
              <w:rPr>
                <w:rFonts w:hint="eastAsia" w:ascii="宋体" w:hAnsi="宋体" w:cs="经典宋体简"/>
                <w:bCs/>
                <w:color w:val="000000"/>
                <w:sz w:val="28"/>
                <w:szCs w:val="28"/>
              </w:rPr>
              <w:t>（覆土35880m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）、公路边坡防护22368m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、截排水沟（0.6×0.6m）12876.8m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、浆砌石重力式挡墙37446m</w:t>
            </w:r>
            <w:r>
              <w:rPr>
                <w:rFonts w:hint="eastAsia" w:ascii="宋体" w:hAnsi="宋体" w:cs="经典宋体简"/>
                <w:bCs/>
                <w:color w:val="000000"/>
                <w:sz w:val="28"/>
                <w:szCs w:val="28"/>
                <w:vertAlign w:val="superscript"/>
              </w:rPr>
              <w:t>3</w:t>
            </w:r>
            <w:r>
              <w:rPr>
                <w:rFonts w:hint="eastAsia" w:ascii="宋体" w:hAnsi="宋体" w:cs="经典宋体简"/>
                <w:bCs/>
                <w:color w:val="000000"/>
                <w:sz w:val="28"/>
                <w:szCs w:val="28"/>
              </w:rPr>
              <w:t>。</w:t>
            </w:r>
          </w:p>
          <w:p>
            <w:pPr>
              <w:spacing w:line="360" w:lineRule="auto"/>
              <w:ind w:firstLine="560"/>
              <w:rPr>
                <w:rFonts w:ascii="宋体" w:hAnsi="宋体" w:cs="经典宋体简"/>
                <w:bCs/>
                <w:color w:val="000000"/>
                <w:sz w:val="28"/>
                <w:szCs w:val="28"/>
              </w:rPr>
            </w:pPr>
            <w:r>
              <w:rPr>
                <w:rFonts w:hint="eastAsia" w:ascii="宋体" w:hAnsi="宋体" w:cs="经典宋体简"/>
                <w:bCs/>
                <w:color w:val="000000"/>
                <w:sz w:val="28"/>
                <w:szCs w:val="28"/>
              </w:rPr>
              <w:t>植物措施：已实施植物措施面积11.96hm</w:t>
            </w:r>
            <w:r>
              <w:rPr>
                <w:rFonts w:hint="eastAsia" w:ascii="宋体" w:hAnsi="宋体" w:cs="经典宋体简"/>
                <w:bCs/>
                <w:color w:val="000000"/>
                <w:sz w:val="28"/>
                <w:szCs w:val="28"/>
                <w:vertAlign w:val="superscript"/>
              </w:rPr>
              <w:t>2</w:t>
            </w:r>
            <w:r>
              <w:rPr>
                <w:rFonts w:hint="eastAsia" w:ascii="宋体" w:hAnsi="宋体" w:cs="经典宋体简"/>
                <w:bCs/>
                <w:color w:val="000000"/>
                <w:sz w:val="28"/>
                <w:szCs w:val="28"/>
              </w:rPr>
              <w:t>，种植爬山虎2500株、云南松11640株、小叶女贞12200株、红花继木13500株。</w:t>
            </w:r>
          </w:p>
          <w:p>
            <w:pPr>
              <w:spacing w:line="360" w:lineRule="auto"/>
              <w:ind w:firstLine="560"/>
              <w:rPr>
                <w:rFonts w:ascii="仿宋_GB2312" w:hAnsi="宋体" w:eastAsia="仿宋_GB2312"/>
                <w:snapToGrid w:val="0"/>
                <w:kern w:val="0"/>
                <w:sz w:val="28"/>
              </w:rPr>
            </w:pPr>
            <w:r>
              <w:rPr>
                <w:rFonts w:hint="eastAsia" w:ascii="宋体" w:hAnsi="宋体" w:cs="经典宋体简"/>
                <w:bCs/>
                <w:color w:val="000000"/>
                <w:sz w:val="28"/>
                <w:szCs w:val="28"/>
              </w:rPr>
              <w:t>临时措施：已在路基下游实施临时拦挡1970m，现已全部拆除。</w:t>
            </w:r>
          </w:p>
          <w:p>
            <w:pPr>
              <w:snapToGrid w:val="0"/>
              <w:spacing w:line="620" w:lineRule="exact"/>
              <w:ind w:firstLine="560" w:firstLineChars="200"/>
              <w:rPr>
                <w:rFonts w:ascii="宋体" w:hAnsi="宋体" w:cs="经典宋体简"/>
                <w:bCs/>
                <w:color w:val="000000"/>
                <w:sz w:val="28"/>
                <w:szCs w:val="28"/>
              </w:rPr>
            </w:pPr>
          </w:p>
          <w:p>
            <w:pPr>
              <w:spacing w:line="360" w:lineRule="auto"/>
              <w:ind w:firstLine="551" w:firstLineChars="197"/>
              <w:rPr>
                <w:rFonts w:ascii="宋体" w:hAnsi="宋体" w:cs="经典宋体简"/>
                <w:bCs/>
                <w:color w:val="000000"/>
                <w:sz w:val="28"/>
                <w:szCs w:val="28"/>
              </w:rPr>
            </w:pPr>
            <w:r>
              <w:rPr>
                <w:rFonts w:ascii="宋体" w:hAnsi="宋体" w:cs="经典宋体简"/>
                <w:bCs/>
                <w:color w:val="000000"/>
                <w:sz w:val="28"/>
                <w:szCs w:val="28"/>
              </w:rPr>
              <w:t>《方案（报批稿）》水土保持工程总投资</w:t>
            </w:r>
            <w:r>
              <w:rPr>
                <w:rFonts w:hint="eastAsia" w:ascii="宋体" w:hAnsi="宋体" w:cs="经典宋体简"/>
                <w:bCs/>
                <w:color w:val="000000"/>
                <w:sz w:val="28"/>
                <w:szCs w:val="28"/>
              </w:rPr>
              <w:t>3031.42</w:t>
            </w:r>
            <w:r>
              <w:rPr>
                <w:rFonts w:ascii="宋体" w:hAnsi="宋体" w:cs="经典宋体简"/>
                <w:bCs/>
                <w:color w:val="000000"/>
                <w:sz w:val="28"/>
                <w:szCs w:val="28"/>
              </w:rPr>
              <w:t>万元，实际完成投资</w:t>
            </w:r>
            <w:r>
              <w:rPr>
                <w:rFonts w:hint="eastAsia" w:ascii="宋体" w:hAnsi="宋体" w:cs="经典宋体简"/>
                <w:bCs/>
                <w:color w:val="000000"/>
                <w:sz w:val="28"/>
                <w:szCs w:val="28"/>
              </w:rPr>
              <w:t>1968.34</w:t>
            </w:r>
            <w:r>
              <w:rPr>
                <w:rFonts w:ascii="宋体" w:hAnsi="宋体" w:cs="经典宋体简"/>
                <w:bCs/>
                <w:color w:val="000000"/>
                <w:sz w:val="28"/>
                <w:szCs w:val="28"/>
              </w:rPr>
              <w:t>万元，比原设计投资</w:t>
            </w:r>
            <w:r>
              <w:rPr>
                <w:rFonts w:hint="eastAsia" w:ascii="宋体" w:hAnsi="宋体" w:cs="经典宋体简"/>
                <w:bCs/>
                <w:color w:val="000000"/>
                <w:sz w:val="28"/>
                <w:szCs w:val="28"/>
              </w:rPr>
              <w:t>减少</w:t>
            </w:r>
            <w:r>
              <w:rPr>
                <w:rFonts w:ascii="宋体" w:hAnsi="宋体" w:cs="经典宋体简"/>
                <w:bCs/>
                <w:color w:val="000000"/>
                <w:sz w:val="28"/>
                <w:szCs w:val="28"/>
              </w:rPr>
              <w:t>了</w:t>
            </w:r>
            <w:r>
              <w:rPr>
                <w:rFonts w:hint="eastAsia" w:ascii="宋体" w:hAnsi="宋体" w:cs="经典宋体简"/>
                <w:bCs/>
                <w:color w:val="000000"/>
                <w:sz w:val="28"/>
                <w:szCs w:val="28"/>
              </w:rPr>
              <w:t>1063.08</w:t>
            </w:r>
            <w:r>
              <w:rPr>
                <w:rFonts w:ascii="宋体" w:hAnsi="宋体" w:cs="经典宋体简"/>
                <w:bCs/>
                <w:color w:val="000000"/>
                <w:sz w:val="28"/>
                <w:szCs w:val="28"/>
              </w:rPr>
              <w:t>万元。</w:t>
            </w:r>
            <w:r>
              <w:rPr>
                <w:rFonts w:hint="eastAsia" w:ascii="宋体" w:hAnsi="宋体" w:cs="经典宋体简"/>
                <w:bCs/>
                <w:color w:val="000000"/>
                <w:sz w:val="28"/>
                <w:szCs w:val="28"/>
              </w:rPr>
              <w:t>主要投资变化为:1、由于建设滞后，导致设计时人工单价及材料单价较低，待实施工程措施时，人工及材料单价发生变化，因此导致了工程措施总投资发生增加。</w:t>
            </w:r>
          </w:p>
          <w:p>
            <w:pPr>
              <w:spacing w:line="360" w:lineRule="auto"/>
              <w:ind w:firstLine="551" w:firstLineChars="197"/>
              <w:rPr>
                <w:rFonts w:ascii="宋体" w:hAnsi="宋体" w:cs="经典宋体简"/>
                <w:bCs/>
                <w:color w:val="000000"/>
                <w:sz w:val="28"/>
                <w:szCs w:val="28"/>
              </w:rPr>
            </w:pPr>
            <w:r>
              <w:rPr>
                <w:rFonts w:hint="eastAsia" w:ascii="宋体" w:hAnsi="宋体" w:cs="经典宋体简"/>
                <w:bCs/>
                <w:color w:val="000000"/>
                <w:sz w:val="28"/>
                <w:szCs w:val="28"/>
              </w:rPr>
              <w:t>2、由于原设计方案对施工区及道路区设计的植物措施偏大，且设计的树种不适宜当地气候，因此在实施时，业主根据当地气候进行植物措施工程量调整，导致植物措施投资下降。</w:t>
            </w:r>
          </w:p>
          <w:p>
            <w:pPr>
              <w:snapToGrid w:val="0"/>
              <w:spacing w:line="620" w:lineRule="exact"/>
              <w:ind w:firstLine="560" w:firstLineChars="200"/>
              <w:rPr>
                <w:rFonts w:ascii="宋体" w:hAnsi="宋体" w:cs="经典宋体简"/>
                <w:bCs/>
                <w:color w:val="000000"/>
                <w:sz w:val="28"/>
                <w:szCs w:val="28"/>
              </w:rPr>
            </w:pPr>
            <w:r>
              <w:rPr>
                <w:rFonts w:hint="eastAsia" w:ascii="宋体" w:hAnsi="宋体" w:cs="经典宋体简"/>
                <w:bCs/>
                <w:color w:val="000000"/>
                <w:sz w:val="28"/>
                <w:szCs w:val="28"/>
              </w:rPr>
              <w:t>3、2018年10月，国家电投集团贵州金元威宁能源股份有限公司象鼻岭水电站在原象鼻岭水电站施工营地占地基础上新建地面光伏项目，因此改变了原象鼻岭水电站对施工营地后期植被恢复的方案，导致植物措施投资减少。</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本工程水土保持措施设计及布局总体合理，工程质量基本达到了设计标准，各项水土流失防治指标基本达到方案目标值，其中：</w:t>
            </w:r>
            <w:r>
              <w:rPr>
                <w:rFonts w:hint="eastAsia" w:ascii="宋体" w:hAnsi="宋体" w:cs="经典宋体简"/>
                <w:bCs/>
                <w:color w:val="000000"/>
                <w:sz w:val="28"/>
                <w:szCs w:val="28"/>
              </w:rPr>
              <w:t>建设区扰动土地整治率为</w:t>
            </w:r>
            <w:r>
              <w:rPr>
                <w:rFonts w:hint="eastAsia" w:ascii="仿宋" w:hAnsi="仿宋" w:eastAsia="仿宋"/>
                <w:bCs/>
                <w:sz w:val="28"/>
                <w:szCs w:val="28"/>
              </w:rPr>
              <w:t>97.65%</w:t>
            </w:r>
            <w:r>
              <w:rPr>
                <w:rFonts w:hint="eastAsia" w:ascii="宋体" w:hAnsi="宋体" w:cs="经典宋体简"/>
                <w:bCs/>
                <w:color w:val="000000"/>
                <w:sz w:val="28"/>
                <w:szCs w:val="28"/>
              </w:rPr>
              <w:t>，水土流失总治理度为95%，拦渣率99.92%，土壤流失控制比为0.9，林草植被恢复率为99.39%，林草覆盖率为27%。，并超过《方案（报批稿）》设计的目标值。</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w:t>
            </w:r>
            <w:r>
              <w:rPr>
                <w:rFonts w:hint="eastAsia" w:ascii="宋体" w:hAnsi="宋体" w:cs="经典宋体简"/>
                <w:bCs/>
                <w:color w:val="000000"/>
                <w:sz w:val="28"/>
                <w:szCs w:val="28"/>
              </w:rPr>
              <w:t>六</w:t>
            </w:r>
            <w:r>
              <w:rPr>
                <w:rFonts w:ascii="宋体" w:hAnsi="宋体" w:cs="经典宋体简"/>
                <w:bCs/>
                <w:color w:val="000000"/>
                <w:sz w:val="28"/>
                <w:szCs w:val="28"/>
              </w:rPr>
              <w:t>）验收结论</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验收组认为：建设单位依法编报了水土保持方案，实施了方案确定的各项防治措施，基本完成建设期水土流失防治任务，建成的水土保持设施质量总体合格，具备正常运行条件；工程运行期间的水土保持设施管理维护责任基本落实，符合水土保持设施竣工验收的条件，同意该工程水土保持设施通过竣工验收。</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w:t>
            </w:r>
            <w:r>
              <w:rPr>
                <w:rFonts w:hint="eastAsia" w:ascii="宋体" w:hAnsi="宋体" w:cs="经典宋体简"/>
                <w:bCs/>
                <w:color w:val="000000"/>
                <w:sz w:val="28"/>
                <w:szCs w:val="28"/>
              </w:rPr>
              <w:t>七</w:t>
            </w:r>
            <w:r>
              <w:rPr>
                <w:rFonts w:ascii="宋体" w:hAnsi="宋体" w:cs="经典宋体简"/>
                <w:bCs/>
                <w:color w:val="000000"/>
                <w:sz w:val="28"/>
                <w:szCs w:val="28"/>
              </w:rPr>
              <w:t>）后续管护要求</w:t>
            </w:r>
          </w:p>
          <w:p>
            <w:pPr>
              <w:snapToGrid w:val="0"/>
              <w:spacing w:line="620" w:lineRule="exact"/>
              <w:ind w:firstLine="560" w:firstLineChars="200"/>
              <w:rPr>
                <w:rFonts w:ascii="宋体" w:hAnsi="宋体" w:cs="经典宋体简"/>
                <w:bCs/>
                <w:color w:val="000000"/>
                <w:sz w:val="28"/>
                <w:szCs w:val="28"/>
              </w:rPr>
            </w:pPr>
            <w:r>
              <w:rPr>
                <w:rFonts w:ascii="宋体" w:hAnsi="宋体" w:cs="经典宋体简"/>
                <w:bCs/>
                <w:color w:val="000000"/>
                <w:sz w:val="28"/>
                <w:szCs w:val="28"/>
              </w:rPr>
              <w:t>验收组要求：</w:t>
            </w:r>
            <w:r>
              <w:rPr>
                <w:rFonts w:hint="eastAsia" w:ascii="宋体" w:hAnsi="宋体" w:cs="经典宋体简"/>
                <w:bCs/>
                <w:color w:val="000000"/>
                <w:sz w:val="28"/>
                <w:szCs w:val="28"/>
              </w:rPr>
              <w:t>加强水土保持措施的后期管护工作，落实经常性的检查制度，对损坏的工程措施及时进行修补，对植物措施损毁或生长不良不能形成有效覆盖的区域及时补植补种，确保水土保持措施能长期稳定的发挥保持水土的功能。</w:t>
            </w: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ind w:firstLine="5600" w:firstLineChars="2000"/>
              <w:rPr>
                <w:rFonts w:ascii="宋体" w:hAnsi="宋体" w:cs="经典宋体简"/>
                <w:bCs/>
                <w:color w:val="000000"/>
                <w:sz w:val="28"/>
                <w:szCs w:val="28"/>
              </w:rPr>
            </w:pPr>
          </w:p>
          <w:p>
            <w:pPr>
              <w:snapToGrid w:val="0"/>
              <w:spacing w:line="620" w:lineRule="exact"/>
              <w:rPr>
                <w:rFonts w:ascii="宋体" w:hAnsi="宋体" w:cs="经典宋体简"/>
                <w:bCs/>
                <w:color w:val="000000"/>
                <w:sz w:val="28"/>
                <w:szCs w:val="28"/>
              </w:rPr>
            </w:pPr>
          </w:p>
        </w:tc>
      </w:tr>
    </w:tbl>
    <w:p>
      <w:pPr>
        <w:rPr>
          <w:sz w:val="28"/>
          <w:szCs w:val="28"/>
        </w:rPr>
      </w:pPr>
    </w:p>
    <w:p>
      <w:pPr>
        <w:snapToGrid w:val="0"/>
        <w:spacing w:line="620" w:lineRule="exact"/>
        <w:ind w:firstLine="5600" w:firstLineChars="2000"/>
        <w:rPr>
          <w:sz w:val="28"/>
          <w:szCs w:val="28"/>
        </w:rPr>
      </w:pPr>
      <w:r>
        <w:rPr>
          <w:sz w:val="28"/>
          <w:szCs w:val="28"/>
        </w:rPr>
        <w:drawing>
          <wp:anchor distT="0" distB="0" distL="114300" distR="114300" simplePos="0" relativeHeight="251658240" behindDoc="1" locked="0" layoutInCell="1" allowOverlap="1">
            <wp:simplePos x="0" y="0"/>
            <wp:positionH relativeFrom="column">
              <wp:posOffset>-972185</wp:posOffset>
            </wp:positionH>
            <wp:positionV relativeFrom="paragraph">
              <wp:posOffset>-712470</wp:posOffset>
            </wp:positionV>
            <wp:extent cx="7556500" cy="1067308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1422" cy="10679685"/>
                    </a:xfrm>
                    <a:prstGeom prst="rect">
                      <a:avLst/>
                    </a:prstGeom>
                  </pic:spPr>
                </pic:pic>
              </a:graphicData>
            </a:graphic>
          </wp:anchor>
        </w:drawing>
      </w:r>
    </w:p>
    <w:sectPr>
      <w:footerReference r:id="rId6" w:type="default"/>
      <w:pgSz w:w="11906" w:h="16838"/>
      <w:pgMar w:top="1134" w:right="1531" w:bottom="1134" w:left="153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经典宋体简">
    <w:altName w:val="宋体"/>
    <w:panose1 w:val="00000000000000000000"/>
    <w:charset w:val="86"/>
    <w:family w:val="auto"/>
    <w:pitch w:val="default"/>
    <w:sig w:usb0="00000000" w:usb1="00000000" w:usb2="0000001E" w:usb3="00000000" w:csb0="2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ind w:right="360" w:firstLine="360"/>
      <w:rPr>
        <w:rStyle w:val="9"/>
      </w:rPr>
    </w:pPr>
  </w:p>
  <w:p>
    <w:pPr>
      <w:pStyle w:val="4"/>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9</w:t>
    </w:r>
    <w: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460CB"/>
    <w:rsid w:val="000D3052"/>
    <w:rsid w:val="000E72F2"/>
    <w:rsid w:val="00156F3A"/>
    <w:rsid w:val="00167211"/>
    <w:rsid w:val="001C4424"/>
    <w:rsid w:val="001D1E30"/>
    <w:rsid w:val="001E32A2"/>
    <w:rsid w:val="002A50C9"/>
    <w:rsid w:val="003075F2"/>
    <w:rsid w:val="00340EB9"/>
    <w:rsid w:val="003950AD"/>
    <w:rsid w:val="003A1246"/>
    <w:rsid w:val="003E4855"/>
    <w:rsid w:val="003E64ED"/>
    <w:rsid w:val="003F009F"/>
    <w:rsid w:val="0040270B"/>
    <w:rsid w:val="00444623"/>
    <w:rsid w:val="0047484E"/>
    <w:rsid w:val="005E0E01"/>
    <w:rsid w:val="00627A43"/>
    <w:rsid w:val="0069383A"/>
    <w:rsid w:val="006A03CD"/>
    <w:rsid w:val="006B6F72"/>
    <w:rsid w:val="006F281C"/>
    <w:rsid w:val="007622C3"/>
    <w:rsid w:val="007643D7"/>
    <w:rsid w:val="007727BC"/>
    <w:rsid w:val="007C26D1"/>
    <w:rsid w:val="00801D9F"/>
    <w:rsid w:val="008072DD"/>
    <w:rsid w:val="008766E0"/>
    <w:rsid w:val="008A591B"/>
    <w:rsid w:val="00920127"/>
    <w:rsid w:val="009A34E8"/>
    <w:rsid w:val="00A57269"/>
    <w:rsid w:val="00A7595E"/>
    <w:rsid w:val="00C61177"/>
    <w:rsid w:val="00D40D82"/>
    <w:rsid w:val="00D52616"/>
    <w:rsid w:val="00D87FCA"/>
    <w:rsid w:val="00DA5AF2"/>
    <w:rsid w:val="00DB6E5C"/>
    <w:rsid w:val="00E9750D"/>
    <w:rsid w:val="00EA5510"/>
    <w:rsid w:val="00EE3F69"/>
    <w:rsid w:val="00F04108"/>
    <w:rsid w:val="00F058F9"/>
    <w:rsid w:val="00F25BA6"/>
    <w:rsid w:val="00F460CB"/>
    <w:rsid w:val="00F52D4F"/>
    <w:rsid w:val="00FC2984"/>
    <w:rsid w:val="2D330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link w:val="12"/>
    <w:uiPriority w:val="0"/>
    <w:rPr>
      <w:rFonts w:ascii="仿宋_GB2312" w:eastAsia="仿宋_GB2312" w:hAnsiTheme="minorHAnsi" w:cstheme="minorBidi"/>
      <w:sz w:val="32"/>
      <w:szCs w:val="22"/>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uiPriority w:val="0"/>
  </w:style>
  <w:style w:type="character" w:customStyle="1" w:styleId="10">
    <w:name w:val="页眉 Char"/>
    <w:basedOn w:val="8"/>
    <w:link w:val="5"/>
    <w:uiPriority w:val="0"/>
    <w:rPr>
      <w:sz w:val="18"/>
      <w:szCs w:val="18"/>
    </w:rPr>
  </w:style>
  <w:style w:type="character" w:customStyle="1" w:styleId="11">
    <w:name w:val="页脚 Char"/>
    <w:basedOn w:val="8"/>
    <w:link w:val="4"/>
    <w:uiPriority w:val="99"/>
    <w:rPr>
      <w:sz w:val="18"/>
      <w:szCs w:val="18"/>
    </w:rPr>
  </w:style>
  <w:style w:type="character" w:customStyle="1" w:styleId="12">
    <w:name w:val="正文文本 Char"/>
    <w:link w:val="2"/>
    <w:uiPriority w:val="0"/>
    <w:rPr>
      <w:rFonts w:ascii="仿宋_GB2312" w:eastAsia="仿宋_GB2312"/>
      <w:sz w:val="32"/>
    </w:rPr>
  </w:style>
  <w:style w:type="character" w:customStyle="1" w:styleId="13">
    <w:name w:val="正文文本 Char1"/>
    <w:basedOn w:val="8"/>
    <w:semiHidden/>
    <w:uiPriority w:val="99"/>
    <w:rPr>
      <w:rFonts w:ascii="Times New Roman" w:hAnsi="Times New Roman" w:eastAsia="宋体" w:cs="Times New Roman"/>
      <w:szCs w:val="20"/>
    </w:rPr>
  </w:style>
  <w:style w:type="character" w:customStyle="1" w:styleId="14">
    <w:name w:val="批注框文本 Char"/>
    <w:basedOn w:val="8"/>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660</Words>
  <Characters>3767</Characters>
  <Lines>31</Lines>
  <Paragraphs>8</Paragraphs>
  <TotalTime>159</TotalTime>
  <ScaleCrop>false</ScaleCrop>
  <LinksUpToDate>false</LinksUpToDate>
  <CharactersWithSpaces>4419</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2018-11-25T06:00:00Z</dcterms:created>
  <dc:creator>Administrator</dc:creator>
  <cp:lastModifiedBy>张彬彬1372649672</cp:lastModifiedBy>
  <cp:lastPrinted>2019-03-18T07:42:00Z</cp:lastPrinted>
  <dcterms:modified xsi:type="dcterms:W3CDTF">2019-10-11T03:17:26Z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