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left"/>
        <w:rPr>
          <w:rFonts w:ascii="黑体" w:hAnsi="黑体" w:eastAsia="黑体"/>
          <w:sz w:val="32"/>
          <w:szCs w:val="32"/>
        </w:rPr>
      </w:pPr>
      <w:r>
        <w:rPr>
          <w:rFonts w:hint="eastAsia" w:ascii="黑体" w:hAnsi="黑体" w:eastAsia="黑体"/>
          <w:sz w:val="32"/>
          <w:szCs w:val="32"/>
        </w:rPr>
        <w:t>附件3</w:t>
      </w:r>
    </w:p>
    <w:p>
      <w:pPr>
        <w:widowControl/>
        <w:spacing w:line="600" w:lineRule="exact"/>
        <w:jc w:val="left"/>
        <w:rPr>
          <w:rFonts w:ascii="黑体" w:hAnsi="黑体" w:eastAsia="黑体"/>
          <w:sz w:val="32"/>
          <w:szCs w:val="32"/>
        </w:rPr>
      </w:pPr>
    </w:p>
    <w:p>
      <w:pPr>
        <w:spacing w:line="600" w:lineRule="exact"/>
        <w:jc w:val="center"/>
        <w:rPr>
          <w:rFonts w:ascii="宋体" w:hAnsi="宋体"/>
          <w:b/>
          <w:sz w:val="44"/>
          <w:szCs w:val="44"/>
        </w:rPr>
      </w:pPr>
      <w:bookmarkStart w:id="0" w:name="_GoBack"/>
      <w:r>
        <w:rPr>
          <w:rFonts w:hint="eastAsia" w:ascii="宋体" w:hAnsi="宋体"/>
          <w:b/>
          <w:sz w:val="44"/>
          <w:szCs w:val="44"/>
        </w:rPr>
        <w:t>国家电投集团贵州金元股份有限公司</w:t>
      </w:r>
    </w:p>
    <w:p>
      <w:pPr>
        <w:spacing w:line="600" w:lineRule="exact"/>
        <w:jc w:val="center"/>
        <w:rPr>
          <w:rFonts w:ascii="宋体" w:hAnsi="宋体"/>
          <w:b/>
          <w:sz w:val="44"/>
          <w:szCs w:val="44"/>
        </w:rPr>
      </w:pPr>
      <w:r>
        <w:rPr>
          <w:rFonts w:hint="eastAsia" w:ascii="宋体" w:hAnsi="宋体"/>
          <w:b/>
          <w:sz w:val="44"/>
          <w:szCs w:val="44"/>
        </w:rPr>
        <w:t>2020年第三</w:t>
      </w:r>
      <w:r>
        <w:rPr>
          <w:rFonts w:ascii="宋体" w:hAnsi="宋体"/>
          <w:b/>
          <w:sz w:val="44"/>
          <w:szCs w:val="44"/>
        </w:rPr>
        <w:t>次</w:t>
      </w:r>
      <w:r>
        <w:rPr>
          <w:rFonts w:hint="eastAsia" w:ascii="宋体" w:hAnsi="宋体"/>
          <w:b/>
          <w:sz w:val="44"/>
          <w:szCs w:val="44"/>
        </w:rPr>
        <w:t>临时股东大会决议</w:t>
      </w:r>
    </w:p>
    <w:bookmarkEnd w:id="0"/>
    <w:p>
      <w:pPr>
        <w:spacing w:line="600" w:lineRule="exact"/>
        <w:ind w:firstLine="624" w:firstLineChars="200"/>
        <w:rPr>
          <w:rFonts w:ascii="仿宋" w:hAnsi="仿宋" w:eastAsia="仿宋"/>
          <w:sz w:val="32"/>
          <w:szCs w:val="32"/>
        </w:rPr>
      </w:pPr>
    </w:p>
    <w:p>
      <w:pPr>
        <w:spacing w:line="600" w:lineRule="exact"/>
        <w:ind w:firstLine="624" w:firstLineChars="200"/>
        <w:rPr>
          <w:rFonts w:ascii="仿宋_GB2312" w:hAnsi="仿宋" w:eastAsia="仿宋_GB2312"/>
          <w:sz w:val="32"/>
          <w:szCs w:val="32"/>
        </w:rPr>
      </w:pPr>
      <w:r>
        <w:rPr>
          <w:rFonts w:hint="eastAsia" w:ascii="仿宋_GB2312" w:hAnsi="仿宋" w:eastAsia="仿宋_GB2312"/>
          <w:sz w:val="32"/>
          <w:szCs w:val="32"/>
        </w:rPr>
        <w:t>2020年12月2日，国家电投集团贵州金元股份有限公司（简称贵州金元</w:t>
      </w:r>
      <w:r>
        <w:rPr>
          <w:rFonts w:ascii="仿宋_GB2312" w:hAnsi="仿宋" w:eastAsia="仿宋_GB2312"/>
          <w:sz w:val="32"/>
          <w:szCs w:val="32"/>
        </w:rPr>
        <w:t>）</w:t>
      </w:r>
      <w:r>
        <w:rPr>
          <w:rFonts w:hint="eastAsia" w:ascii="仿宋_GB2312" w:hAnsi="仿宋" w:eastAsia="仿宋_GB2312"/>
          <w:sz w:val="32"/>
          <w:szCs w:val="32"/>
        </w:rPr>
        <w:t>以通讯方式召开2020年第三次临时股东大会。</w:t>
      </w:r>
      <w:r>
        <w:rPr>
          <w:rFonts w:hint="eastAsia" w:ascii="仿宋_GB2312" w:eastAsia="仿宋_GB2312"/>
          <w:snapToGrid w:val="0"/>
          <w:kern w:val="0"/>
          <w:sz w:val="32"/>
          <w:szCs w:val="32"/>
        </w:rPr>
        <w:t>贵州金元董事会将《贵州金元关于召开2020年第三次临时股东大会的通知》于2020年11月19日在贵州金元网站上进行了公告。</w:t>
      </w:r>
      <w:r>
        <w:rPr>
          <w:rFonts w:hint="eastAsia" w:ascii="仿宋_GB2312" w:hAnsi="仿宋" w:eastAsia="仿宋_GB2312"/>
          <w:sz w:val="32"/>
          <w:szCs w:val="32"/>
        </w:rPr>
        <w:t>本次会议</w:t>
      </w:r>
      <w:r>
        <w:rPr>
          <w:rFonts w:hint="eastAsia" w:ascii="仿宋_GB2312" w:eastAsia="仿宋_GB2312"/>
          <w:snapToGrid w:val="0"/>
          <w:kern w:val="0"/>
          <w:sz w:val="32"/>
          <w:szCs w:val="32"/>
        </w:rPr>
        <w:t>表决股份437622.74万股，</w:t>
      </w:r>
      <w:r>
        <w:rPr>
          <w:rFonts w:hint="eastAsia" w:ascii="仿宋_GB2312" w:eastAsia="仿宋_GB2312"/>
          <w:sz w:val="32"/>
          <w:szCs w:val="32"/>
        </w:rPr>
        <w:t>占贵州金元总股本的</w:t>
      </w:r>
      <w:r>
        <w:rPr>
          <w:rFonts w:ascii="仿宋_GB2312" w:eastAsia="仿宋_GB2312"/>
          <w:sz w:val="32"/>
          <w:szCs w:val="32"/>
        </w:rPr>
        <w:t>93.26</w:t>
      </w:r>
      <w:r>
        <w:rPr>
          <w:rFonts w:hint="eastAsia" w:ascii="仿宋_GB2312" w:eastAsia="仿宋_GB2312"/>
          <w:sz w:val="32"/>
          <w:szCs w:val="32"/>
        </w:rPr>
        <w:t>%</w:t>
      </w:r>
      <w:r>
        <w:rPr>
          <w:rFonts w:hint="eastAsia" w:ascii="仿宋_GB2312" w:hAnsi="仿宋" w:eastAsia="仿宋_GB2312"/>
          <w:sz w:val="32"/>
          <w:szCs w:val="32"/>
        </w:rPr>
        <w:t>。本次会议的召开和表决符合《中华人民共和国公司法》及《国家电投集团贵州金元股份有限公司章程》的规定。会议决议如下：</w:t>
      </w:r>
    </w:p>
    <w:p>
      <w:pPr>
        <w:spacing w:line="600" w:lineRule="exact"/>
        <w:ind w:firstLine="624" w:firstLineChars="200"/>
        <w:rPr>
          <w:rFonts w:ascii="仿宋_GB2312" w:hAnsi="仿宋_GB2312" w:eastAsia="仿宋_GB2312" w:cs="仿宋_GB2312"/>
          <w:bCs/>
          <w:color w:val="000000" w:themeColor="text1"/>
          <w:spacing w:val="4"/>
          <w:sz w:val="32"/>
          <w:szCs w:val="32"/>
          <w14:textFill>
            <w14:solidFill>
              <w14:schemeClr w14:val="tx1"/>
            </w14:solidFill>
          </w14:textFill>
        </w:rPr>
      </w:pPr>
      <w:r>
        <w:rPr>
          <w:rFonts w:hint="eastAsia" w:ascii="仿宋_GB2312" w:eastAsia="仿宋_GB2312"/>
          <w:sz w:val="32"/>
          <w:szCs w:val="32"/>
        </w:rPr>
        <w:t>一、审议通过《贵州金元关于拟以公开摘牌方式参与贵州电力交易中心有限责任公司增资项目的议案》。同意贵州金元以公开摘牌方式参与贵州电力交易中心有限责任公司增资项目，取得6%股权</w:t>
      </w:r>
      <w:r>
        <w:rPr>
          <w:rFonts w:hint="eastAsia" w:ascii="仿宋_GB2312" w:hAnsi="仿宋_GB2312" w:eastAsia="仿宋_GB2312" w:cs="仿宋_GB2312"/>
          <w:bCs/>
          <w:spacing w:val="4"/>
          <w:sz w:val="32"/>
          <w:szCs w:val="32"/>
        </w:rPr>
        <w:t>，</w:t>
      </w:r>
      <w:r>
        <w:rPr>
          <w:rFonts w:hint="eastAsia" w:ascii="仿宋_GB2312" w:hAnsi="仿宋_GB2312" w:eastAsia="仿宋_GB2312" w:cs="仿宋_GB2312"/>
          <w:bCs/>
          <w:color w:val="000000" w:themeColor="text1"/>
          <w:spacing w:val="4"/>
          <w:sz w:val="32"/>
          <w:szCs w:val="32"/>
          <w14:textFill>
            <w14:solidFill>
              <w14:schemeClr w14:val="tx1"/>
            </w14:solidFill>
          </w14:textFill>
        </w:rPr>
        <w:t>投资额原则不超过700万元人民币,具体投资额最终以贵州电力交易中心增资结果为准。</w:t>
      </w:r>
      <w:r>
        <w:rPr>
          <w:rFonts w:hint="eastAsia" w:ascii="仿宋_GB2312" w:hAnsi="仿宋_GB2312" w:eastAsia="仿宋_GB2312" w:cs="仿宋_GB2312"/>
          <w:bCs/>
          <w:spacing w:val="4"/>
          <w:sz w:val="32"/>
          <w:szCs w:val="32"/>
        </w:rPr>
        <w:t>贵州金元拟在公告截止日期前向上海联合产权交易所提交对贵州电力交易中心增资项目的申请材料，登记成为意向投资人，并交纳人民币150万元保证金至上海联合产权交易所指定银行账户（以到账时间为准，户名：上海联合产权交易所有限公司、开户名称：中国工商银行股份有限公司普陀支行、账号：1001323519100029737）。</w:t>
      </w:r>
      <w:r>
        <w:rPr>
          <w:rFonts w:hint="eastAsia" w:ascii="仿宋_GB2312" w:hAnsi="仿宋_GB2312" w:eastAsia="仿宋_GB2312" w:cs="仿宋_GB2312"/>
          <w:bCs/>
          <w:color w:val="000000" w:themeColor="text1"/>
          <w:spacing w:val="4"/>
          <w:sz w:val="32"/>
          <w:szCs w:val="32"/>
          <w14:textFill>
            <w14:solidFill>
              <w14:schemeClr w14:val="tx1"/>
            </w14:solidFill>
          </w14:textFill>
        </w:rPr>
        <w:t>同时，以人民币1万元的合同价格，与上海联合产权交易所指定的北京智德盛投资顾问有限公司签订中介机构委托合同，负责摘牌指导工作。</w:t>
      </w:r>
    </w:p>
    <w:p>
      <w:pPr>
        <w:spacing w:line="600" w:lineRule="exact"/>
        <w:ind w:firstLine="624" w:firstLineChars="200"/>
        <w:rPr>
          <w:rFonts w:ascii="仿宋_GB2312" w:eastAsia="仿宋_GB2312" w:hAnsiTheme="minorEastAsia"/>
          <w:sz w:val="32"/>
          <w:szCs w:val="32"/>
        </w:rPr>
      </w:pPr>
      <w:r>
        <w:rPr>
          <w:rFonts w:hint="eastAsia" w:ascii="仿宋_GB2312" w:eastAsia="仿宋_GB2312"/>
          <w:sz w:val="32"/>
          <w:szCs w:val="32"/>
        </w:rPr>
        <w:t>二、审议通过《贵州金元关于参与贵州大唐野马寨发电有限公司破产重整的议案》。同意</w:t>
      </w:r>
      <w:r>
        <w:rPr>
          <w:rFonts w:hint="eastAsia" w:ascii="仿宋_GB2312" w:eastAsia="仿宋_GB2312" w:hAnsiTheme="minorEastAsia"/>
          <w:sz w:val="32"/>
          <w:szCs w:val="32"/>
        </w:rPr>
        <w:t>贵州金元参</w:t>
      </w:r>
      <w:r>
        <w:rPr>
          <w:rFonts w:hint="eastAsia" w:ascii="仿宋_GB2312" w:eastAsia="仿宋_GB2312"/>
          <w:sz w:val="32"/>
          <w:szCs w:val="32"/>
        </w:rPr>
        <w:t>与贵州大唐野马寨发电有限公司破产重整，</w:t>
      </w:r>
      <w:r>
        <w:rPr>
          <w:rFonts w:hint="eastAsia" w:ascii="仿宋_GB2312" w:eastAsia="仿宋_GB2312" w:hAnsiTheme="minorEastAsia"/>
          <w:sz w:val="32"/>
          <w:szCs w:val="32"/>
        </w:rPr>
        <w:t>作为债权人将1亿元债权转为股权，持有重整后</w:t>
      </w:r>
      <w:r>
        <w:rPr>
          <w:rFonts w:hint="eastAsia" w:ascii="仿宋_GB2312" w:eastAsia="仿宋_GB2312"/>
          <w:sz w:val="32"/>
          <w:szCs w:val="32"/>
        </w:rPr>
        <w:t>贵州大唐野马寨发电有限公司</w:t>
      </w:r>
      <w:r>
        <w:rPr>
          <w:rFonts w:hint="eastAsia" w:ascii="仿宋_GB2312" w:eastAsia="仿宋_GB2312" w:hAnsiTheme="minorEastAsia"/>
          <w:sz w:val="32"/>
          <w:szCs w:val="32"/>
        </w:rPr>
        <w:t>20%股权。</w:t>
      </w:r>
    </w:p>
    <w:p>
      <w:pPr>
        <w:spacing w:line="600" w:lineRule="exact"/>
        <w:ind w:firstLine="640" w:firstLineChars="200"/>
        <w:rPr>
          <w:rFonts w:ascii="仿宋_GB2312" w:hAnsi="仿宋_GB2312" w:eastAsia="仿宋_GB2312" w:cs="仿宋_GB2312"/>
          <w:bCs/>
          <w:color w:val="000000" w:themeColor="text1"/>
          <w:spacing w:val="4"/>
          <w:sz w:val="32"/>
          <w:szCs w:val="32"/>
          <w14:textFill>
            <w14:solidFill>
              <w14:schemeClr w14:val="tx1"/>
            </w14:solidFill>
          </w14:textFill>
        </w:rPr>
      </w:pPr>
    </w:p>
    <w:p>
      <w:pPr>
        <w:spacing w:line="600" w:lineRule="exact"/>
        <w:rPr>
          <w:rFonts w:ascii="黑体" w:hAnsi="黑体" w:eastAsia="黑体"/>
          <w:sz w:val="30"/>
          <w:szCs w:val="30"/>
        </w:rPr>
      </w:pPr>
    </w:p>
    <w:p>
      <w:pPr>
        <w:spacing w:line="600" w:lineRule="exact"/>
        <w:ind w:firstLine="624" w:firstLineChars="200"/>
        <w:rPr>
          <w:sz w:val="32"/>
          <w:szCs w:val="32"/>
        </w:rPr>
      </w:pPr>
      <w:r>
        <w:rPr>
          <w:rFonts w:hint="eastAsia" w:ascii="仿宋_GB2312" w:hAnsi="宋体" w:eastAsia="仿宋_GB2312" w:cs="宋体"/>
          <w:kern w:val="0"/>
          <w:sz w:val="32"/>
          <w:szCs w:val="32"/>
        </w:rPr>
        <w:t>国家电力投资集团有限公司：</w:t>
      </w:r>
    </w:p>
    <w:p>
      <w:pPr>
        <w:spacing w:line="600" w:lineRule="exact"/>
      </w:pPr>
    </w:p>
    <w:p>
      <w:pPr>
        <w:spacing w:line="600" w:lineRule="exact"/>
      </w:pPr>
    </w:p>
    <w:p>
      <w:pPr>
        <w:spacing w:line="600" w:lineRule="exact"/>
        <w:rPr>
          <w:u w:val="single"/>
        </w:rPr>
      </w:pPr>
      <w:r>
        <w:rPr>
          <w:rFonts w:hint="eastAsia"/>
        </w:rPr>
        <w:t xml:space="preserve">                                                </w:t>
      </w:r>
      <w:r>
        <w:rPr>
          <w:rFonts w:hint="eastAsia"/>
          <w:u w:val="single"/>
        </w:rPr>
        <w:t xml:space="preserve">                                </w:t>
      </w:r>
    </w:p>
    <w:p>
      <w:pPr>
        <w:spacing w:line="600" w:lineRule="exact"/>
        <w:rPr>
          <w:u w:val="single"/>
        </w:rPr>
      </w:pPr>
    </w:p>
    <w:p>
      <w:pPr>
        <w:spacing w:line="600" w:lineRule="exact"/>
      </w:pPr>
    </w:p>
    <w:p>
      <w:pPr>
        <w:spacing w:line="600" w:lineRule="exact"/>
        <w:ind w:firstLine="624" w:firstLineChars="200"/>
        <w:rPr>
          <w:rFonts w:ascii="仿宋_GB2312" w:eastAsia="仿宋_GB2312"/>
          <w:sz w:val="32"/>
          <w:szCs w:val="32"/>
        </w:rPr>
      </w:pPr>
      <w:r>
        <w:rPr>
          <w:rFonts w:hint="eastAsia" w:ascii="仿宋_GB2312" w:hAnsi="宋体" w:eastAsia="仿宋_GB2312" w:cs="宋体"/>
          <w:kern w:val="0"/>
          <w:sz w:val="32"/>
          <w:szCs w:val="32"/>
        </w:rPr>
        <w:t>贵州盘江煤电集团有限责任公司：</w:t>
      </w:r>
    </w:p>
    <w:p>
      <w:pPr>
        <w:spacing w:line="600" w:lineRule="exact"/>
        <w:rPr>
          <w:rFonts w:ascii="仿宋_GB2312" w:eastAsia="仿宋_GB2312"/>
          <w:sz w:val="30"/>
          <w:szCs w:val="30"/>
        </w:rPr>
      </w:pPr>
    </w:p>
    <w:p>
      <w:pPr>
        <w:spacing w:line="600" w:lineRule="exact"/>
        <w:rPr>
          <w:rFonts w:ascii="仿宋_GB2312" w:eastAsia="仿宋_GB2312"/>
          <w:sz w:val="30"/>
          <w:szCs w:val="30"/>
          <w:u w:val="single"/>
        </w:rPr>
      </w:pPr>
      <w:r>
        <w:rPr>
          <w:rFonts w:hint="eastAsia" w:ascii="仿宋_GB2312" w:eastAsia="仿宋_GB2312"/>
          <w:sz w:val="30"/>
          <w:szCs w:val="30"/>
        </w:rPr>
        <w:t xml:space="preserve">                                 </w:t>
      </w:r>
      <w:r>
        <w:rPr>
          <w:rFonts w:hint="eastAsia" w:ascii="仿宋_GB2312" w:eastAsia="仿宋_GB2312"/>
          <w:sz w:val="30"/>
          <w:szCs w:val="30"/>
          <w:u w:val="single"/>
        </w:rPr>
        <w:t xml:space="preserve">                        </w:t>
      </w:r>
    </w:p>
    <w:p>
      <w:pPr>
        <w:ind w:firstLine="624" w:firstLineChars="200"/>
        <w:rPr>
          <w:rFonts w:ascii="仿宋_GB2312" w:eastAsia="仿宋_GB2312"/>
          <w:color w:val="FF0000"/>
          <w:sz w:val="32"/>
        </w:rPr>
      </w:pPr>
    </w:p>
    <w:p>
      <w:pPr>
        <w:ind w:firstLine="624" w:firstLineChars="200"/>
        <w:rPr>
          <w:rFonts w:ascii="仿宋_GB2312" w:eastAsia="仿宋_GB2312"/>
          <w:color w:val="FF0000"/>
          <w:sz w:val="32"/>
        </w:rPr>
      </w:pPr>
    </w:p>
    <w:p>
      <w:pPr>
        <w:jc w:val="center"/>
        <w:rPr>
          <w:rFonts w:ascii="仿宋_GB2312" w:hAnsi="仿宋" w:eastAsia="仿宋_GB2312" w:cs="仿宋_GB2312"/>
          <w:sz w:val="32"/>
          <w:szCs w:val="32"/>
        </w:rPr>
      </w:pPr>
      <w:r>
        <w:rPr>
          <w:rFonts w:hint="eastAsia" w:ascii="仿宋_GB2312" w:eastAsia="仿宋_GB2312"/>
          <w:sz w:val="32"/>
          <w:szCs w:val="32"/>
        </w:rPr>
        <w:t xml:space="preserve">                                 2020年12月2日</w:t>
      </w:r>
    </w:p>
    <w:p/>
    <w:sectPr>
      <w:footerReference r:id="rId5" w:type="first"/>
      <w:footerReference r:id="rId3" w:type="default"/>
      <w:footerReference r:id="rId4" w:type="even"/>
      <w:pgSz w:w="11906" w:h="16838"/>
      <w:pgMar w:top="1474" w:right="1418" w:bottom="1474" w:left="1418" w:header="851" w:footer="992" w:gutter="0"/>
      <w:pgNumType w:start="1"/>
      <w:cols w:space="720" w:num="1"/>
      <w:docGrid w:type="linesAndChars" w:linePitch="301" w:charSpace="-17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9</w:t>
    </w:r>
    <w:r>
      <w:rPr>
        <w:rFonts w:ascii="宋体" w:hAnsi="宋体"/>
        <w:sz w:val="28"/>
        <w:szCs w:val="28"/>
      </w:rPr>
      <w:fldChar w:fldCharType="end"/>
    </w:r>
    <w:r>
      <w:rPr>
        <w:rFonts w:hint="eastAsia" w:ascii="宋体" w:hAnsi="宋体"/>
        <w:sz w:val="28"/>
        <w:szCs w:val="28"/>
      </w:rPr>
      <w:t xml:space="preserve"> </w:t>
    </w:r>
    <w:r>
      <w:rPr>
        <w:rFonts w:ascii="宋体" w:hAnsi="宋体"/>
        <w:sz w:val="28"/>
        <w:szCs w:val="28"/>
      </w:rPr>
      <w:t>—</w: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8</w:t>
    </w:r>
    <w:r>
      <w:rPr>
        <w:rFonts w:ascii="宋体" w:hAnsi="宋体"/>
        <w:sz w:val="28"/>
        <w:szCs w:val="28"/>
      </w:rPr>
      <w:fldChar w:fldCharType="end"/>
    </w:r>
    <w:r>
      <w:rPr>
        <w:rFonts w:ascii="宋体" w:hAnsi="宋体"/>
        <w:sz w:val="28"/>
        <w:szCs w:val="28"/>
      </w:rPr>
      <w:t xml:space="preserve"> —</w:t>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1</w:t>
    </w:r>
    <w:r>
      <w:rPr>
        <w:lang w:val="zh-CN"/>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363512"/>
    <w:rsid w:val="163635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2020-11-20T12:08:00Z</dcterms:created>
  <dc:creator>黄金档</dc:creator>
  <cp:lastModifiedBy>黄金档</cp:lastModifiedBy>
  <dcterms:modified xsi:type="dcterms:W3CDTF">2020-11-20T12:11:39Z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