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80" w:firstLineChars="200"/>
        <w:rPr>
          <w:rFonts w:hint="eastAsia" w:ascii="宋体" w:hAnsi="宋体" w:eastAsia="宋体" w:cs="宋体"/>
          <w:sz w:val="24"/>
          <w:szCs w:val="32"/>
        </w:rPr>
      </w:pPr>
      <w:r>
        <w:rPr>
          <w:rFonts w:hint="eastAsia" w:ascii="宋体" w:hAnsi="宋体" w:eastAsia="宋体" w:cs="宋体"/>
          <w:sz w:val="24"/>
          <w:szCs w:val="32"/>
        </w:rPr>
        <w:t>附件：2020年度</w:t>
      </w:r>
      <w:r>
        <w:rPr>
          <w:rFonts w:hint="eastAsia" w:ascii="宋体" w:hAnsi="宋体" w:eastAsia="宋体" w:cs="宋体"/>
          <w:sz w:val="24"/>
          <w:szCs w:val="32"/>
        </w:rPr>
        <w:t>贵州</w:t>
      </w:r>
      <w:r>
        <w:rPr>
          <w:rFonts w:hint="eastAsia" w:ascii="宋体" w:hAnsi="宋体" w:eastAsia="宋体" w:cs="宋体"/>
          <w:sz w:val="24"/>
          <w:szCs w:val="32"/>
        </w:rPr>
        <w:t>省科学技术奖提名项目公示信息表</w:t>
      </w:r>
    </w:p>
    <w:tbl>
      <w:tblPr>
        <w:tblStyle w:val="8"/>
        <w:tblpPr w:leftFromText="180" w:rightFromText="180" w:vertAnchor="text" w:horzAnchor="margin" w:tblpXSpec="center" w:tblpY="1"/>
        <w:tblOverlap w:val="never"/>
        <w:tblW w:w="5024" w:type="pct"/>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39"/>
        <w:gridCol w:w="847"/>
        <w:gridCol w:w="1277"/>
        <w:gridCol w:w="708"/>
        <w:gridCol w:w="813"/>
        <w:gridCol w:w="746"/>
        <w:gridCol w:w="709"/>
        <w:gridCol w:w="1559"/>
        <w:gridCol w:w="1258"/>
        <w:gridCol w:w="1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99" w:hRule="exact"/>
        </w:trPr>
        <w:tc>
          <w:tcPr>
            <w:tcW w:w="262" w:type="pct"/>
            <w:shd w:val="clear" w:color="auto" w:fill="FFFFFF"/>
            <w:vAlign w:val="center"/>
          </w:tcPr>
          <w:p>
            <w:pPr>
              <w:widowControl/>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项目</w:t>
            </w:r>
          </w:p>
          <w:p>
            <w:pPr>
              <w:widowControl/>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名称</w:t>
            </w:r>
          </w:p>
        </w:tc>
        <w:tc>
          <w:tcPr>
            <w:tcW w:w="4738" w:type="pct"/>
            <w:gridSpan w:val="9"/>
            <w:shd w:val="clear" w:color="auto" w:fill="FFFFFF"/>
            <w:vAlign w:val="center"/>
          </w:tcPr>
          <w:p>
            <w:pPr>
              <w:widowControl/>
              <w:adjustRightInd w:val="0"/>
              <w:snapToGrid w:val="0"/>
              <w:jc w:val="center"/>
              <w:rPr>
                <w:rFonts w:hint="eastAsia" w:ascii="宋体" w:hAnsi="宋体" w:eastAsia="宋体" w:cs="宋体"/>
              </w:rPr>
            </w:pPr>
            <w:r>
              <w:rPr>
                <w:rFonts w:hint="eastAsia" w:ascii="宋体" w:hAnsi="宋体" w:eastAsia="宋体" w:cs="宋体"/>
              </w:rPr>
              <w:t>水电站水轮发电机组增效扩容研究</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99" w:hRule="exact"/>
        </w:trPr>
        <w:tc>
          <w:tcPr>
            <w:tcW w:w="262" w:type="pct"/>
            <w:shd w:val="clear" w:color="auto" w:fill="FFFFFF"/>
            <w:vAlign w:val="center"/>
          </w:tcPr>
          <w:p>
            <w:pPr>
              <w:widowControl/>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提名</w:t>
            </w:r>
          </w:p>
          <w:p>
            <w:pPr>
              <w:widowControl/>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者</w:t>
            </w:r>
          </w:p>
        </w:tc>
        <w:tc>
          <w:tcPr>
            <w:tcW w:w="4738" w:type="pct"/>
            <w:gridSpan w:val="9"/>
            <w:shd w:val="clear" w:color="auto" w:fill="FFFFFF"/>
            <w:vAlign w:val="center"/>
          </w:tcPr>
          <w:p>
            <w:pPr>
              <w:widowControl/>
              <w:adjustRightInd w:val="0"/>
              <w:snapToGrid w:val="0"/>
              <w:jc w:val="center"/>
              <w:rPr>
                <w:rFonts w:hint="eastAsia" w:ascii="宋体" w:hAnsi="宋体" w:eastAsia="宋体" w:cs="宋体"/>
              </w:rPr>
            </w:pPr>
            <w:bookmarkStart w:id="0" w:name="_Hlk40106136"/>
            <w:r>
              <w:rPr>
                <w:rFonts w:hint="eastAsia" w:ascii="宋体" w:hAnsi="宋体" w:eastAsia="宋体" w:cs="宋体"/>
              </w:rPr>
              <w:fldChar w:fldCharType="begin"/>
            </w:r>
            <w:r>
              <w:rPr>
                <w:rFonts w:hint="eastAsia" w:ascii="宋体" w:hAnsi="宋体" w:eastAsia="宋体" w:cs="宋体"/>
              </w:rPr>
              <w:instrText xml:space="preserve"> HYPERLINK "http://www.baidu.com/link?url=cmTqdyTrzAI6aGhLFqkQPBBxtMjgjhApBWNs2MPCU4m" \t "_blank" </w:instrText>
            </w:r>
            <w:r>
              <w:rPr>
                <w:rFonts w:hint="eastAsia" w:ascii="宋体" w:hAnsi="宋体" w:eastAsia="宋体" w:cs="宋体"/>
              </w:rPr>
              <w:fldChar w:fldCharType="separate"/>
            </w:r>
            <w:r>
              <w:rPr>
                <w:rFonts w:hint="eastAsia" w:ascii="宋体" w:hAnsi="宋体" w:eastAsia="宋体" w:cs="宋体"/>
              </w:rPr>
              <w:t>国家电投集团贵州金元股份有限公司</w:t>
            </w:r>
            <w:r>
              <w:rPr>
                <w:rFonts w:hint="eastAsia" w:ascii="宋体" w:hAnsi="宋体" w:eastAsia="宋体" w:cs="宋体"/>
              </w:rPr>
              <w:fldChar w:fldCharType="end"/>
            </w:r>
            <w:bookmarkEnd w:id="0"/>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417" w:hRule="exact"/>
        </w:trPr>
        <w:tc>
          <w:tcPr>
            <w:tcW w:w="262" w:type="pct"/>
            <w:shd w:val="clear" w:color="auto" w:fill="FFFFFF"/>
            <w:textDirection w:val="tbRlV"/>
            <w:vAlign w:val="center"/>
          </w:tcPr>
          <w:p>
            <w:pPr>
              <w:widowControl/>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提名意见</w:t>
            </w:r>
          </w:p>
        </w:tc>
        <w:tc>
          <w:tcPr>
            <w:tcW w:w="4738" w:type="pct"/>
            <w:gridSpan w:val="9"/>
            <w:shd w:val="clear" w:color="auto" w:fill="FFFFFF"/>
            <w:vAlign w:val="center"/>
          </w:tcPr>
          <w:p>
            <w:pPr>
              <w:tabs>
                <w:tab w:val="left" w:pos="5475"/>
                <w:tab w:val="left" w:pos="5760"/>
              </w:tabs>
              <w:ind w:firstLine="420" w:firstLineChars="200"/>
              <w:rPr>
                <w:rFonts w:hint="eastAsia" w:ascii="宋体" w:hAnsi="宋体" w:eastAsia="宋体" w:cs="宋体"/>
              </w:rPr>
            </w:pPr>
            <w:r>
              <w:rPr>
                <w:rFonts w:hint="eastAsia" w:ascii="宋体" w:hAnsi="宋体" w:eastAsia="宋体" w:cs="宋体"/>
              </w:rPr>
              <w:t>方竹电站在不改变主要水工建筑物、不改变流道的条件下使水轮机出力从现有的</w:t>
            </w:r>
            <w:r>
              <w:rPr>
                <w:rFonts w:hint="eastAsia" w:ascii="宋体" w:hAnsi="宋体" w:eastAsia="宋体" w:cs="宋体"/>
              </w:rPr>
              <w:t>2500kW</w:t>
            </w:r>
            <w:r>
              <w:rPr>
                <w:rFonts w:hint="eastAsia" w:ascii="宋体" w:hAnsi="宋体" w:eastAsia="宋体" w:cs="宋体"/>
              </w:rPr>
              <w:t>提高至</w:t>
            </w:r>
            <w:r>
              <w:rPr>
                <w:rFonts w:hint="eastAsia" w:ascii="宋体" w:hAnsi="宋体" w:eastAsia="宋体" w:cs="宋体"/>
              </w:rPr>
              <w:t>3500kW</w:t>
            </w:r>
            <w:r>
              <w:rPr>
                <w:rFonts w:hint="eastAsia" w:ascii="宋体" w:hAnsi="宋体" w:eastAsia="宋体" w:cs="宋体"/>
              </w:rPr>
              <w:t>，通过与西华大学合作研讨，制定了水轮机选型方法，采用先进的计算机数值模拟技术对为改型设计提供依据，用计算机模拟技术代替模型试验和电站实测确定刚强度性能，用模压成型技术生产叶片，这在同类型发电机组中起到了重大推动作用，达到了国内外同类技术先进水平，并获得了一定的经济效益：</w:t>
            </w:r>
          </w:p>
          <w:p>
            <w:pPr>
              <w:tabs>
                <w:tab w:val="left" w:pos="5475"/>
                <w:tab w:val="left" w:pos="5760"/>
              </w:tabs>
              <w:ind w:firstLine="420" w:firstLineChars="200"/>
              <w:rPr>
                <w:rFonts w:hint="eastAsia" w:ascii="宋体" w:hAnsi="宋体" w:eastAsia="宋体" w:cs="宋体"/>
              </w:rPr>
            </w:pPr>
            <w:r>
              <w:rPr>
                <w:rFonts w:hint="eastAsia" w:ascii="宋体" w:hAnsi="宋体" w:eastAsia="宋体" w:cs="宋体"/>
              </w:rPr>
              <w:t>1</w:t>
            </w:r>
            <w:r>
              <w:rPr>
                <w:rFonts w:hint="eastAsia" w:ascii="宋体" w:hAnsi="宋体" w:eastAsia="宋体" w:cs="宋体"/>
              </w:rPr>
              <w:t>．获得中央补助资金</w:t>
            </w:r>
            <w:r>
              <w:rPr>
                <w:rFonts w:hint="eastAsia" w:ascii="宋体" w:hAnsi="宋体" w:eastAsia="宋体" w:cs="宋体"/>
              </w:rPr>
              <w:t>1365</w:t>
            </w:r>
            <w:r>
              <w:rPr>
                <w:rFonts w:hint="eastAsia" w:ascii="宋体" w:hAnsi="宋体" w:eastAsia="宋体" w:cs="宋体"/>
              </w:rPr>
              <w:t>万元，是贵州省获取中央补助</w:t>
            </w:r>
            <w:bookmarkStart w:id="1" w:name="_GoBack"/>
            <w:bookmarkEnd w:id="1"/>
            <w:r>
              <w:rPr>
                <w:rFonts w:hint="eastAsia" w:ascii="宋体" w:hAnsi="宋体" w:eastAsia="宋体" w:cs="宋体"/>
              </w:rPr>
              <w:t>资金最多，规模最大的项目；获得贵州省补助资金</w:t>
            </w:r>
            <w:r>
              <w:rPr>
                <w:rFonts w:hint="eastAsia" w:ascii="宋体" w:hAnsi="宋体" w:eastAsia="宋体" w:cs="宋体"/>
              </w:rPr>
              <w:t>341</w:t>
            </w:r>
            <w:r>
              <w:rPr>
                <w:rFonts w:hint="eastAsia" w:ascii="宋体" w:hAnsi="宋体" w:eastAsia="宋体" w:cs="宋体"/>
              </w:rPr>
              <w:t>万元。</w:t>
            </w:r>
          </w:p>
          <w:p>
            <w:pPr>
              <w:tabs>
                <w:tab w:val="left" w:pos="5475"/>
                <w:tab w:val="left" w:pos="5760"/>
              </w:tabs>
              <w:ind w:firstLine="420" w:firstLineChars="200"/>
              <w:rPr>
                <w:rFonts w:hint="eastAsia" w:ascii="宋体" w:hAnsi="宋体" w:eastAsia="宋体" w:cs="宋体"/>
              </w:rPr>
            </w:pPr>
            <w:r>
              <w:rPr>
                <w:rFonts w:hint="eastAsia" w:ascii="宋体" w:hAnsi="宋体" w:eastAsia="宋体" w:cs="宋体"/>
              </w:rPr>
              <w:t>2.</w:t>
            </w:r>
            <w:r>
              <w:rPr>
                <w:rFonts w:hint="eastAsia" w:ascii="宋体" w:hAnsi="宋体" w:eastAsia="宋体" w:cs="宋体"/>
              </w:rPr>
              <w:t>新增装机容量</w:t>
            </w:r>
            <w:r>
              <w:rPr>
                <w:rFonts w:hint="eastAsia" w:ascii="宋体" w:hAnsi="宋体" w:eastAsia="宋体" w:cs="宋体"/>
              </w:rPr>
              <w:t>3000KW</w:t>
            </w:r>
            <w:r>
              <w:rPr>
                <w:rFonts w:hint="eastAsia" w:ascii="宋体" w:hAnsi="宋体" w:eastAsia="宋体" w:cs="宋体"/>
              </w:rPr>
              <w:t>，年平均发电量为</w:t>
            </w:r>
            <w:r>
              <w:rPr>
                <w:rFonts w:hint="eastAsia" w:ascii="宋体" w:hAnsi="宋体" w:eastAsia="宋体" w:cs="宋体"/>
              </w:rPr>
              <w:t>5141 Wkw.h</w:t>
            </w:r>
            <w:r>
              <w:rPr>
                <w:rFonts w:hint="eastAsia" w:ascii="宋体" w:hAnsi="宋体" w:eastAsia="宋体" w:cs="宋体"/>
              </w:rPr>
              <w:t>，年增加发电量</w:t>
            </w:r>
            <w:r>
              <w:rPr>
                <w:rFonts w:hint="eastAsia" w:ascii="宋体" w:hAnsi="宋体" w:eastAsia="宋体" w:cs="宋体"/>
              </w:rPr>
              <w:t>1237Wkw.h</w:t>
            </w:r>
            <w:r>
              <w:rPr>
                <w:rFonts w:hint="eastAsia" w:ascii="宋体" w:hAnsi="宋体" w:eastAsia="宋体" w:cs="宋体"/>
              </w:rPr>
              <w:t>，年发电量增长率</w:t>
            </w:r>
            <w:r>
              <w:rPr>
                <w:rFonts w:hint="eastAsia" w:ascii="宋体" w:hAnsi="宋体" w:eastAsia="宋体" w:cs="宋体"/>
              </w:rPr>
              <w:t>31.7%</w:t>
            </w:r>
            <w:r>
              <w:rPr>
                <w:rFonts w:hint="eastAsia" w:ascii="宋体" w:hAnsi="宋体" w:eastAsia="宋体" w:cs="宋体"/>
              </w:rPr>
              <w:t>。</w:t>
            </w:r>
          </w:p>
          <w:p>
            <w:pPr>
              <w:tabs>
                <w:tab w:val="left" w:pos="5475"/>
                <w:tab w:val="left" w:pos="5760"/>
              </w:tabs>
              <w:ind w:firstLine="420" w:firstLineChars="200"/>
              <w:rPr>
                <w:rFonts w:hint="eastAsia" w:ascii="宋体" w:hAnsi="宋体" w:eastAsia="宋体" w:cs="宋体"/>
              </w:rPr>
            </w:pPr>
            <w:r>
              <w:rPr>
                <w:rFonts w:hint="eastAsia" w:ascii="宋体" w:hAnsi="宋体" w:eastAsia="宋体" w:cs="宋体"/>
              </w:rPr>
              <w:t>3.</w:t>
            </w:r>
            <w:r>
              <w:rPr>
                <w:rFonts w:hint="eastAsia" w:ascii="宋体" w:hAnsi="宋体" w:eastAsia="宋体" w:cs="宋体"/>
              </w:rPr>
              <w:t>上网电价已由原来</w:t>
            </w:r>
            <w:r>
              <w:rPr>
                <w:rFonts w:hint="eastAsia" w:ascii="宋体" w:hAnsi="宋体" w:eastAsia="宋体" w:cs="宋体"/>
              </w:rPr>
              <w:t>0.2564</w:t>
            </w:r>
            <w:r>
              <w:rPr>
                <w:rFonts w:hint="eastAsia" w:ascii="宋体" w:hAnsi="宋体" w:eastAsia="宋体" w:cs="宋体"/>
              </w:rPr>
              <w:t>元</w:t>
            </w:r>
            <w:r>
              <w:rPr>
                <w:rFonts w:hint="eastAsia" w:ascii="宋体" w:hAnsi="宋体" w:eastAsia="宋体" w:cs="宋体"/>
              </w:rPr>
              <w:t>/kw.h</w:t>
            </w:r>
            <w:r>
              <w:rPr>
                <w:rFonts w:hint="eastAsia" w:ascii="宋体" w:hAnsi="宋体" w:eastAsia="宋体" w:cs="宋体"/>
              </w:rPr>
              <w:t>提高到</w:t>
            </w:r>
            <w:r>
              <w:rPr>
                <w:rFonts w:hint="eastAsia" w:ascii="宋体" w:hAnsi="宋体" w:eastAsia="宋体" w:cs="宋体"/>
              </w:rPr>
              <w:t>0.2594</w:t>
            </w:r>
            <w:r>
              <w:rPr>
                <w:rFonts w:hint="eastAsia" w:ascii="宋体" w:hAnsi="宋体" w:eastAsia="宋体" w:cs="宋体"/>
              </w:rPr>
              <w:t>元</w:t>
            </w:r>
            <w:r>
              <w:rPr>
                <w:rFonts w:hint="eastAsia" w:ascii="宋体" w:hAnsi="宋体" w:eastAsia="宋体" w:cs="宋体"/>
              </w:rPr>
              <w:t>/kw.h</w:t>
            </w:r>
            <w:r>
              <w:rPr>
                <w:rFonts w:hint="eastAsia" w:ascii="宋体" w:hAnsi="宋体" w:eastAsia="宋体" w:cs="宋体"/>
              </w:rPr>
              <w:t>，可增加年发电收入</w:t>
            </w:r>
            <w:r>
              <w:rPr>
                <w:rFonts w:hint="eastAsia" w:ascii="宋体" w:hAnsi="宋体" w:eastAsia="宋体" w:cs="宋体"/>
              </w:rPr>
              <w:t>333</w:t>
            </w:r>
            <w:r>
              <w:rPr>
                <w:rFonts w:hint="eastAsia" w:ascii="宋体" w:hAnsi="宋体" w:eastAsia="宋体" w:cs="宋体"/>
              </w:rPr>
              <w:t>万元。</w:t>
            </w:r>
          </w:p>
          <w:p>
            <w:pPr>
              <w:tabs>
                <w:tab w:val="left" w:pos="5475"/>
                <w:tab w:val="left" w:pos="5760"/>
              </w:tabs>
              <w:ind w:firstLine="420" w:firstLineChars="200"/>
              <w:rPr>
                <w:rFonts w:hint="eastAsia" w:ascii="宋体" w:hAnsi="宋体" w:eastAsia="宋体" w:cs="宋体"/>
              </w:rPr>
            </w:pPr>
            <w:r>
              <w:rPr>
                <w:rFonts w:hint="eastAsia" w:ascii="宋体" w:hAnsi="宋体" w:eastAsia="宋体" w:cs="宋体"/>
              </w:rPr>
              <w:t>4.</w:t>
            </w:r>
            <w:r>
              <w:rPr>
                <w:rFonts w:hint="eastAsia" w:ascii="宋体" w:hAnsi="宋体" w:eastAsia="宋体" w:cs="宋体"/>
              </w:rPr>
              <w:t>电站实现了“无人值班，少人值守”的运行管理模式，改造后运行管理人员由原来每班</w:t>
            </w:r>
            <w:r>
              <w:rPr>
                <w:rFonts w:hint="eastAsia" w:ascii="宋体" w:hAnsi="宋体" w:eastAsia="宋体" w:cs="宋体"/>
              </w:rPr>
              <w:t>4</w:t>
            </w:r>
            <w:r>
              <w:rPr>
                <w:rFonts w:hint="eastAsia" w:ascii="宋体" w:hAnsi="宋体" w:eastAsia="宋体" w:cs="宋体"/>
              </w:rPr>
              <w:t>人减至</w:t>
            </w:r>
            <w:r>
              <w:rPr>
                <w:rFonts w:hint="eastAsia" w:ascii="宋体" w:hAnsi="宋体" w:eastAsia="宋体" w:cs="宋体"/>
              </w:rPr>
              <w:t>2</w:t>
            </w:r>
            <w:r>
              <w:rPr>
                <w:rFonts w:hint="eastAsia" w:ascii="宋体" w:hAnsi="宋体" w:eastAsia="宋体" w:cs="宋体"/>
              </w:rPr>
              <w:t>人，共计减少</w:t>
            </w:r>
            <w:r>
              <w:rPr>
                <w:rFonts w:hint="eastAsia" w:ascii="宋体" w:hAnsi="宋体" w:eastAsia="宋体" w:cs="宋体"/>
              </w:rPr>
              <w:t>8</w:t>
            </w:r>
            <w:r>
              <w:rPr>
                <w:rFonts w:hint="eastAsia" w:ascii="宋体" w:hAnsi="宋体" w:eastAsia="宋体" w:cs="宋体"/>
              </w:rPr>
              <w:t>人，每年可减少人工工资</w:t>
            </w:r>
            <w:r>
              <w:rPr>
                <w:rFonts w:hint="eastAsia" w:ascii="宋体" w:hAnsi="宋体" w:eastAsia="宋体" w:cs="宋体"/>
              </w:rPr>
              <w:t>96</w:t>
            </w:r>
            <w:r>
              <w:rPr>
                <w:rFonts w:hint="eastAsia" w:ascii="宋体" w:hAnsi="宋体" w:eastAsia="宋体" w:cs="宋体"/>
              </w:rPr>
              <w:t>万元；</w:t>
            </w:r>
            <w:r>
              <w:rPr>
                <w:rFonts w:hint="eastAsia" w:ascii="宋体" w:hAnsi="宋体" w:eastAsia="宋体" w:cs="宋体"/>
              </w:rPr>
              <w:t xml:space="preserve"> </w:t>
            </w:r>
          </w:p>
          <w:p>
            <w:pPr>
              <w:tabs>
                <w:tab w:val="left" w:pos="5475"/>
                <w:tab w:val="left" w:pos="5760"/>
              </w:tabs>
              <w:ind w:firstLine="420" w:firstLineChars="200"/>
              <w:rPr>
                <w:rFonts w:hint="eastAsia" w:ascii="宋体" w:hAnsi="宋体" w:eastAsia="宋体" w:cs="宋体"/>
              </w:rPr>
            </w:pPr>
            <w:r>
              <w:rPr>
                <w:rFonts w:hint="eastAsia" w:ascii="宋体" w:hAnsi="宋体" w:eastAsia="宋体" w:cs="宋体"/>
              </w:rPr>
              <w:t>方竹电站水轮发电机组增效扩容改造申报材料真实可靠，技术创新点高，技术思路独特，技术经济效益显著，社会效益明显，同意申报贵州省科学技术进步奖二等奖。</w:t>
            </w:r>
          </w:p>
          <w:p>
            <w:pPr>
              <w:pStyle w:val="4"/>
              <w:spacing w:line="390" w:lineRule="exact"/>
              <w:ind w:firstLine="420"/>
              <w:rPr>
                <w:rFonts w:hint="eastAsia" w:ascii="宋体" w:hAnsi="宋体" w:eastAsia="宋体" w:cs="宋体"/>
                <w:sz w:val="21"/>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cantSplit/>
          <w:trHeight w:val="2227" w:hRule="atLeast"/>
        </w:trPr>
        <w:tc>
          <w:tcPr>
            <w:tcW w:w="262" w:type="pct"/>
            <w:shd w:val="clear" w:color="auto" w:fill="FFFFFF"/>
            <w:textDirection w:val="tbRlV"/>
            <w:vAlign w:val="center"/>
          </w:tcPr>
          <w:p>
            <w:pPr>
              <w:widowControl/>
              <w:adjustRightInd w:val="0"/>
              <w:snapToGrid w:val="0"/>
              <w:jc w:val="center"/>
              <w:rPr>
                <w:rFonts w:hint="eastAsia" w:ascii="宋体" w:hAnsi="宋体" w:eastAsia="宋体" w:cs="宋体"/>
                <w:kern w:val="0"/>
                <w:sz w:val="24"/>
              </w:rPr>
            </w:pPr>
            <w:r>
              <w:rPr>
                <w:rFonts w:hint="eastAsia" w:ascii="宋体" w:hAnsi="宋体" w:eastAsia="宋体" w:cs="宋体"/>
                <w:kern w:val="0"/>
                <w:sz w:val="24"/>
              </w:rPr>
              <w:t>项目简介</w:t>
            </w:r>
          </w:p>
        </w:tc>
        <w:tc>
          <w:tcPr>
            <w:tcW w:w="4738" w:type="pct"/>
            <w:gridSpan w:val="9"/>
            <w:shd w:val="clear" w:color="auto" w:fill="FFFFFF"/>
            <w:vAlign w:val="center"/>
          </w:tcPr>
          <w:p>
            <w:pPr>
              <w:tabs>
                <w:tab w:val="left" w:pos="5475"/>
                <w:tab w:val="left" w:pos="5760"/>
              </w:tabs>
              <w:ind w:firstLine="420" w:firstLineChars="200"/>
              <w:rPr>
                <w:rFonts w:hint="eastAsia" w:ascii="宋体" w:hAnsi="宋体" w:eastAsia="宋体" w:cs="宋体"/>
              </w:rPr>
            </w:pPr>
            <w:r>
              <w:rPr>
                <w:rFonts w:hint="eastAsia" w:ascii="宋体" w:hAnsi="宋体" w:eastAsia="宋体" w:cs="宋体"/>
              </w:rPr>
              <w:t>方竹水电站位于乌江右岸一级支流余庆河中下游，为余庆河的第二个梯级电站， 1994年12月首台机组发电</w:t>
            </w:r>
            <w:r>
              <w:rPr>
                <w:rFonts w:hint="eastAsia" w:ascii="宋体" w:hAnsi="宋体" w:eastAsia="宋体" w:cs="宋体"/>
              </w:rPr>
              <w:t>。</w:t>
            </w:r>
            <w:r>
              <w:rPr>
                <w:rFonts w:hint="eastAsia" w:ascii="宋体" w:hAnsi="宋体" w:eastAsia="宋体" w:cs="宋体"/>
              </w:rPr>
              <w:t>通过</w:t>
            </w:r>
            <w:r>
              <w:rPr>
                <w:rFonts w:hint="eastAsia" w:ascii="宋体" w:hAnsi="宋体" w:eastAsia="宋体" w:cs="宋体"/>
              </w:rPr>
              <w:t>近20</w:t>
            </w:r>
            <w:r>
              <w:rPr>
                <w:rFonts w:hint="eastAsia" w:ascii="宋体" w:hAnsi="宋体" w:eastAsia="宋体" w:cs="宋体"/>
              </w:rPr>
              <w:t>年的运行，电站机电设备陈旧老化，效率低下、无消防设施，运行安全隐患较多</w:t>
            </w:r>
            <w:r>
              <w:rPr>
                <w:rFonts w:hint="eastAsia" w:ascii="宋体" w:hAnsi="宋体" w:eastAsia="宋体" w:cs="宋体"/>
              </w:rPr>
              <w:t>，最近</w:t>
            </w:r>
            <w:r>
              <w:rPr>
                <w:rFonts w:hint="eastAsia" w:ascii="宋体" w:hAnsi="宋体" w:eastAsia="宋体" w:cs="宋体"/>
              </w:rPr>
              <w:t>5年</w:t>
            </w:r>
            <w:r>
              <w:rPr>
                <w:rFonts w:hint="eastAsia" w:ascii="宋体" w:hAnsi="宋体" w:eastAsia="宋体" w:cs="宋体"/>
              </w:rPr>
              <w:t>来</w:t>
            </w:r>
            <w:r>
              <w:rPr>
                <w:rFonts w:hint="eastAsia" w:ascii="宋体" w:hAnsi="宋体" w:eastAsia="宋体" w:cs="宋体"/>
              </w:rPr>
              <w:t>平均发电量为3904.58万k</w:t>
            </w:r>
            <w:r>
              <w:rPr>
                <w:rFonts w:hint="eastAsia" w:ascii="宋体" w:hAnsi="宋体" w:eastAsia="宋体" w:cs="宋体"/>
              </w:rPr>
              <w:t>W</w:t>
            </w:r>
            <w:r>
              <w:rPr>
                <w:rFonts w:hint="eastAsia" w:ascii="宋体" w:hAnsi="宋体" w:eastAsia="宋体" w:cs="宋体"/>
              </w:rPr>
              <w:t>.h，实际年利用小时数为5206h，水量利用率为58.1%，水量利用率较低，与合理充分开发利用水能资源的理念相违背，从水资源开发利用角度，电站增效扩容也是十分必要的。因此，为了满足</w:t>
            </w:r>
            <w:r>
              <w:rPr>
                <w:rFonts w:hint="eastAsia" w:ascii="宋体" w:hAnsi="宋体" w:eastAsia="宋体" w:cs="宋体"/>
              </w:rPr>
              <w:t>此次</w:t>
            </w:r>
            <w:r>
              <w:rPr>
                <w:rFonts w:hint="eastAsia" w:ascii="宋体" w:hAnsi="宋体" w:eastAsia="宋体" w:cs="宋体"/>
              </w:rPr>
              <w:t>方竹水电站</w:t>
            </w:r>
            <w:r>
              <w:rPr>
                <w:rFonts w:hint="eastAsia" w:ascii="宋体" w:hAnsi="宋体" w:eastAsia="宋体" w:cs="宋体"/>
              </w:rPr>
              <w:t>增容</w:t>
            </w:r>
            <w:r>
              <w:rPr>
                <w:rFonts w:hint="eastAsia" w:ascii="宋体" w:hAnsi="宋体" w:eastAsia="宋体" w:cs="宋体"/>
              </w:rPr>
              <w:t>改造要求，</w:t>
            </w:r>
            <w:r>
              <w:rPr>
                <w:rFonts w:hint="eastAsia" w:ascii="宋体" w:hAnsi="宋体" w:eastAsia="宋体" w:cs="宋体"/>
              </w:rPr>
              <w:t>特在基础转轮上</w:t>
            </w:r>
            <w:r>
              <w:rPr>
                <w:rFonts w:hint="eastAsia" w:ascii="宋体" w:hAnsi="宋体" w:eastAsia="宋体" w:cs="宋体"/>
              </w:rPr>
              <w:t>开发一个适用于该电站</w:t>
            </w:r>
            <w:r>
              <w:rPr>
                <w:rFonts w:hint="eastAsia" w:ascii="宋体" w:hAnsi="宋体" w:eastAsia="宋体" w:cs="宋体"/>
              </w:rPr>
              <w:t>流道和参数</w:t>
            </w:r>
            <w:r>
              <w:rPr>
                <w:rFonts w:hint="eastAsia" w:ascii="宋体" w:hAnsi="宋体" w:eastAsia="宋体" w:cs="宋体"/>
              </w:rPr>
              <w:t>的新转轮。</w:t>
            </w:r>
          </w:p>
          <w:p>
            <w:pPr>
              <w:tabs>
                <w:tab w:val="left" w:pos="5475"/>
                <w:tab w:val="left" w:pos="5760"/>
              </w:tabs>
              <w:ind w:firstLine="420" w:firstLineChars="200"/>
              <w:rPr>
                <w:rFonts w:hint="eastAsia" w:ascii="宋体" w:hAnsi="宋体" w:eastAsia="宋体" w:cs="宋体"/>
              </w:rPr>
            </w:pPr>
            <w:r>
              <w:rPr>
                <w:rFonts w:hint="eastAsia" w:ascii="宋体" w:hAnsi="宋体" w:eastAsia="宋体" w:cs="宋体"/>
              </w:rPr>
              <w:t>一、主要技术内容</w:t>
            </w:r>
          </w:p>
          <w:p>
            <w:pPr>
              <w:tabs>
                <w:tab w:val="left" w:pos="5475"/>
                <w:tab w:val="left" w:pos="5760"/>
              </w:tabs>
              <w:ind w:firstLine="420" w:firstLineChars="200"/>
              <w:rPr>
                <w:rFonts w:hint="eastAsia" w:ascii="宋体" w:hAnsi="宋体" w:eastAsia="宋体" w:cs="宋体"/>
              </w:rPr>
            </w:pPr>
            <w:r>
              <w:rPr>
                <w:rFonts w:hint="eastAsia" w:ascii="宋体" w:hAnsi="宋体" w:eastAsia="宋体" w:cs="宋体"/>
              </w:rPr>
              <w:t>通过委托西华大学进行余庆方竹电站水轮发电机组增效扩容改造科研方案研究后，针对现有方竹电站流道尺寸和水轮机基本参数，在已有基础转轮的基础上通过应用现代分析计算软件，对基础转轮进行优化设计，使转轮的能量特性、空化特性、稳定性能合理匹配，“量体裁衣”地开发了一个适合于方竹水电站的新转轮进行该电站的改造，改造后水轮机转轮型号为</w:t>
            </w:r>
            <w:r>
              <w:rPr>
                <w:rFonts w:hint="eastAsia" w:ascii="宋体" w:hAnsi="宋体" w:eastAsia="宋体" w:cs="宋体"/>
              </w:rPr>
              <w:t>HLXH21b-LJ-103</w:t>
            </w:r>
            <w:r>
              <w:rPr>
                <w:rFonts w:hint="eastAsia" w:ascii="宋体" w:hAnsi="宋体" w:eastAsia="宋体" w:cs="宋体"/>
              </w:rPr>
              <w:t>，转轮直径为</w:t>
            </w:r>
            <w:r>
              <w:rPr>
                <w:rFonts w:hint="eastAsia" w:ascii="宋体" w:hAnsi="宋体" w:eastAsia="宋体" w:cs="宋体"/>
              </w:rPr>
              <w:t>1.03m</w:t>
            </w:r>
            <w:r>
              <w:rPr>
                <w:rFonts w:hint="eastAsia" w:ascii="宋体" w:hAnsi="宋体" w:eastAsia="宋体" w:cs="宋体"/>
              </w:rPr>
              <w:t>，转轮叶片数</w:t>
            </w:r>
            <w:r>
              <w:rPr>
                <w:rFonts w:hint="eastAsia" w:ascii="宋体" w:hAnsi="宋体" w:eastAsia="宋体" w:cs="宋体"/>
              </w:rPr>
              <w:t>14</w:t>
            </w:r>
            <w:r>
              <w:rPr>
                <w:rFonts w:hint="eastAsia" w:ascii="宋体" w:hAnsi="宋体" w:eastAsia="宋体" w:cs="宋体"/>
              </w:rPr>
              <w:t>片，导叶高度</w:t>
            </w:r>
            <w:r>
              <w:rPr>
                <w:rFonts w:hint="eastAsia" w:ascii="宋体" w:hAnsi="宋体" w:eastAsia="宋体" w:cs="宋体"/>
              </w:rPr>
              <w:t>256mm</w:t>
            </w:r>
            <w:r>
              <w:rPr>
                <w:rFonts w:hint="eastAsia" w:ascii="宋体" w:hAnsi="宋体" w:eastAsia="宋体" w:cs="宋体"/>
              </w:rPr>
              <w:t>，导叶相对高度</w:t>
            </w:r>
            <w:r>
              <w:rPr>
                <w:rFonts w:hint="eastAsia" w:ascii="宋体" w:hAnsi="宋体" w:eastAsia="宋体" w:cs="宋体"/>
              </w:rPr>
              <w:t>0.2485D1</w:t>
            </w:r>
            <w:r>
              <w:rPr>
                <w:rFonts w:hint="eastAsia" w:ascii="宋体" w:hAnsi="宋体" w:eastAsia="宋体" w:cs="宋体"/>
              </w:rPr>
              <w:t>，导叶分布圆直径为</w:t>
            </w:r>
            <w:r>
              <w:rPr>
                <w:rFonts w:hint="eastAsia" w:ascii="宋体" w:hAnsi="宋体" w:eastAsia="宋体" w:cs="宋体"/>
              </w:rPr>
              <w:t>1300mm</w:t>
            </w:r>
            <w:r>
              <w:rPr>
                <w:rFonts w:hint="eastAsia" w:ascii="宋体" w:hAnsi="宋体" w:eastAsia="宋体" w:cs="宋体"/>
              </w:rPr>
              <w:t>，导叶数</w:t>
            </w:r>
            <w:r>
              <w:rPr>
                <w:rFonts w:hint="eastAsia" w:ascii="宋体" w:hAnsi="宋体" w:eastAsia="宋体" w:cs="宋体"/>
              </w:rPr>
              <w:t>16</w:t>
            </w:r>
            <w:r>
              <w:rPr>
                <w:rFonts w:hint="eastAsia" w:ascii="宋体" w:hAnsi="宋体" w:eastAsia="宋体" w:cs="宋体"/>
              </w:rPr>
              <w:t>片，水轮机额定出力</w:t>
            </w:r>
            <w:r>
              <w:rPr>
                <w:rFonts w:hint="eastAsia" w:ascii="宋体" w:hAnsi="宋体" w:eastAsia="宋体" w:cs="宋体"/>
              </w:rPr>
              <w:t>3685kW</w:t>
            </w:r>
            <w:r>
              <w:rPr>
                <w:rFonts w:hint="eastAsia" w:ascii="宋体" w:hAnsi="宋体" w:eastAsia="宋体" w:cs="宋体"/>
              </w:rPr>
              <w:t>，额定水头</w:t>
            </w:r>
            <w:r>
              <w:rPr>
                <w:rFonts w:hint="eastAsia" w:ascii="宋体" w:hAnsi="宋体" w:eastAsia="宋体" w:cs="宋体"/>
              </w:rPr>
              <w:t>48m</w:t>
            </w:r>
            <w:r>
              <w:rPr>
                <w:rFonts w:hint="eastAsia" w:ascii="宋体" w:hAnsi="宋体" w:eastAsia="宋体" w:cs="宋体"/>
              </w:rPr>
              <w:t>，机组额定转速</w:t>
            </w:r>
            <w:r>
              <w:rPr>
                <w:rFonts w:hint="eastAsia" w:ascii="宋体" w:hAnsi="宋体" w:eastAsia="宋体" w:cs="宋体"/>
              </w:rPr>
              <w:t>500r/min</w:t>
            </w:r>
            <w:r>
              <w:rPr>
                <w:rFonts w:hint="eastAsia" w:ascii="宋体" w:hAnsi="宋体" w:eastAsia="宋体" w:cs="宋体"/>
              </w:rPr>
              <w:t>，额定点效率</w:t>
            </w:r>
            <w:r>
              <w:rPr>
                <w:rFonts w:hint="eastAsia" w:ascii="宋体" w:hAnsi="宋体" w:eastAsia="宋体" w:cs="宋体"/>
              </w:rPr>
              <w:t>92 %</w:t>
            </w:r>
            <w:r>
              <w:rPr>
                <w:rFonts w:hint="eastAsia" w:ascii="宋体" w:hAnsi="宋体" w:eastAsia="宋体" w:cs="宋体"/>
              </w:rPr>
              <w:t>，吸出高</w:t>
            </w:r>
            <w:r>
              <w:rPr>
                <w:rFonts w:hint="eastAsia" w:ascii="宋体" w:hAnsi="宋体" w:eastAsia="宋体" w:cs="宋体"/>
              </w:rPr>
              <w:t>-0.2m</w:t>
            </w:r>
            <w:r>
              <w:rPr>
                <w:rFonts w:hint="eastAsia" w:ascii="宋体" w:hAnsi="宋体" w:eastAsia="宋体" w:cs="宋体"/>
              </w:rPr>
              <w:t>，导叶最大开度</w:t>
            </w:r>
            <w:r>
              <w:rPr>
                <w:rFonts w:hint="eastAsia" w:ascii="宋体" w:hAnsi="宋体" w:eastAsia="宋体" w:cs="宋体"/>
              </w:rPr>
              <w:t>151.29mm</w:t>
            </w:r>
            <w:r>
              <w:rPr>
                <w:rFonts w:hint="eastAsia" w:ascii="宋体" w:hAnsi="宋体" w:eastAsia="宋体" w:cs="宋体"/>
              </w:rPr>
              <w:t>。改造后三台发电机出力均可增至</w:t>
            </w:r>
            <w:r>
              <w:rPr>
                <w:rFonts w:hint="eastAsia" w:ascii="宋体" w:hAnsi="宋体" w:eastAsia="宋体" w:cs="宋体"/>
              </w:rPr>
              <w:t>3500kW,</w:t>
            </w:r>
            <w:r>
              <w:rPr>
                <w:rFonts w:hint="eastAsia" w:ascii="宋体" w:hAnsi="宋体" w:eastAsia="宋体" w:cs="宋体"/>
              </w:rPr>
              <w:t>型号为</w:t>
            </w:r>
            <w:r>
              <w:rPr>
                <w:rFonts w:hint="eastAsia" w:ascii="宋体" w:hAnsi="宋体" w:eastAsia="宋体" w:cs="宋体"/>
              </w:rPr>
              <w:t>SF3500-12/2600</w:t>
            </w:r>
            <w:r>
              <w:rPr>
                <w:rFonts w:hint="eastAsia" w:ascii="宋体" w:hAnsi="宋体" w:eastAsia="宋体" w:cs="宋体"/>
              </w:rPr>
              <w:t>。增容改造后，发电机组装机容量达</w:t>
            </w:r>
            <w:r>
              <w:rPr>
                <w:rFonts w:hint="eastAsia" w:ascii="宋体" w:hAnsi="宋体" w:eastAsia="宋体" w:cs="宋体"/>
              </w:rPr>
              <w:t>10.5MW</w:t>
            </w:r>
            <w:r>
              <w:rPr>
                <w:rFonts w:hint="eastAsia" w:ascii="宋体" w:hAnsi="宋体" w:eastAsia="宋体" w:cs="宋体"/>
              </w:rPr>
              <w:t>，较原电站机组增容近</w:t>
            </w:r>
            <w:r>
              <w:rPr>
                <w:rFonts w:hint="eastAsia" w:ascii="宋体" w:hAnsi="宋体" w:eastAsia="宋体" w:cs="宋体"/>
              </w:rPr>
              <w:t>30%.</w:t>
            </w:r>
          </w:p>
          <w:p>
            <w:pPr>
              <w:tabs>
                <w:tab w:val="left" w:pos="5475"/>
                <w:tab w:val="left" w:pos="5760"/>
              </w:tabs>
              <w:ind w:firstLine="420" w:firstLineChars="200"/>
              <w:rPr>
                <w:rFonts w:hint="eastAsia" w:ascii="宋体" w:hAnsi="宋体" w:eastAsia="宋体" w:cs="宋体"/>
              </w:rPr>
            </w:pPr>
            <w:r>
              <w:rPr>
                <w:rFonts w:hint="eastAsia" w:ascii="宋体" w:hAnsi="宋体" w:eastAsia="宋体" w:cs="宋体"/>
              </w:rPr>
              <w:t>二、技术经济指标</w:t>
            </w:r>
          </w:p>
          <w:p>
            <w:pPr>
              <w:tabs>
                <w:tab w:val="left" w:pos="5475"/>
                <w:tab w:val="left" w:pos="5760"/>
              </w:tabs>
              <w:ind w:firstLine="420" w:firstLineChars="200"/>
              <w:rPr>
                <w:rFonts w:hint="eastAsia" w:ascii="宋体" w:hAnsi="宋体" w:eastAsia="宋体" w:cs="宋体"/>
              </w:rPr>
            </w:pPr>
            <w:r>
              <w:rPr>
                <w:rFonts w:hint="eastAsia" w:ascii="宋体" w:hAnsi="宋体" w:eastAsia="宋体" w:cs="宋体"/>
              </w:rPr>
              <w:t>限于水电站运行时间较长（</w:t>
            </w:r>
            <w:r>
              <w:rPr>
                <w:rFonts w:hint="eastAsia" w:ascii="宋体" w:hAnsi="宋体" w:eastAsia="宋体" w:cs="宋体"/>
              </w:rPr>
              <w:t>90</w:t>
            </w:r>
            <w:r>
              <w:rPr>
                <w:rFonts w:hint="eastAsia" w:ascii="宋体" w:hAnsi="宋体" w:eastAsia="宋体" w:cs="宋体"/>
              </w:rPr>
              <w:t>年代以前投产）水电设备制造能力和技术水平落后，水工建筑物均有不同程度损坏，机电设备陈旧老化，水资源利用率降低，导致水轮机出力达不到额定出力的要求。在运行中停机维修频繁，浪费了大量的发电时数，水能资源利用不够充分，效率低、性能差，安全上也存在一定的隐患。加之当年设计相对保守，每年主汛期间弃水严重，技术落后，机组设计水平低，制造工艺差，技术参数低等问题。以及部件老化机组出力受阻，已不能充分利用已开发的水力资源，从而造成水力资源的再度浪费。</w:t>
            </w:r>
          </w:p>
          <w:p>
            <w:pPr>
              <w:tabs>
                <w:tab w:val="left" w:pos="5475"/>
                <w:tab w:val="left" w:pos="5760"/>
              </w:tabs>
              <w:ind w:firstLine="420"/>
              <w:rPr>
                <w:rFonts w:hint="eastAsia" w:ascii="宋体" w:hAnsi="宋体" w:eastAsia="宋体" w:cs="宋体"/>
              </w:rPr>
            </w:pPr>
            <w:r>
              <w:rPr>
                <w:rFonts w:hint="eastAsia" w:ascii="宋体" w:hAnsi="宋体" w:eastAsia="宋体" w:cs="宋体"/>
              </w:rPr>
              <w:t>从经济的角度分析，开发新电站投资大、周期长，而进行水轮机转轮的增容改造由于不需要再建大坝等水工建筑物，故投资很少，见效很快，经济效益很高。一般认为，对老电站的增容改造其投资要比新建电站低</w:t>
            </w:r>
            <w:r>
              <w:rPr>
                <w:rFonts w:hint="eastAsia" w:ascii="宋体" w:hAnsi="宋体" w:eastAsia="宋体" w:cs="宋体"/>
              </w:rPr>
              <w:t>2/3</w:t>
            </w:r>
            <w:r>
              <w:rPr>
                <w:rFonts w:hint="eastAsia" w:ascii="宋体" w:hAnsi="宋体" w:eastAsia="宋体" w:cs="宋体"/>
              </w:rPr>
              <w:t>以上。针对现在的实际，在不改变水工建筑物的条件下主要研究水轮机的增效扩容可行性，为实施该电站实施增效扩容改造提供技术支撑。</w:t>
            </w:r>
          </w:p>
          <w:p>
            <w:pPr>
              <w:pStyle w:val="3"/>
              <w:tabs>
                <w:tab w:val="left" w:pos="5475"/>
                <w:tab w:val="left" w:pos="5760"/>
              </w:tabs>
              <w:kinsoku w:val="0"/>
              <w:overflowPunct w:val="0"/>
              <w:spacing w:before="186"/>
              <w:ind w:right="1763" w:firstLine="420" w:firstLineChars="200"/>
              <w:rPr>
                <w:rFonts w:hint="eastAsia" w:ascii="宋体" w:hAnsi="宋体" w:eastAsia="宋体" w:cs="宋体"/>
                <w:kern w:val="2"/>
                <w:sz w:val="21"/>
              </w:rPr>
            </w:pPr>
            <w:r>
              <w:rPr>
                <w:rFonts w:hint="eastAsia" w:ascii="宋体" w:hAnsi="宋体" w:eastAsia="宋体" w:cs="宋体"/>
                <w:kern w:val="2"/>
                <w:sz w:val="21"/>
              </w:rPr>
              <w:t>三、应用推广</w:t>
            </w:r>
          </w:p>
          <w:p>
            <w:pPr>
              <w:tabs>
                <w:tab w:val="left" w:pos="5475"/>
                <w:tab w:val="left" w:pos="5760"/>
              </w:tabs>
              <w:ind w:firstLine="420"/>
              <w:rPr>
                <w:rFonts w:hint="eastAsia" w:ascii="宋体" w:hAnsi="宋体" w:eastAsia="宋体" w:cs="宋体"/>
              </w:rPr>
            </w:pPr>
            <w:r>
              <w:rPr>
                <w:rFonts w:hint="eastAsia" w:ascii="宋体" w:hAnsi="宋体" w:eastAsia="宋体" w:cs="宋体"/>
              </w:rPr>
              <w:t xml:space="preserve">      1</w:t>
            </w:r>
            <w:r>
              <w:rPr>
                <w:rFonts w:hint="eastAsia" w:ascii="宋体" w:hAnsi="宋体" w:eastAsia="宋体" w:cs="宋体"/>
              </w:rPr>
              <w:t>、方竹电站增效扩容改造成功为黔北水电厂漾头电站增效扩容技改获得水利部批复立项奠定了基础。漾头电站装机容量从</w:t>
            </w:r>
            <w:r>
              <w:rPr>
                <w:rFonts w:hint="eastAsia" w:ascii="宋体" w:hAnsi="宋体" w:eastAsia="宋体" w:cs="宋体"/>
              </w:rPr>
              <w:t>16000kM</w:t>
            </w:r>
            <w:r>
              <w:rPr>
                <w:rFonts w:hint="eastAsia" w:ascii="宋体" w:hAnsi="宋体" w:eastAsia="宋体" w:cs="宋体"/>
              </w:rPr>
              <w:t>增效扩容至</w:t>
            </w:r>
            <w:r>
              <w:rPr>
                <w:rFonts w:hint="eastAsia" w:ascii="宋体" w:hAnsi="宋体" w:eastAsia="宋体" w:cs="宋体"/>
              </w:rPr>
              <w:t>20000kM</w:t>
            </w:r>
            <w:r>
              <w:rPr>
                <w:rFonts w:hint="eastAsia" w:ascii="宋体" w:hAnsi="宋体" w:eastAsia="宋体" w:cs="宋体"/>
              </w:rPr>
              <w:t>，并于</w:t>
            </w:r>
            <w:r>
              <w:rPr>
                <w:rFonts w:hint="eastAsia" w:ascii="宋体" w:hAnsi="宋体" w:eastAsia="宋体" w:cs="宋体"/>
              </w:rPr>
              <w:t>2017</w:t>
            </w:r>
            <w:r>
              <w:rPr>
                <w:rFonts w:hint="eastAsia" w:ascii="宋体" w:hAnsi="宋体" w:eastAsia="宋体" w:cs="宋体"/>
              </w:rPr>
              <w:t>年</w:t>
            </w:r>
            <w:r>
              <w:rPr>
                <w:rFonts w:hint="eastAsia" w:ascii="宋体" w:hAnsi="宋体" w:eastAsia="宋体" w:cs="宋体"/>
              </w:rPr>
              <w:t>4</w:t>
            </w:r>
            <w:r>
              <w:rPr>
                <w:rFonts w:hint="eastAsia" w:ascii="宋体" w:hAnsi="宋体" w:eastAsia="宋体" w:cs="宋体"/>
              </w:rPr>
              <w:t>月</w:t>
            </w:r>
            <w:r>
              <w:rPr>
                <w:rFonts w:hint="eastAsia" w:ascii="宋体" w:hAnsi="宋体" w:eastAsia="宋体" w:cs="宋体"/>
              </w:rPr>
              <w:t>30</w:t>
            </w:r>
            <w:r>
              <w:rPr>
                <w:rFonts w:hint="eastAsia" w:ascii="宋体" w:hAnsi="宋体" w:eastAsia="宋体" w:cs="宋体"/>
              </w:rPr>
              <w:t>日</w:t>
            </w:r>
            <w:r>
              <w:rPr>
                <w:rFonts w:hint="eastAsia" w:ascii="宋体" w:hAnsi="宋体" w:eastAsia="宋体" w:cs="宋体"/>
              </w:rPr>
              <w:t>2</w:t>
            </w:r>
            <w:r>
              <w:rPr>
                <w:rFonts w:hint="eastAsia" w:ascii="宋体" w:hAnsi="宋体" w:eastAsia="宋体" w:cs="宋体"/>
              </w:rPr>
              <w:t>台机组改造实施完成并网发电。</w:t>
            </w:r>
          </w:p>
          <w:p>
            <w:pPr>
              <w:pStyle w:val="4"/>
              <w:tabs>
                <w:tab w:val="left" w:pos="5475"/>
                <w:tab w:val="left" w:pos="5760"/>
              </w:tabs>
              <w:spacing w:line="390" w:lineRule="exact"/>
              <w:ind w:firstLine="420"/>
              <w:rPr>
                <w:rFonts w:hint="eastAsia" w:ascii="宋体" w:hAnsi="宋体" w:eastAsia="宋体" w:cs="宋体"/>
                <w:sz w:val="21"/>
              </w:rPr>
            </w:pPr>
            <w:r>
              <w:rPr>
                <w:rFonts w:hint="eastAsia" w:ascii="宋体" w:hAnsi="宋体" w:eastAsia="宋体" w:cs="宋体"/>
                <w:sz w:val="21"/>
              </w:rPr>
              <w:t xml:space="preserve">    2</w:t>
            </w:r>
            <w:r>
              <w:rPr>
                <w:rFonts w:hint="eastAsia" w:ascii="宋体" w:hAnsi="宋体" w:eastAsia="宋体" w:cs="宋体"/>
                <w:sz w:val="21"/>
              </w:rPr>
              <w:t>、</w:t>
            </w:r>
            <w:r>
              <w:rPr>
                <w:rFonts w:hint="eastAsia" w:ascii="宋体" w:hAnsi="宋体" w:eastAsia="宋体" w:cs="宋体"/>
                <w:sz w:val="21"/>
              </w:rPr>
              <w:t>2017</w:t>
            </w:r>
            <w:r>
              <w:rPr>
                <w:rFonts w:hint="eastAsia" w:ascii="宋体" w:hAnsi="宋体" w:eastAsia="宋体" w:cs="宋体"/>
                <w:sz w:val="21"/>
              </w:rPr>
              <w:t>年</w:t>
            </w:r>
            <w:r>
              <w:rPr>
                <w:rFonts w:hint="eastAsia" w:ascii="宋体" w:hAnsi="宋体" w:eastAsia="宋体" w:cs="宋体"/>
                <w:sz w:val="21"/>
              </w:rPr>
              <w:t>6</w:t>
            </w:r>
            <w:r>
              <w:rPr>
                <w:rFonts w:hint="eastAsia" w:ascii="宋体" w:hAnsi="宋体" w:eastAsia="宋体" w:cs="宋体"/>
                <w:sz w:val="21"/>
              </w:rPr>
              <w:t>月，国家水利部一行到黔北水电厂方竹电站检查增效扩容改造项目完成情况，高度评价改造的效果和社会效益，提出再次奖励黔北水电厂一座增效扩容的项目，黔北水电厂现暂无可继续开展增效扩容的电站。黔北电厂将水利部奖励的项目推荐到贵州金元蒙江水力发电厂石门砍电站实施改造，电站装机从容量从</w:t>
            </w:r>
            <w:r>
              <w:rPr>
                <w:rFonts w:hint="eastAsia" w:ascii="宋体" w:hAnsi="宋体" w:eastAsia="宋体" w:cs="宋体"/>
                <w:sz w:val="21"/>
              </w:rPr>
              <w:t>9600kM</w:t>
            </w:r>
            <w:r>
              <w:rPr>
                <w:rFonts w:hint="eastAsia" w:ascii="宋体" w:hAnsi="宋体" w:eastAsia="宋体" w:cs="宋体"/>
                <w:sz w:val="21"/>
              </w:rPr>
              <w:t>增效扩容至</w:t>
            </w:r>
            <w:r>
              <w:rPr>
                <w:rFonts w:hint="eastAsia" w:ascii="宋体" w:hAnsi="宋体" w:eastAsia="宋体" w:cs="宋体"/>
                <w:sz w:val="21"/>
              </w:rPr>
              <w:t>10500kM</w:t>
            </w:r>
            <w:r>
              <w:rPr>
                <w:rFonts w:hint="eastAsia" w:ascii="宋体" w:hAnsi="宋体" w:eastAsia="宋体" w:cs="宋体"/>
                <w:sz w:val="21"/>
              </w:rPr>
              <w:t>，并于</w:t>
            </w:r>
            <w:r>
              <w:rPr>
                <w:rFonts w:hint="eastAsia" w:ascii="宋体" w:hAnsi="宋体" w:eastAsia="宋体" w:cs="宋体"/>
                <w:sz w:val="21"/>
              </w:rPr>
              <w:t>2019</w:t>
            </w:r>
            <w:r>
              <w:rPr>
                <w:rFonts w:hint="eastAsia" w:ascii="宋体" w:hAnsi="宋体" w:eastAsia="宋体" w:cs="宋体"/>
                <w:sz w:val="21"/>
              </w:rPr>
              <w:t>年</w:t>
            </w:r>
            <w:r>
              <w:rPr>
                <w:rFonts w:hint="eastAsia" w:ascii="宋体" w:hAnsi="宋体" w:eastAsia="宋体" w:cs="宋体"/>
                <w:sz w:val="21"/>
              </w:rPr>
              <w:t>4</w:t>
            </w:r>
            <w:r>
              <w:rPr>
                <w:rFonts w:hint="eastAsia" w:ascii="宋体" w:hAnsi="宋体" w:eastAsia="宋体" w:cs="宋体"/>
                <w:sz w:val="21"/>
              </w:rPr>
              <w:t>月</w:t>
            </w:r>
            <w:r>
              <w:rPr>
                <w:rFonts w:hint="eastAsia" w:ascii="宋体" w:hAnsi="宋体" w:eastAsia="宋体" w:cs="宋体"/>
                <w:sz w:val="21"/>
              </w:rPr>
              <w:t>30</w:t>
            </w:r>
            <w:r>
              <w:rPr>
                <w:rFonts w:hint="eastAsia" w:ascii="宋体" w:hAnsi="宋体" w:eastAsia="宋体" w:cs="宋体"/>
                <w:sz w:val="21"/>
              </w:rPr>
              <w:t>日完成并网发电。</w:t>
            </w:r>
            <w:r>
              <w:rPr>
                <w:rFonts w:hint="eastAsia" w:ascii="宋体" w:hAnsi="宋体" w:eastAsia="宋体" w:cs="宋体"/>
                <w:sz w:val="21"/>
              </w:rPr>
              <w:br w:type="textWrapping"/>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66" w:hRule="atLeast"/>
        </w:trPr>
        <w:tc>
          <w:tcPr>
            <w:tcW w:w="5000" w:type="pct"/>
            <w:gridSpan w:val="10"/>
            <w:shd w:val="clear" w:color="auto" w:fill="FFFFFF"/>
            <w:vAlign w:val="center"/>
          </w:tcPr>
          <w:p>
            <w:pPr>
              <w:widowControl/>
              <w:jc w:val="center"/>
              <w:rPr>
                <w:rFonts w:hint="eastAsia" w:ascii="宋体" w:hAnsi="宋体" w:eastAsia="宋体" w:cs="宋体"/>
                <w:kern w:val="0"/>
                <w:sz w:val="24"/>
              </w:rPr>
            </w:pPr>
            <w:r>
              <w:rPr>
                <w:rFonts w:hint="eastAsia" w:ascii="宋体" w:hAnsi="宋体" w:eastAsia="宋体" w:cs="宋体"/>
                <w:b/>
                <w:sz w:val="24"/>
              </w:rPr>
              <w:t>主要知识产权和标准规范等目录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6" w:type="pct"/>
          <w:trHeight w:val="567" w:hRule="atLeast"/>
        </w:trPr>
        <w:tc>
          <w:tcPr>
            <w:tcW w:w="262"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序号</w:t>
            </w:r>
          </w:p>
        </w:tc>
        <w:tc>
          <w:tcPr>
            <w:tcW w:w="506"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知识产权类    别</w:t>
            </w:r>
          </w:p>
        </w:tc>
        <w:tc>
          <w:tcPr>
            <w:tcW w:w="763"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知识产权</w:t>
            </w:r>
          </w:p>
          <w:p>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具体名称</w:t>
            </w:r>
          </w:p>
        </w:tc>
        <w:tc>
          <w:tcPr>
            <w:tcW w:w="423"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国家</w:t>
            </w:r>
          </w:p>
          <w:p>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（地区）</w:t>
            </w:r>
          </w:p>
        </w:tc>
        <w:tc>
          <w:tcPr>
            <w:tcW w:w="486"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授权号</w:t>
            </w:r>
          </w:p>
        </w:tc>
        <w:tc>
          <w:tcPr>
            <w:tcW w:w="446"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授权日期</w:t>
            </w:r>
          </w:p>
        </w:tc>
        <w:tc>
          <w:tcPr>
            <w:tcW w:w="424"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证书编号</w:t>
            </w:r>
          </w:p>
        </w:tc>
        <w:tc>
          <w:tcPr>
            <w:tcW w:w="932"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权利人</w:t>
            </w:r>
          </w:p>
        </w:tc>
        <w:tc>
          <w:tcPr>
            <w:tcW w:w="752"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发明人</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gridAfter w:val="1"/>
          <w:wAfter w:w="6" w:type="pct"/>
          <w:trHeight w:val="567" w:hRule="atLeast"/>
        </w:trPr>
        <w:tc>
          <w:tcPr>
            <w:tcW w:w="262"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1</w:t>
            </w:r>
          </w:p>
        </w:tc>
        <w:tc>
          <w:tcPr>
            <w:tcW w:w="506"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科技查新报告</w:t>
            </w:r>
          </w:p>
        </w:tc>
        <w:tc>
          <w:tcPr>
            <w:tcW w:w="763"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水电站水轮发电机组增效扩容研究</w:t>
            </w:r>
          </w:p>
        </w:tc>
        <w:tc>
          <w:tcPr>
            <w:tcW w:w="423"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中国</w:t>
            </w:r>
          </w:p>
        </w:tc>
        <w:tc>
          <w:tcPr>
            <w:tcW w:w="486"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宋体" w:hAnsi="宋体" w:eastAsia="宋体" w:cs="宋体"/>
                <w:color w:val="000000"/>
                <w:kern w:val="0"/>
                <w:sz w:val="18"/>
                <w:szCs w:val="18"/>
              </w:rPr>
            </w:pPr>
          </w:p>
        </w:tc>
        <w:tc>
          <w:tcPr>
            <w:tcW w:w="446"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201</w:t>
            </w:r>
            <w:r>
              <w:rPr>
                <w:rFonts w:hint="eastAsia" w:ascii="宋体" w:hAnsi="宋体" w:eastAsia="宋体" w:cs="宋体"/>
                <w:color w:val="000000"/>
                <w:kern w:val="0"/>
                <w:sz w:val="18"/>
                <w:szCs w:val="18"/>
              </w:rPr>
              <w:t>7</w:t>
            </w:r>
            <w:r>
              <w:rPr>
                <w:rFonts w:hint="eastAsia" w:ascii="宋体" w:hAnsi="宋体" w:eastAsia="宋体" w:cs="宋体"/>
                <w:color w:val="000000"/>
                <w:kern w:val="0"/>
                <w:sz w:val="18"/>
                <w:szCs w:val="18"/>
              </w:rPr>
              <w:t>.</w:t>
            </w:r>
            <w:r>
              <w:rPr>
                <w:rFonts w:hint="eastAsia" w:ascii="宋体" w:hAnsi="宋体" w:eastAsia="宋体" w:cs="宋体"/>
                <w:color w:val="000000"/>
                <w:kern w:val="0"/>
                <w:sz w:val="18"/>
                <w:szCs w:val="18"/>
              </w:rPr>
              <w:t>10</w:t>
            </w:r>
            <w:r>
              <w:rPr>
                <w:rFonts w:hint="eastAsia" w:ascii="宋体" w:hAnsi="宋体" w:eastAsia="宋体" w:cs="宋体"/>
                <w:color w:val="000000"/>
                <w:kern w:val="0"/>
                <w:sz w:val="18"/>
                <w:szCs w:val="18"/>
              </w:rPr>
              <w:t>.</w:t>
            </w:r>
            <w:r>
              <w:rPr>
                <w:rFonts w:hint="eastAsia" w:ascii="宋体" w:hAnsi="宋体" w:eastAsia="宋体" w:cs="宋体"/>
                <w:color w:val="000000"/>
                <w:kern w:val="0"/>
                <w:sz w:val="18"/>
                <w:szCs w:val="18"/>
              </w:rPr>
              <w:t>09</w:t>
            </w:r>
          </w:p>
          <w:p>
            <w:pPr>
              <w:widowControl/>
              <w:adjustRightInd w:val="0"/>
              <w:snapToGrid w:val="0"/>
              <w:jc w:val="center"/>
              <w:rPr>
                <w:rFonts w:hint="eastAsia" w:ascii="宋体" w:hAnsi="宋体" w:eastAsia="宋体" w:cs="宋体"/>
                <w:color w:val="000000"/>
                <w:kern w:val="0"/>
                <w:sz w:val="18"/>
                <w:szCs w:val="18"/>
              </w:rPr>
            </w:pPr>
          </w:p>
        </w:tc>
        <w:tc>
          <w:tcPr>
            <w:tcW w:w="424"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2017085220011</w:t>
            </w:r>
          </w:p>
        </w:tc>
        <w:tc>
          <w:tcPr>
            <w:tcW w:w="932"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贵州中水能源股份有限公司遵义分公司</w:t>
            </w:r>
          </w:p>
        </w:tc>
        <w:tc>
          <w:tcPr>
            <w:tcW w:w="752" w:type="pct"/>
            <w:tcBorders>
              <w:top w:val="single" w:color="auto" w:sz="8" w:space="0"/>
              <w:left w:val="single" w:color="auto" w:sz="8" w:space="0"/>
              <w:bottom w:val="single" w:color="auto" w:sz="8" w:space="0"/>
              <w:right w:val="single" w:color="auto" w:sz="8" w:space="0"/>
            </w:tcBorders>
            <w:vAlign w:val="center"/>
          </w:tcPr>
          <w:p>
            <w:pPr>
              <w:widowControl/>
              <w:adjustRightInd w:val="0"/>
              <w:snapToGrid w:val="0"/>
              <w:jc w:val="center"/>
              <w:rPr>
                <w:rFonts w:hint="eastAsia" w:ascii="宋体" w:hAnsi="宋体" w:eastAsia="宋体" w:cs="宋体"/>
                <w:color w:val="000000"/>
                <w:kern w:val="0"/>
                <w:sz w:val="18"/>
                <w:szCs w:val="18"/>
              </w:rPr>
            </w:pPr>
            <w:r>
              <w:rPr>
                <w:rFonts w:hint="eastAsia" w:ascii="宋体" w:hAnsi="宋体" w:eastAsia="宋体" w:cs="宋体"/>
                <w:color w:val="000000"/>
                <w:kern w:val="0"/>
                <w:sz w:val="18"/>
                <w:szCs w:val="18"/>
              </w:rPr>
              <w:t>杨秀勇、陈进、邓家勇、王小军、吴秀才、田齐、刘世伟</w:t>
            </w:r>
            <w:r>
              <w:rPr>
                <w:rFonts w:hint="eastAsia" w:ascii="宋体" w:hAnsi="宋体" w:eastAsia="宋体" w:cs="宋体"/>
                <w:sz w:val="32"/>
                <w:szCs w:val="32"/>
              </w:rPr>
              <w:br w:type="textWrapping"/>
            </w:r>
          </w:p>
        </w:tc>
      </w:tr>
    </w:tbl>
    <w:tbl>
      <w:tblPr>
        <w:tblStyle w:val="8"/>
        <w:tblW w:w="4908" w:type="pct"/>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4"/>
        <w:gridCol w:w="1112"/>
        <w:gridCol w:w="1138"/>
        <w:gridCol w:w="13"/>
        <w:gridCol w:w="1604"/>
        <w:gridCol w:w="80"/>
        <w:gridCol w:w="20"/>
        <w:gridCol w:w="970"/>
        <w:gridCol w:w="142"/>
        <w:gridCol w:w="1412"/>
        <w:gridCol w:w="1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exact"/>
        </w:trPr>
        <w:tc>
          <w:tcPr>
            <w:tcW w:w="277" w:type="pct"/>
            <w:vMerge w:val="restar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第1完成人</w:t>
            </w:r>
          </w:p>
        </w:tc>
        <w:tc>
          <w:tcPr>
            <w:tcW w:w="66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姓  名</w:t>
            </w:r>
          </w:p>
        </w:tc>
        <w:tc>
          <w:tcPr>
            <w:tcW w:w="680" w:type="pct"/>
            <w:shd w:val="clear" w:color="000000" w:fill="FFFFFF"/>
            <w:vAlign w:val="center"/>
          </w:tcPr>
          <w:p>
            <w:pPr>
              <w:widowControl/>
              <w:adjustRightInd w:val="0"/>
              <w:snapToGrid w:val="0"/>
              <w:jc w:val="center"/>
              <w:rPr>
                <w:rFonts w:hint="eastAsia" w:ascii="宋体" w:hAnsi="宋体" w:eastAsia="宋体" w:cs="宋体"/>
                <w:kern w:val="0"/>
                <w:szCs w:val="21"/>
              </w:rPr>
            </w:pPr>
            <w:r>
              <w:rPr>
                <w:rFonts w:hint="eastAsia" w:ascii="宋体" w:hAnsi="宋体" w:eastAsia="宋体" w:cs="宋体"/>
                <w:color w:val="000000"/>
                <w:kern w:val="0"/>
                <w:szCs w:val="21"/>
              </w:rPr>
              <w:t>杨秀勇</w:t>
            </w:r>
          </w:p>
        </w:tc>
        <w:tc>
          <w:tcPr>
            <w:tcW w:w="1014" w:type="pct"/>
            <w:gridSpan w:val="3"/>
            <w:shd w:val="clear" w:color="000000" w:fill="FFFFFF"/>
            <w:vAlign w:val="center"/>
          </w:tcPr>
          <w:p>
            <w:pPr>
              <w:widowControl/>
              <w:adjustRightInd w:val="0"/>
              <w:snapToGrid w:val="0"/>
              <w:jc w:val="center"/>
              <w:rPr>
                <w:rFonts w:hint="eastAsia" w:ascii="宋体" w:hAnsi="宋体" w:eastAsia="宋体" w:cs="宋体"/>
                <w:kern w:val="0"/>
                <w:szCs w:val="21"/>
              </w:rPr>
            </w:pPr>
            <w:r>
              <w:rPr>
                <w:rFonts w:hint="eastAsia" w:ascii="宋体" w:hAnsi="宋体" w:eastAsia="宋体" w:cs="宋体"/>
                <w:kern w:val="0"/>
                <w:szCs w:val="21"/>
              </w:rPr>
              <w:t>行政职务</w:t>
            </w:r>
          </w:p>
        </w:tc>
        <w:tc>
          <w:tcPr>
            <w:tcW w:w="677" w:type="pct"/>
            <w:gridSpan w:val="3"/>
            <w:shd w:val="clear" w:color="000000" w:fill="FFFFFF"/>
            <w:vAlign w:val="center"/>
          </w:tcPr>
          <w:p>
            <w:pPr>
              <w:widowControl/>
              <w:adjustRightInd w:val="0"/>
              <w:snapToGrid w:val="0"/>
              <w:jc w:val="center"/>
              <w:rPr>
                <w:rFonts w:hint="eastAsia" w:ascii="宋体" w:hAnsi="宋体" w:eastAsia="宋体" w:cs="宋体"/>
                <w:kern w:val="0"/>
                <w:szCs w:val="21"/>
              </w:rPr>
            </w:pPr>
            <w:r>
              <w:rPr>
                <w:rFonts w:hint="eastAsia" w:ascii="宋体" w:hAnsi="宋体" w:eastAsia="宋体" w:cs="宋体"/>
                <w:kern w:val="0"/>
                <w:szCs w:val="21"/>
              </w:rPr>
              <w:t>主任</w:t>
            </w:r>
          </w:p>
        </w:tc>
        <w:tc>
          <w:tcPr>
            <w:tcW w:w="844" w:type="pct"/>
            <w:shd w:val="clear" w:color="000000" w:fill="FFFFFF"/>
            <w:vAlign w:val="center"/>
          </w:tcPr>
          <w:p>
            <w:pPr>
              <w:widowControl/>
              <w:adjustRightInd w:val="0"/>
              <w:snapToGrid w:val="0"/>
              <w:jc w:val="center"/>
              <w:rPr>
                <w:rFonts w:hint="eastAsia" w:ascii="宋体" w:hAnsi="宋体" w:eastAsia="宋体" w:cs="宋体"/>
                <w:kern w:val="0"/>
                <w:szCs w:val="21"/>
              </w:rPr>
            </w:pPr>
            <w:r>
              <w:rPr>
                <w:rFonts w:hint="eastAsia" w:ascii="宋体" w:hAnsi="宋体" w:eastAsia="宋体" w:cs="宋体"/>
                <w:kern w:val="0"/>
                <w:szCs w:val="21"/>
              </w:rPr>
              <w:t>技术职称</w:t>
            </w:r>
          </w:p>
        </w:tc>
        <w:tc>
          <w:tcPr>
            <w:tcW w:w="844" w:type="pct"/>
            <w:shd w:val="clear" w:color="000000" w:fill="FFFFFF"/>
            <w:vAlign w:val="center"/>
          </w:tcPr>
          <w:p>
            <w:pPr>
              <w:widowControl/>
              <w:adjustRightInd w:val="0"/>
              <w:snapToGrid w:val="0"/>
              <w:rPr>
                <w:rFonts w:hint="eastAsia" w:ascii="宋体" w:hAnsi="宋体" w:eastAsia="宋体" w:cs="宋体"/>
                <w:kern w:val="0"/>
                <w:szCs w:val="21"/>
              </w:rPr>
            </w:pPr>
            <w:r>
              <w:rPr>
                <w:rFonts w:hint="eastAsia" w:ascii="宋体" w:hAnsi="宋体" w:eastAsia="宋体" w:cs="宋体"/>
                <w:kern w:val="0"/>
                <w:szCs w:val="21"/>
              </w:rPr>
              <w:t>高级工程师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exact"/>
        </w:trPr>
        <w:tc>
          <w:tcPr>
            <w:tcW w:w="277" w:type="pct"/>
            <w:vMerge w:val="continue"/>
            <w:shd w:val="clear" w:color="000000" w:fill="FFFFFF"/>
            <w:vAlign w:val="center"/>
          </w:tcPr>
          <w:p>
            <w:pPr>
              <w:widowControl/>
              <w:adjustRightInd w:val="0"/>
              <w:snapToGrid w:val="0"/>
              <w:rPr>
                <w:rFonts w:hint="eastAsia" w:ascii="宋体" w:hAnsi="宋体" w:eastAsia="宋体" w:cs="宋体"/>
                <w:color w:val="000000"/>
                <w:kern w:val="0"/>
                <w:szCs w:val="21"/>
              </w:rPr>
            </w:pPr>
          </w:p>
        </w:tc>
        <w:tc>
          <w:tcPr>
            <w:tcW w:w="66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完成单位</w:t>
            </w:r>
          </w:p>
        </w:tc>
        <w:tc>
          <w:tcPr>
            <w:tcW w:w="1695" w:type="pct"/>
            <w:gridSpan w:val="4"/>
            <w:shd w:val="clear" w:color="000000" w:fill="FFFFFF"/>
            <w:vAlign w:val="center"/>
          </w:tcPr>
          <w:p>
            <w:pPr>
              <w:widowControl/>
              <w:adjustRightInd w:val="0"/>
              <w:snapToGrid w:val="0"/>
              <w:rPr>
                <w:rFonts w:hint="eastAsia" w:ascii="宋体" w:hAnsi="宋体" w:eastAsia="宋体" w:cs="宋体"/>
                <w:kern w:val="0"/>
                <w:szCs w:val="21"/>
              </w:rPr>
            </w:pPr>
            <w:r>
              <w:rPr>
                <w:rFonts w:hint="eastAsia" w:ascii="宋体" w:hAnsi="宋体" w:eastAsia="宋体" w:cs="宋体"/>
                <w:kern w:val="0"/>
                <w:szCs w:val="21"/>
              </w:rPr>
              <w:t>贵州中水能源股份有限公司遵义分公司</w:t>
            </w:r>
          </w:p>
        </w:tc>
        <w:tc>
          <w:tcPr>
            <w:tcW w:w="677" w:type="pct"/>
            <w:gridSpan w:val="3"/>
            <w:shd w:val="clear" w:color="000000" w:fill="FFFFFF"/>
            <w:vAlign w:val="center"/>
          </w:tcPr>
          <w:p>
            <w:pPr>
              <w:widowControl/>
              <w:adjustRightInd w:val="0"/>
              <w:snapToGrid w:val="0"/>
              <w:jc w:val="center"/>
              <w:rPr>
                <w:rFonts w:hint="eastAsia" w:ascii="宋体" w:hAnsi="宋体" w:eastAsia="宋体" w:cs="宋体"/>
                <w:kern w:val="0"/>
                <w:szCs w:val="21"/>
              </w:rPr>
            </w:pPr>
            <w:r>
              <w:rPr>
                <w:rFonts w:hint="eastAsia" w:ascii="宋体" w:hAnsi="宋体" w:eastAsia="宋体" w:cs="宋体"/>
                <w:kern w:val="0"/>
                <w:szCs w:val="21"/>
              </w:rPr>
              <w:t>工作单位</w:t>
            </w:r>
          </w:p>
        </w:tc>
        <w:tc>
          <w:tcPr>
            <w:tcW w:w="1688" w:type="pct"/>
            <w:gridSpan w:val="2"/>
            <w:shd w:val="clear" w:color="000000" w:fill="FFFFFF"/>
            <w:vAlign w:val="center"/>
          </w:tcPr>
          <w:p>
            <w:pPr>
              <w:widowControl/>
              <w:adjustRightInd w:val="0"/>
              <w:snapToGrid w:val="0"/>
              <w:rPr>
                <w:rFonts w:hint="eastAsia" w:ascii="宋体" w:hAnsi="宋体" w:eastAsia="宋体" w:cs="宋体"/>
                <w:kern w:val="0"/>
                <w:szCs w:val="21"/>
              </w:rPr>
            </w:pPr>
            <w:r>
              <w:rPr>
                <w:rFonts w:hint="eastAsia" w:ascii="宋体" w:hAnsi="宋体" w:eastAsia="宋体" w:cs="宋体"/>
                <w:kern w:val="0"/>
                <w:szCs w:val="21"/>
              </w:rPr>
              <w:t>国家电投贵州金元水电部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277" w:type="pct"/>
            <w:vMerge w:val="continue"/>
            <w:shd w:val="clear" w:color="000000" w:fill="FFFFFF"/>
            <w:vAlign w:val="center"/>
          </w:tcPr>
          <w:p>
            <w:pPr>
              <w:widowControl/>
              <w:adjustRightInd w:val="0"/>
              <w:snapToGrid w:val="0"/>
              <w:rPr>
                <w:rFonts w:hint="eastAsia" w:ascii="宋体" w:hAnsi="宋体" w:eastAsia="宋体" w:cs="宋体"/>
                <w:color w:val="000000"/>
                <w:kern w:val="0"/>
                <w:szCs w:val="21"/>
              </w:rPr>
            </w:pPr>
          </w:p>
        </w:tc>
        <w:tc>
          <w:tcPr>
            <w:tcW w:w="66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对本项目技术创造性贡献</w:t>
            </w:r>
          </w:p>
        </w:tc>
        <w:tc>
          <w:tcPr>
            <w:tcW w:w="4059" w:type="pct"/>
            <w:gridSpan w:val="9"/>
            <w:shd w:val="clear" w:color="000000" w:fill="FFFFFF"/>
            <w:vAlign w:val="center"/>
          </w:tcPr>
          <w:p>
            <w:pPr>
              <w:rPr>
                <w:rFonts w:hint="eastAsia" w:ascii="宋体" w:hAnsi="宋体" w:eastAsia="宋体" w:cs="宋体"/>
              </w:rPr>
            </w:pPr>
            <w:r>
              <w:rPr>
                <w:rFonts w:hint="eastAsia" w:ascii="宋体" w:hAnsi="宋体" w:eastAsia="宋体" w:cs="宋体"/>
              </w:rPr>
              <w:t>l.</w:t>
            </w:r>
            <w:r>
              <w:rPr>
                <w:rFonts w:hint="eastAsia" w:ascii="宋体" w:hAnsi="宋体" w:eastAsia="宋体" w:cs="宋体"/>
              </w:rPr>
              <w:t>多次组织相关领导及项目部人员与西华大学研讨转轮选型方案，对西华大学制定的“余庆方竹水电站发电机组增效扩容科研方案报告”进行核实与审定，</w:t>
            </w:r>
            <w:r>
              <w:rPr>
                <w:rFonts w:hint="eastAsia" w:ascii="宋体" w:hAnsi="宋体" w:eastAsia="宋体" w:cs="宋体"/>
              </w:rPr>
              <w:t xml:space="preserve"> </w:t>
            </w:r>
            <w:r>
              <w:rPr>
                <w:rFonts w:hint="eastAsia" w:ascii="宋体" w:hAnsi="宋体" w:eastAsia="宋体" w:cs="宋体"/>
              </w:rPr>
              <w:t>以确保水轮机额定出力达到</w:t>
            </w:r>
            <w:r>
              <w:rPr>
                <w:rFonts w:hint="eastAsia" w:ascii="宋体" w:hAnsi="宋体" w:eastAsia="宋体" w:cs="宋体"/>
              </w:rPr>
              <w:t xml:space="preserve"> 3685kW;</w:t>
            </w:r>
          </w:p>
          <w:p>
            <w:pPr>
              <w:widowControl/>
              <w:adjustRightInd w:val="0"/>
              <w:snapToGrid w:val="0"/>
              <w:ind w:firstLine="440" w:firstLineChars="200"/>
              <w:jc w:val="left"/>
              <w:rPr>
                <w:rFonts w:hint="eastAsia" w:ascii="宋体" w:hAnsi="宋体" w:eastAsia="宋体" w:cs="宋体"/>
                <w:kern w:val="0"/>
                <w:szCs w:val="21"/>
              </w:rPr>
            </w:pPr>
            <w:r>
              <w:rPr>
                <w:rFonts w:hint="eastAsia" w:ascii="宋体" w:hAnsi="宋体" w:eastAsia="宋体" w:cs="宋体"/>
                <w:sz w:val="22"/>
                <w:szCs w:val="22"/>
              </w:rPr>
              <w:t>2.</w:t>
            </w:r>
            <w:r>
              <w:rPr>
                <w:rFonts w:hint="eastAsia" w:ascii="宋体" w:hAnsi="宋体" w:eastAsia="宋体" w:cs="宋体"/>
                <w:sz w:val="22"/>
                <w:szCs w:val="22"/>
              </w:rPr>
              <w:t>项目施工期间，长期到电站指导工作，协调解决施工遇到的问题。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77" w:type="pct"/>
            <w:vMerge w:val="restar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第2完成人</w:t>
            </w:r>
          </w:p>
        </w:tc>
        <w:tc>
          <w:tcPr>
            <w:tcW w:w="66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姓  名</w:t>
            </w:r>
          </w:p>
        </w:tc>
        <w:tc>
          <w:tcPr>
            <w:tcW w:w="680"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陈进</w:t>
            </w:r>
          </w:p>
        </w:tc>
        <w:tc>
          <w:tcPr>
            <w:tcW w:w="1014" w:type="pct"/>
            <w:gridSpan w:val="3"/>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行政职务</w:t>
            </w:r>
          </w:p>
        </w:tc>
        <w:tc>
          <w:tcPr>
            <w:tcW w:w="677" w:type="pct"/>
            <w:gridSpan w:val="3"/>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书记</w:t>
            </w:r>
          </w:p>
        </w:tc>
        <w:tc>
          <w:tcPr>
            <w:tcW w:w="84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技术职称</w:t>
            </w:r>
          </w:p>
        </w:tc>
        <w:tc>
          <w:tcPr>
            <w:tcW w:w="844" w:type="pct"/>
            <w:shd w:val="clear" w:color="000000" w:fill="FFFFFF"/>
            <w:vAlign w:val="center"/>
          </w:tcPr>
          <w:p>
            <w:pPr>
              <w:widowControl/>
              <w:adjustRightInd w:val="0"/>
              <w:snapToGrid w:val="0"/>
              <w:rPr>
                <w:rFonts w:hint="eastAsia" w:ascii="宋体" w:hAnsi="宋体" w:eastAsia="宋体" w:cs="宋体"/>
                <w:color w:val="000000"/>
                <w:kern w:val="0"/>
                <w:szCs w:val="21"/>
              </w:rPr>
            </w:pPr>
            <w:r>
              <w:rPr>
                <w:rFonts w:hint="eastAsia" w:ascii="宋体" w:hAnsi="宋体" w:eastAsia="宋体" w:cs="宋体"/>
                <w:color w:val="000000"/>
                <w:kern w:val="0"/>
                <w:szCs w:val="21"/>
              </w:rPr>
              <w:t>高级工程师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exact"/>
        </w:trPr>
        <w:tc>
          <w:tcPr>
            <w:tcW w:w="277" w:type="pct"/>
            <w:vMerge w:val="continue"/>
            <w:shd w:val="clear" w:color="000000" w:fill="FFFFFF"/>
            <w:vAlign w:val="center"/>
          </w:tcPr>
          <w:p>
            <w:pPr>
              <w:widowControl/>
              <w:adjustRightInd w:val="0"/>
              <w:snapToGrid w:val="0"/>
              <w:jc w:val="center"/>
              <w:rPr>
                <w:rFonts w:hint="eastAsia" w:ascii="宋体" w:hAnsi="宋体" w:eastAsia="宋体" w:cs="宋体"/>
                <w:color w:val="000000"/>
                <w:kern w:val="0"/>
                <w:szCs w:val="21"/>
              </w:rPr>
            </w:pPr>
          </w:p>
        </w:tc>
        <w:tc>
          <w:tcPr>
            <w:tcW w:w="66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完成单位</w:t>
            </w:r>
          </w:p>
        </w:tc>
        <w:tc>
          <w:tcPr>
            <w:tcW w:w="1695" w:type="pct"/>
            <w:gridSpan w:val="4"/>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rPr>
              <w:fldChar w:fldCharType="begin"/>
            </w:r>
            <w:r>
              <w:rPr>
                <w:rFonts w:hint="eastAsia" w:ascii="宋体" w:hAnsi="宋体" w:eastAsia="宋体" w:cs="宋体"/>
              </w:rPr>
              <w:instrText xml:space="preserve"> HYPERLINK "http://www.baidu.com/link?url=cmTqdyTrzAI6aGhLFqkQPBBxtMjgjhApBWNs2MPCU4m" \t "_blank" </w:instrText>
            </w:r>
            <w:r>
              <w:rPr>
                <w:rFonts w:hint="eastAsia" w:ascii="宋体" w:hAnsi="宋体" w:eastAsia="宋体" w:cs="宋体"/>
              </w:rPr>
              <w:fldChar w:fldCharType="separate"/>
            </w:r>
            <w:r>
              <w:rPr>
                <w:rFonts w:hint="eastAsia" w:ascii="宋体" w:hAnsi="宋体" w:eastAsia="宋体" w:cs="宋体"/>
              </w:rPr>
              <w:fldChar w:fldCharType="end"/>
            </w:r>
            <w:r>
              <w:rPr>
                <w:rFonts w:hint="eastAsia" w:ascii="宋体" w:hAnsi="宋体" w:eastAsia="宋体" w:cs="宋体"/>
                <w:kern w:val="0"/>
                <w:szCs w:val="21"/>
              </w:rPr>
              <w:t>贵州中水能源股份有限公司遵义分公司</w:t>
            </w:r>
          </w:p>
        </w:tc>
        <w:tc>
          <w:tcPr>
            <w:tcW w:w="677" w:type="pct"/>
            <w:gridSpan w:val="3"/>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工作单位</w:t>
            </w:r>
          </w:p>
        </w:tc>
        <w:tc>
          <w:tcPr>
            <w:tcW w:w="1688" w:type="pct"/>
            <w:gridSpan w:val="2"/>
            <w:shd w:val="clear" w:color="000000" w:fill="FFFFFF"/>
            <w:vAlign w:val="center"/>
          </w:tcPr>
          <w:p>
            <w:pPr>
              <w:widowControl/>
              <w:adjustRightInd w:val="0"/>
              <w:snapToGrid w:val="0"/>
              <w:rPr>
                <w:rFonts w:hint="eastAsia" w:ascii="宋体" w:hAnsi="宋体" w:eastAsia="宋体" w:cs="宋体"/>
                <w:color w:val="000000"/>
                <w:kern w:val="0"/>
                <w:szCs w:val="21"/>
              </w:rPr>
            </w:pPr>
            <w:r>
              <w:rPr>
                <w:rFonts w:hint="eastAsia" w:ascii="宋体" w:hAnsi="宋体" w:eastAsia="宋体" w:cs="宋体"/>
              </w:rPr>
              <w:fldChar w:fldCharType="begin"/>
            </w:r>
            <w:r>
              <w:rPr>
                <w:rFonts w:hint="eastAsia" w:ascii="宋体" w:hAnsi="宋体" w:eastAsia="宋体" w:cs="宋体"/>
              </w:rPr>
              <w:instrText xml:space="preserve"> HYPERLINK "http://www.baidu.com/link?url=cmTqdyTrzAI6aGhLFqkQPBBxtMjgjhApBWNs2MPCU4m" \t "_blank" </w:instrText>
            </w:r>
            <w:r>
              <w:rPr>
                <w:rFonts w:hint="eastAsia" w:ascii="宋体" w:hAnsi="宋体" w:eastAsia="宋体" w:cs="宋体"/>
              </w:rPr>
              <w:fldChar w:fldCharType="separate"/>
            </w:r>
            <w:r>
              <w:rPr>
                <w:rFonts w:hint="eastAsia" w:ascii="宋体" w:hAnsi="宋体" w:eastAsia="宋体" w:cs="宋体"/>
              </w:rPr>
              <w:fldChar w:fldCharType="end"/>
            </w:r>
            <w:r>
              <w:rPr>
                <w:rFonts w:hint="eastAsia" w:ascii="宋体" w:hAnsi="宋体" w:eastAsia="宋体" w:cs="宋体"/>
                <w:kern w:val="0"/>
                <w:szCs w:val="21"/>
              </w:rPr>
              <w:t>贵州中水能源股份有限公司遵义分公司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3" w:hRule="atLeast"/>
        </w:trPr>
        <w:tc>
          <w:tcPr>
            <w:tcW w:w="277" w:type="pct"/>
            <w:vMerge w:val="continue"/>
            <w:shd w:val="clear" w:color="000000" w:fill="FFFFFF"/>
            <w:vAlign w:val="center"/>
          </w:tcPr>
          <w:p>
            <w:pPr>
              <w:widowControl/>
              <w:adjustRightInd w:val="0"/>
              <w:snapToGrid w:val="0"/>
              <w:jc w:val="center"/>
              <w:rPr>
                <w:rFonts w:hint="eastAsia" w:ascii="宋体" w:hAnsi="宋体" w:eastAsia="宋体" w:cs="宋体"/>
                <w:color w:val="000000"/>
                <w:kern w:val="0"/>
                <w:szCs w:val="21"/>
              </w:rPr>
            </w:pPr>
          </w:p>
        </w:tc>
        <w:tc>
          <w:tcPr>
            <w:tcW w:w="66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对本项目技术创造性贡献</w:t>
            </w:r>
          </w:p>
        </w:tc>
        <w:tc>
          <w:tcPr>
            <w:tcW w:w="4059" w:type="pct"/>
            <w:gridSpan w:val="9"/>
            <w:shd w:val="clear" w:color="000000" w:fill="FFFFFF"/>
            <w:vAlign w:val="center"/>
          </w:tcPr>
          <w:p>
            <w:pPr>
              <w:widowControl/>
              <w:adjustRightInd w:val="0"/>
              <w:snapToGrid w:val="0"/>
              <w:ind w:firstLine="420" w:firstLineChars="200"/>
              <w:jc w:val="left"/>
              <w:rPr>
                <w:rFonts w:hint="eastAsia" w:ascii="宋体" w:hAnsi="宋体" w:eastAsia="宋体" w:cs="宋体"/>
                <w:color w:val="000000"/>
                <w:kern w:val="0"/>
                <w:szCs w:val="21"/>
              </w:rPr>
            </w:pPr>
            <w:r>
              <w:rPr>
                <w:rFonts w:hint="eastAsia" w:ascii="宋体" w:hAnsi="宋体" w:eastAsia="宋体" w:cs="宋体"/>
                <w:szCs w:val="21"/>
              </w:rPr>
              <w:t>l.</w:t>
            </w:r>
            <w:r>
              <w:rPr>
                <w:rFonts w:hint="eastAsia" w:ascii="宋体" w:hAnsi="宋体" w:eastAsia="宋体" w:cs="宋体"/>
                <w:szCs w:val="21"/>
              </w:rPr>
              <w:t>多次组织相关领导及项目部人员与西华大学研讨转轮选型方案，对西华大学制定的“余庆方竹水电站发电机组增效扩容科研方案报告”进行核实与审定，</w:t>
            </w:r>
            <w:r>
              <w:rPr>
                <w:rFonts w:hint="eastAsia" w:ascii="宋体" w:hAnsi="宋体" w:eastAsia="宋体" w:cs="宋体"/>
                <w:szCs w:val="21"/>
              </w:rPr>
              <w:t xml:space="preserve"> </w:t>
            </w:r>
            <w:r>
              <w:rPr>
                <w:rFonts w:hint="eastAsia" w:ascii="宋体" w:hAnsi="宋体" w:eastAsia="宋体" w:cs="宋体"/>
                <w:szCs w:val="21"/>
              </w:rPr>
              <w:t>以确保水轮机额定出力达到</w:t>
            </w:r>
            <w:r>
              <w:rPr>
                <w:rFonts w:hint="eastAsia" w:ascii="宋体" w:hAnsi="宋体" w:eastAsia="宋体" w:cs="宋体"/>
                <w:szCs w:val="21"/>
              </w:rPr>
              <w:t xml:space="preserve"> 3685kW;2.</w:t>
            </w:r>
            <w:r>
              <w:rPr>
                <w:rFonts w:hint="eastAsia" w:ascii="宋体" w:hAnsi="宋体" w:eastAsia="宋体" w:cs="宋体"/>
                <w:szCs w:val="21"/>
              </w:rPr>
              <w:t>亲自带队到国内各知名水轮机生产厂家考察水轮机生产工艺及情况，最终确定水轮机生产厂家；</w:t>
            </w:r>
            <w:r>
              <w:rPr>
                <w:rFonts w:hint="eastAsia" w:ascii="宋体" w:hAnsi="宋体" w:eastAsia="宋体" w:cs="宋体"/>
                <w:szCs w:val="21"/>
              </w:rPr>
              <w:t>3.</w:t>
            </w:r>
            <w:r>
              <w:rPr>
                <w:rFonts w:hint="eastAsia" w:ascii="宋体" w:hAnsi="宋体" w:eastAsia="宋体" w:cs="宋体"/>
                <w:szCs w:val="21"/>
              </w:rPr>
              <w:t>项目施工期间，长期到电站指导设备安装，对现场遇到的技术难点及问题及时解决。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exact"/>
        </w:trPr>
        <w:tc>
          <w:tcPr>
            <w:tcW w:w="277" w:type="pct"/>
            <w:vMerge w:val="restar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第3完成人</w:t>
            </w:r>
          </w:p>
        </w:tc>
        <w:tc>
          <w:tcPr>
            <w:tcW w:w="66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姓  名</w:t>
            </w:r>
          </w:p>
        </w:tc>
        <w:tc>
          <w:tcPr>
            <w:tcW w:w="680" w:type="pct"/>
            <w:shd w:val="clear" w:color="000000" w:fill="FFFFFF"/>
            <w:vAlign w:val="center"/>
          </w:tcPr>
          <w:p>
            <w:pPr>
              <w:widowControl/>
              <w:adjustRightInd w:val="0"/>
              <w:snapToGrid w:val="0"/>
              <w:rPr>
                <w:rFonts w:hint="eastAsia" w:ascii="宋体" w:hAnsi="宋体" w:eastAsia="宋体" w:cs="宋体"/>
                <w:color w:val="000000"/>
                <w:kern w:val="0"/>
                <w:szCs w:val="21"/>
              </w:rPr>
            </w:pPr>
            <w:r>
              <w:rPr>
                <w:rFonts w:hint="eastAsia" w:ascii="宋体" w:hAnsi="宋体" w:eastAsia="宋体" w:cs="宋体"/>
                <w:color w:val="000000"/>
                <w:kern w:val="0"/>
                <w:szCs w:val="21"/>
              </w:rPr>
              <w:t>邓家勇</w:t>
            </w:r>
          </w:p>
        </w:tc>
        <w:tc>
          <w:tcPr>
            <w:tcW w:w="1014" w:type="pct"/>
            <w:gridSpan w:val="3"/>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行政职务</w:t>
            </w:r>
          </w:p>
        </w:tc>
        <w:tc>
          <w:tcPr>
            <w:tcW w:w="677" w:type="pct"/>
            <w:gridSpan w:val="3"/>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厂长</w:t>
            </w:r>
          </w:p>
        </w:tc>
        <w:tc>
          <w:tcPr>
            <w:tcW w:w="84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技术职称</w:t>
            </w:r>
          </w:p>
        </w:tc>
        <w:tc>
          <w:tcPr>
            <w:tcW w:w="84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exact"/>
        </w:trPr>
        <w:tc>
          <w:tcPr>
            <w:tcW w:w="277" w:type="pct"/>
            <w:vMerge w:val="continue"/>
            <w:shd w:val="clear" w:color="000000" w:fill="FFFFFF"/>
            <w:vAlign w:val="center"/>
          </w:tcPr>
          <w:p>
            <w:pPr>
              <w:widowControl/>
              <w:adjustRightInd w:val="0"/>
              <w:snapToGrid w:val="0"/>
              <w:jc w:val="center"/>
              <w:rPr>
                <w:rFonts w:hint="eastAsia" w:ascii="宋体" w:hAnsi="宋体" w:eastAsia="宋体" w:cs="宋体"/>
                <w:color w:val="000000"/>
                <w:kern w:val="0"/>
                <w:szCs w:val="21"/>
              </w:rPr>
            </w:pPr>
          </w:p>
        </w:tc>
        <w:tc>
          <w:tcPr>
            <w:tcW w:w="66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完成单位</w:t>
            </w:r>
          </w:p>
        </w:tc>
        <w:tc>
          <w:tcPr>
            <w:tcW w:w="1695" w:type="pct"/>
            <w:gridSpan w:val="4"/>
            <w:shd w:val="clear" w:color="000000" w:fill="FFFFFF"/>
            <w:vAlign w:val="center"/>
          </w:tcPr>
          <w:p>
            <w:pPr>
              <w:widowControl/>
              <w:adjustRightInd w:val="0"/>
              <w:snapToGrid w:val="0"/>
              <w:rPr>
                <w:rFonts w:hint="eastAsia" w:ascii="宋体" w:hAnsi="宋体" w:eastAsia="宋体" w:cs="宋体"/>
                <w:color w:val="000000"/>
                <w:kern w:val="0"/>
                <w:szCs w:val="21"/>
              </w:rPr>
            </w:pPr>
            <w:r>
              <w:rPr>
                <w:rFonts w:hint="eastAsia" w:ascii="宋体" w:hAnsi="宋体" w:eastAsia="宋体" w:cs="宋体"/>
              </w:rPr>
              <w:fldChar w:fldCharType="begin"/>
            </w:r>
            <w:r>
              <w:rPr>
                <w:rFonts w:hint="eastAsia" w:ascii="宋体" w:hAnsi="宋体" w:eastAsia="宋体" w:cs="宋体"/>
              </w:rPr>
              <w:instrText xml:space="preserve"> HYPERLINK "http://www.baidu.com/link?url=cmTqdyTrzAI6aGhLFqkQPBBxtMjgjhApBWNs2MPCU4m" \t "_blank" </w:instrText>
            </w:r>
            <w:r>
              <w:rPr>
                <w:rFonts w:hint="eastAsia" w:ascii="宋体" w:hAnsi="宋体" w:eastAsia="宋体" w:cs="宋体"/>
              </w:rPr>
              <w:fldChar w:fldCharType="separate"/>
            </w:r>
            <w:r>
              <w:rPr>
                <w:rFonts w:hint="eastAsia" w:ascii="宋体" w:hAnsi="宋体" w:eastAsia="宋体" w:cs="宋体"/>
              </w:rPr>
              <w:fldChar w:fldCharType="end"/>
            </w:r>
            <w:r>
              <w:rPr>
                <w:rFonts w:hint="eastAsia" w:ascii="宋体" w:hAnsi="宋体" w:eastAsia="宋体" w:cs="宋体"/>
                <w:kern w:val="0"/>
                <w:szCs w:val="21"/>
              </w:rPr>
              <w:t>贵州中水能源股份有限公司遵义分公司</w:t>
            </w:r>
          </w:p>
        </w:tc>
        <w:tc>
          <w:tcPr>
            <w:tcW w:w="677" w:type="pct"/>
            <w:gridSpan w:val="3"/>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工作单位</w:t>
            </w:r>
          </w:p>
        </w:tc>
        <w:tc>
          <w:tcPr>
            <w:tcW w:w="1688" w:type="pct"/>
            <w:gridSpan w:val="2"/>
            <w:shd w:val="clear" w:color="000000" w:fill="FFFFFF"/>
            <w:vAlign w:val="center"/>
          </w:tcPr>
          <w:p>
            <w:pPr>
              <w:widowControl/>
              <w:adjustRightInd w:val="0"/>
              <w:snapToGrid w:val="0"/>
              <w:rPr>
                <w:rFonts w:hint="eastAsia" w:ascii="宋体" w:hAnsi="宋体" w:eastAsia="宋体" w:cs="宋体"/>
                <w:color w:val="000000"/>
                <w:kern w:val="0"/>
                <w:szCs w:val="21"/>
              </w:rPr>
            </w:pPr>
            <w:r>
              <w:rPr>
                <w:rFonts w:hint="eastAsia" w:ascii="宋体" w:hAnsi="宋体" w:eastAsia="宋体" w:cs="宋体"/>
                <w:color w:val="000000"/>
                <w:kern w:val="0"/>
                <w:szCs w:val="21"/>
              </w:rPr>
              <w:t>国家电投贵州金元象鼻岭水力发电总厂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277" w:type="pct"/>
            <w:vMerge w:val="continue"/>
            <w:shd w:val="clear" w:color="000000" w:fill="FFFFFF"/>
            <w:vAlign w:val="center"/>
          </w:tcPr>
          <w:p>
            <w:pPr>
              <w:widowControl/>
              <w:adjustRightInd w:val="0"/>
              <w:snapToGrid w:val="0"/>
              <w:jc w:val="center"/>
              <w:rPr>
                <w:rFonts w:hint="eastAsia" w:ascii="宋体" w:hAnsi="宋体" w:eastAsia="宋体" w:cs="宋体"/>
                <w:color w:val="000000"/>
                <w:kern w:val="0"/>
                <w:szCs w:val="21"/>
              </w:rPr>
            </w:pPr>
          </w:p>
        </w:tc>
        <w:tc>
          <w:tcPr>
            <w:tcW w:w="66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对本项目技术创造性贡献</w:t>
            </w:r>
          </w:p>
        </w:tc>
        <w:tc>
          <w:tcPr>
            <w:tcW w:w="4059" w:type="pct"/>
            <w:gridSpan w:val="9"/>
            <w:shd w:val="clear" w:color="000000" w:fill="FFFFFF"/>
            <w:vAlign w:val="center"/>
          </w:tcPr>
          <w:p>
            <w:pPr>
              <w:ind w:firstLine="420" w:firstLineChars="200"/>
              <w:rPr>
                <w:rFonts w:hint="eastAsia" w:ascii="宋体" w:hAnsi="宋体" w:eastAsia="宋体" w:cs="宋体"/>
              </w:rPr>
            </w:pPr>
            <w:r>
              <w:rPr>
                <w:rFonts w:hint="eastAsia" w:ascii="宋体" w:hAnsi="宋体" w:eastAsia="宋体" w:cs="宋体"/>
              </w:rPr>
              <w:t>1.</w:t>
            </w:r>
            <w:r>
              <w:rPr>
                <w:rFonts w:hint="eastAsia" w:ascii="宋体" w:hAnsi="宋体" w:eastAsia="宋体" w:cs="宋体"/>
              </w:rPr>
              <w:t>多次参与西华大学转轮选型研讨，参与制定</w:t>
            </w:r>
            <w:r>
              <w:rPr>
                <w:rFonts w:hint="eastAsia" w:ascii="宋体" w:hAnsi="宋体" w:eastAsia="宋体" w:cs="宋体"/>
              </w:rPr>
              <w:t>“</w:t>
            </w:r>
            <w:r>
              <w:rPr>
                <w:rFonts w:hint="eastAsia" w:ascii="宋体" w:hAnsi="宋体" w:eastAsia="宋体" w:cs="宋体"/>
              </w:rPr>
              <w:t>余庆方竹水电站发电机组增效扩容科研方案</w:t>
            </w:r>
            <w:r>
              <w:rPr>
                <w:rFonts w:hint="eastAsia" w:ascii="宋体" w:hAnsi="宋体" w:eastAsia="宋体" w:cs="宋体"/>
              </w:rPr>
              <w:t>”</w:t>
            </w:r>
            <w:r>
              <w:rPr>
                <w:rFonts w:hint="eastAsia" w:ascii="宋体" w:hAnsi="宋体" w:eastAsia="宋体" w:cs="宋体"/>
              </w:rPr>
              <w:t>。</w:t>
            </w:r>
            <w:r>
              <w:rPr>
                <w:rFonts w:hint="eastAsia" w:ascii="宋体" w:hAnsi="宋体" w:eastAsia="宋体" w:cs="宋体"/>
              </w:rPr>
              <w:br w:type="textWrapping"/>
            </w:r>
            <w:r>
              <w:rPr>
                <w:rFonts w:hint="eastAsia" w:ascii="宋体" w:hAnsi="宋体" w:eastAsia="宋体" w:cs="宋体"/>
              </w:rPr>
              <w:t xml:space="preserve">    2.</w:t>
            </w:r>
            <w:r>
              <w:rPr>
                <w:rFonts w:hint="eastAsia" w:ascii="宋体" w:hAnsi="宋体" w:eastAsia="宋体" w:cs="宋体"/>
              </w:rPr>
              <w:t>作为方竹电站增效扩容改造项目部经理，对整个改造项目的安全、质量、工期、费用进行严格控制。保证安全和质量的前提下，按期完成方竹电站增效扩容改造项目。</w:t>
            </w:r>
          </w:p>
          <w:p>
            <w:pPr>
              <w:widowControl/>
              <w:adjustRightInd w:val="0"/>
              <w:snapToGrid w:val="0"/>
              <w:ind w:firstLine="420" w:firstLineChars="200"/>
              <w:jc w:val="left"/>
              <w:rPr>
                <w:rFonts w:hint="eastAsia" w:ascii="宋体" w:hAnsi="宋体" w:eastAsia="宋体" w:cs="宋体"/>
                <w:color w:val="000000"/>
                <w:kern w:val="0"/>
                <w:szCs w:val="21"/>
              </w:rPr>
            </w:pPr>
            <w:r>
              <w:rPr>
                <w:rFonts w:hint="eastAsia" w:ascii="宋体" w:hAnsi="宋体" w:eastAsia="宋体" w:cs="宋体"/>
              </w:rPr>
              <w:t>3.</w:t>
            </w:r>
            <w:r>
              <w:rPr>
                <w:rFonts w:hint="eastAsia" w:ascii="宋体" w:hAnsi="宋体" w:eastAsia="宋体" w:cs="宋体"/>
              </w:rPr>
              <w:t>在项目施工期间，亲自参与水轮机的安装施工、调试和试运行，对整个机电设备安装进行严格四大控制和验收，最终达到增效扩容改造的效果。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77" w:type="pct"/>
            <w:vMerge w:val="restar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第4完成人</w:t>
            </w:r>
          </w:p>
        </w:tc>
        <w:tc>
          <w:tcPr>
            <w:tcW w:w="66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姓  名</w:t>
            </w:r>
          </w:p>
        </w:tc>
        <w:tc>
          <w:tcPr>
            <w:tcW w:w="680"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王小军</w:t>
            </w:r>
          </w:p>
        </w:tc>
        <w:tc>
          <w:tcPr>
            <w:tcW w:w="1014" w:type="pct"/>
            <w:gridSpan w:val="3"/>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行政职务</w:t>
            </w:r>
          </w:p>
        </w:tc>
        <w:tc>
          <w:tcPr>
            <w:tcW w:w="677" w:type="pct"/>
            <w:gridSpan w:val="3"/>
            <w:shd w:val="clear" w:color="000000" w:fill="FFFFFF"/>
            <w:vAlign w:val="center"/>
          </w:tcPr>
          <w:p>
            <w:pPr>
              <w:widowControl/>
              <w:adjustRightInd w:val="0"/>
              <w:snapToGrid w:val="0"/>
              <w:rPr>
                <w:rFonts w:hint="eastAsia" w:ascii="宋体" w:hAnsi="宋体" w:eastAsia="宋体" w:cs="宋体"/>
                <w:color w:val="000000"/>
                <w:kern w:val="0"/>
                <w:szCs w:val="21"/>
              </w:rPr>
            </w:pPr>
            <w:r>
              <w:rPr>
                <w:rFonts w:hint="eastAsia" w:ascii="宋体" w:hAnsi="宋体" w:eastAsia="宋体" w:cs="宋体"/>
                <w:color w:val="000000"/>
                <w:kern w:val="0"/>
                <w:szCs w:val="21"/>
              </w:rPr>
              <w:t>副厂长</w:t>
            </w:r>
          </w:p>
        </w:tc>
        <w:tc>
          <w:tcPr>
            <w:tcW w:w="84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技术职务</w:t>
            </w:r>
          </w:p>
        </w:tc>
        <w:tc>
          <w:tcPr>
            <w:tcW w:w="84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exact"/>
        </w:trPr>
        <w:tc>
          <w:tcPr>
            <w:tcW w:w="277" w:type="pct"/>
            <w:vMerge w:val="continue"/>
            <w:shd w:val="clear" w:color="000000" w:fill="FFFFFF"/>
            <w:vAlign w:val="center"/>
          </w:tcPr>
          <w:p>
            <w:pPr>
              <w:widowControl/>
              <w:adjustRightInd w:val="0"/>
              <w:snapToGrid w:val="0"/>
              <w:jc w:val="center"/>
              <w:rPr>
                <w:rFonts w:hint="eastAsia" w:ascii="宋体" w:hAnsi="宋体" w:eastAsia="宋体" w:cs="宋体"/>
                <w:color w:val="000000"/>
                <w:kern w:val="0"/>
                <w:szCs w:val="21"/>
              </w:rPr>
            </w:pPr>
          </w:p>
        </w:tc>
        <w:tc>
          <w:tcPr>
            <w:tcW w:w="66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完成单位</w:t>
            </w:r>
          </w:p>
        </w:tc>
        <w:tc>
          <w:tcPr>
            <w:tcW w:w="1695" w:type="pct"/>
            <w:gridSpan w:val="4"/>
            <w:shd w:val="clear" w:color="000000" w:fill="FFFFFF"/>
            <w:vAlign w:val="center"/>
          </w:tcPr>
          <w:p>
            <w:pPr>
              <w:widowControl/>
              <w:adjustRightInd w:val="0"/>
              <w:snapToGrid w:val="0"/>
              <w:rPr>
                <w:rFonts w:hint="eastAsia" w:ascii="宋体" w:hAnsi="宋体" w:eastAsia="宋体" w:cs="宋体"/>
                <w:color w:val="000000"/>
                <w:kern w:val="0"/>
                <w:szCs w:val="21"/>
              </w:rPr>
            </w:pPr>
            <w:r>
              <w:rPr>
                <w:rFonts w:hint="eastAsia" w:ascii="宋体" w:hAnsi="宋体" w:eastAsia="宋体" w:cs="宋体"/>
              </w:rPr>
              <w:fldChar w:fldCharType="begin"/>
            </w:r>
            <w:r>
              <w:rPr>
                <w:rFonts w:hint="eastAsia" w:ascii="宋体" w:hAnsi="宋体" w:eastAsia="宋体" w:cs="宋体"/>
              </w:rPr>
              <w:instrText xml:space="preserve"> HYPERLINK "http://www.baidu.com/link?url=cmTqdyTrzAI6aGhLFqkQPBBxtMjgjhApBWNs2MPCU4m" \t "_blank" </w:instrText>
            </w:r>
            <w:r>
              <w:rPr>
                <w:rFonts w:hint="eastAsia" w:ascii="宋体" w:hAnsi="宋体" w:eastAsia="宋体" w:cs="宋体"/>
              </w:rPr>
              <w:fldChar w:fldCharType="separate"/>
            </w:r>
            <w:r>
              <w:rPr>
                <w:rFonts w:hint="eastAsia" w:ascii="宋体" w:hAnsi="宋体" w:eastAsia="宋体" w:cs="宋体"/>
              </w:rPr>
              <w:fldChar w:fldCharType="end"/>
            </w:r>
            <w:r>
              <w:rPr>
                <w:rFonts w:hint="eastAsia" w:ascii="宋体" w:hAnsi="宋体" w:eastAsia="宋体" w:cs="宋体"/>
                <w:kern w:val="0"/>
                <w:szCs w:val="21"/>
              </w:rPr>
              <w:t>贵州中水能源股份有限公司遵义分公司</w:t>
            </w:r>
          </w:p>
        </w:tc>
        <w:tc>
          <w:tcPr>
            <w:tcW w:w="677" w:type="pct"/>
            <w:gridSpan w:val="3"/>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工作单位</w:t>
            </w:r>
          </w:p>
        </w:tc>
        <w:tc>
          <w:tcPr>
            <w:tcW w:w="1688" w:type="pct"/>
            <w:gridSpan w:val="2"/>
            <w:shd w:val="clear" w:color="000000" w:fill="FFFFFF"/>
            <w:vAlign w:val="center"/>
          </w:tcPr>
          <w:p>
            <w:pPr>
              <w:widowControl/>
              <w:adjustRightInd w:val="0"/>
              <w:snapToGrid w:val="0"/>
              <w:rPr>
                <w:rFonts w:hint="eastAsia" w:ascii="宋体" w:hAnsi="宋体" w:eastAsia="宋体" w:cs="宋体"/>
                <w:color w:val="000000"/>
                <w:kern w:val="0"/>
                <w:szCs w:val="21"/>
              </w:rPr>
            </w:pPr>
            <w:r>
              <w:rPr>
                <w:rFonts w:hint="eastAsia" w:ascii="宋体" w:hAnsi="宋体" w:eastAsia="宋体" w:cs="宋体"/>
                <w:color w:val="000000"/>
                <w:kern w:val="0"/>
                <w:szCs w:val="21"/>
              </w:rPr>
              <w:t>国家电投贵州金元安顺水力发电总厂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trPr>
        <w:tc>
          <w:tcPr>
            <w:tcW w:w="277" w:type="pct"/>
            <w:vMerge w:val="continue"/>
            <w:shd w:val="clear" w:color="000000" w:fill="FFFFFF"/>
            <w:vAlign w:val="center"/>
          </w:tcPr>
          <w:p>
            <w:pPr>
              <w:widowControl/>
              <w:adjustRightInd w:val="0"/>
              <w:snapToGrid w:val="0"/>
              <w:jc w:val="center"/>
              <w:rPr>
                <w:rFonts w:hint="eastAsia" w:ascii="宋体" w:hAnsi="宋体" w:eastAsia="宋体" w:cs="宋体"/>
                <w:color w:val="000000"/>
                <w:kern w:val="0"/>
                <w:szCs w:val="21"/>
              </w:rPr>
            </w:pPr>
          </w:p>
        </w:tc>
        <w:tc>
          <w:tcPr>
            <w:tcW w:w="66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对本项目技术创造性贡献</w:t>
            </w:r>
          </w:p>
        </w:tc>
        <w:tc>
          <w:tcPr>
            <w:tcW w:w="4059" w:type="pct"/>
            <w:gridSpan w:val="9"/>
            <w:shd w:val="clear" w:color="000000" w:fill="FFFFFF"/>
            <w:vAlign w:val="center"/>
          </w:tcPr>
          <w:p>
            <w:pPr>
              <w:pStyle w:val="19"/>
              <w:tabs>
                <w:tab w:val="left" w:pos="3210"/>
              </w:tabs>
              <w:kinsoku w:val="0"/>
              <w:overflowPunct w:val="0"/>
              <w:spacing w:before="101" w:line="267" w:lineRule="exact"/>
              <w:ind w:firstLine="480" w:firstLineChars="200"/>
              <w:rPr>
                <w:rFonts w:hint="eastAsia" w:ascii="宋体" w:hAnsi="宋体" w:eastAsia="宋体" w:cs="宋体"/>
              </w:rPr>
            </w:pPr>
            <w:r>
              <w:rPr>
                <w:rFonts w:hint="eastAsia" w:ascii="宋体" w:hAnsi="宋体" w:eastAsia="宋体" w:cs="宋体"/>
              </w:rPr>
              <w:t>1.</w:t>
            </w:r>
            <w:r>
              <w:rPr>
                <w:rFonts w:hint="eastAsia" w:ascii="宋体" w:hAnsi="宋体" w:eastAsia="宋体" w:cs="宋体"/>
              </w:rPr>
              <w:t>多次参与西华大学转轮选型研讨，参与制定“余庆方竹水电站发电机组增效扩容科研方案”。</w:t>
            </w:r>
          </w:p>
          <w:p>
            <w:pPr>
              <w:pStyle w:val="19"/>
              <w:tabs>
                <w:tab w:val="left" w:pos="3210"/>
              </w:tabs>
              <w:kinsoku w:val="0"/>
              <w:overflowPunct w:val="0"/>
              <w:spacing w:before="101" w:line="267" w:lineRule="exact"/>
              <w:ind w:firstLine="480" w:firstLineChars="200"/>
              <w:rPr>
                <w:rFonts w:hint="eastAsia" w:ascii="宋体" w:hAnsi="宋体" w:eastAsia="宋体" w:cs="宋体"/>
              </w:rPr>
            </w:pPr>
            <w:r>
              <w:rPr>
                <w:rFonts w:hint="eastAsia" w:ascii="宋体" w:hAnsi="宋体" w:eastAsia="宋体" w:cs="宋体"/>
              </w:rPr>
              <w:t>2.</w:t>
            </w:r>
            <w:r>
              <w:rPr>
                <w:rFonts w:hint="eastAsia" w:ascii="宋体" w:hAnsi="宋体" w:eastAsia="宋体" w:cs="宋体"/>
              </w:rPr>
              <w:t>到知名水轮机生产厂家考察水轮机生产工艺和设计水平，制造能力是否满足科研成果的要求，最终确定水轮机生产厂家。</w:t>
            </w:r>
          </w:p>
          <w:p>
            <w:pPr>
              <w:widowControl/>
              <w:adjustRightInd w:val="0"/>
              <w:snapToGrid w:val="0"/>
              <w:ind w:firstLine="420" w:firstLineChars="200"/>
              <w:jc w:val="left"/>
              <w:rPr>
                <w:rFonts w:hint="eastAsia" w:ascii="宋体" w:hAnsi="宋体" w:eastAsia="宋体" w:cs="宋体"/>
                <w:color w:val="000000"/>
                <w:kern w:val="0"/>
                <w:szCs w:val="21"/>
              </w:rPr>
            </w:pPr>
            <w:r>
              <w:rPr>
                <w:rFonts w:hint="eastAsia" w:ascii="宋体" w:hAnsi="宋体" w:eastAsia="宋体" w:cs="宋体"/>
              </w:rPr>
              <w:t>3.</w:t>
            </w:r>
            <w:r>
              <w:rPr>
                <w:rFonts w:hint="eastAsia" w:ascii="宋体" w:hAnsi="宋体" w:eastAsia="宋体" w:cs="宋体"/>
              </w:rPr>
              <w:t>项目施工期间，亲自参与水轮机的安装施工、调试和试运行，对安装工艺进行严格控制和验收，最终达到增效扩容改造的效果。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77" w:type="pct"/>
            <w:vMerge w:val="restar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第5完成人</w:t>
            </w:r>
          </w:p>
        </w:tc>
        <w:tc>
          <w:tcPr>
            <w:tcW w:w="66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姓  名</w:t>
            </w:r>
          </w:p>
        </w:tc>
        <w:tc>
          <w:tcPr>
            <w:tcW w:w="688" w:type="pct"/>
            <w:gridSpan w:val="2"/>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吴秀才</w:t>
            </w:r>
          </w:p>
        </w:tc>
        <w:tc>
          <w:tcPr>
            <w:tcW w:w="1019" w:type="pct"/>
            <w:gridSpan w:val="3"/>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行政职务</w:t>
            </w:r>
          </w:p>
        </w:tc>
        <w:tc>
          <w:tcPr>
            <w:tcW w:w="665" w:type="pct"/>
            <w:gridSpan w:val="2"/>
            <w:shd w:val="clear" w:color="000000" w:fill="FFFFFF"/>
            <w:vAlign w:val="center"/>
          </w:tcPr>
          <w:p>
            <w:pPr>
              <w:widowControl/>
              <w:adjustRightInd w:val="0"/>
              <w:snapToGrid w:val="0"/>
              <w:rPr>
                <w:rFonts w:hint="eastAsia" w:ascii="宋体" w:hAnsi="宋体" w:eastAsia="宋体" w:cs="宋体"/>
                <w:color w:val="000000"/>
                <w:kern w:val="0"/>
                <w:szCs w:val="21"/>
              </w:rPr>
            </w:pPr>
            <w:r>
              <w:rPr>
                <w:rFonts w:hint="eastAsia" w:ascii="宋体" w:hAnsi="宋体" w:eastAsia="宋体" w:cs="宋体"/>
                <w:color w:val="000000"/>
                <w:kern w:val="0"/>
                <w:szCs w:val="21"/>
              </w:rPr>
              <w:t>专职工程师</w:t>
            </w:r>
          </w:p>
        </w:tc>
        <w:tc>
          <w:tcPr>
            <w:tcW w:w="84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技术职称</w:t>
            </w:r>
          </w:p>
        </w:tc>
        <w:tc>
          <w:tcPr>
            <w:tcW w:w="844" w:type="pct"/>
            <w:shd w:val="clear" w:color="000000" w:fill="FFFFFF"/>
            <w:vAlign w:val="center"/>
          </w:tcPr>
          <w:p>
            <w:pPr>
              <w:widowControl/>
              <w:adjustRightInd w:val="0"/>
              <w:snapToGrid w:val="0"/>
              <w:rPr>
                <w:rFonts w:hint="eastAsia" w:ascii="宋体" w:hAnsi="宋体" w:eastAsia="宋体" w:cs="宋体"/>
                <w:color w:val="000000"/>
                <w:kern w:val="0"/>
                <w:szCs w:val="21"/>
              </w:rPr>
            </w:pPr>
            <w:r>
              <w:rPr>
                <w:rFonts w:hint="eastAsia" w:ascii="宋体" w:hAnsi="宋体" w:eastAsia="宋体" w:cs="宋体"/>
                <w:color w:val="000000"/>
                <w:kern w:val="0"/>
                <w:szCs w:val="21"/>
              </w:rPr>
              <w:t>助理工程师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exact"/>
        </w:trPr>
        <w:tc>
          <w:tcPr>
            <w:tcW w:w="277" w:type="pct"/>
            <w:vMerge w:val="continue"/>
            <w:shd w:val="clear" w:color="000000" w:fill="FFFFFF"/>
            <w:vAlign w:val="center"/>
          </w:tcPr>
          <w:p>
            <w:pPr>
              <w:widowControl/>
              <w:adjustRightInd w:val="0"/>
              <w:snapToGrid w:val="0"/>
              <w:jc w:val="center"/>
              <w:rPr>
                <w:rFonts w:hint="eastAsia" w:ascii="宋体" w:hAnsi="宋体" w:eastAsia="宋体" w:cs="宋体"/>
                <w:color w:val="000000"/>
                <w:kern w:val="0"/>
                <w:szCs w:val="21"/>
              </w:rPr>
            </w:pPr>
          </w:p>
        </w:tc>
        <w:tc>
          <w:tcPr>
            <w:tcW w:w="66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完成单位</w:t>
            </w:r>
          </w:p>
        </w:tc>
        <w:tc>
          <w:tcPr>
            <w:tcW w:w="1707" w:type="pct"/>
            <w:gridSpan w:val="5"/>
            <w:shd w:val="clear" w:color="000000" w:fill="FFFFFF"/>
            <w:vAlign w:val="center"/>
          </w:tcPr>
          <w:p>
            <w:pPr>
              <w:widowControl/>
              <w:adjustRightInd w:val="0"/>
              <w:snapToGrid w:val="0"/>
              <w:rPr>
                <w:rFonts w:hint="eastAsia" w:ascii="宋体" w:hAnsi="宋体" w:eastAsia="宋体" w:cs="宋体"/>
                <w:color w:val="000000"/>
                <w:kern w:val="0"/>
                <w:szCs w:val="21"/>
              </w:rPr>
            </w:pPr>
            <w:r>
              <w:rPr>
                <w:rFonts w:hint="eastAsia" w:ascii="宋体" w:hAnsi="宋体" w:eastAsia="宋体" w:cs="宋体"/>
                <w:kern w:val="0"/>
                <w:szCs w:val="21"/>
              </w:rPr>
              <w:t>贵州中水能源股份有限公司遵义分公司</w:t>
            </w:r>
          </w:p>
        </w:tc>
        <w:tc>
          <w:tcPr>
            <w:tcW w:w="665" w:type="pct"/>
            <w:gridSpan w:val="2"/>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工作单位</w:t>
            </w:r>
          </w:p>
        </w:tc>
        <w:tc>
          <w:tcPr>
            <w:tcW w:w="1688" w:type="pct"/>
            <w:gridSpan w:val="2"/>
            <w:shd w:val="clear" w:color="000000" w:fill="FFFFFF"/>
            <w:vAlign w:val="center"/>
          </w:tcPr>
          <w:p>
            <w:pPr>
              <w:widowControl/>
              <w:adjustRightInd w:val="0"/>
              <w:snapToGrid w:val="0"/>
              <w:rPr>
                <w:rFonts w:hint="eastAsia" w:ascii="宋体" w:hAnsi="宋体" w:eastAsia="宋体" w:cs="宋体"/>
                <w:color w:val="000000"/>
                <w:kern w:val="0"/>
                <w:szCs w:val="21"/>
              </w:rPr>
            </w:pPr>
            <w:r>
              <w:rPr>
                <w:rFonts w:hint="eastAsia" w:ascii="宋体" w:hAnsi="宋体" w:eastAsia="宋体" w:cs="宋体"/>
                <w:kern w:val="0"/>
                <w:szCs w:val="21"/>
              </w:rPr>
              <w:t>贵州中水能源股份有限公司遵义分公司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277" w:type="pct"/>
            <w:vMerge w:val="continue"/>
            <w:shd w:val="clear" w:color="000000" w:fill="FFFFFF"/>
            <w:vAlign w:val="center"/>
          </w:tcPr>
          <w:p>
            <w:pPr>
              <w:widowControl/>
              <w:adjustRightInd w:val="0"/>
              <w:snapToGrid w:val="0"/>
              <w:jc w:val="center"/>
              <w:rPr>
                <w:rFonts w:hint="eastAsia" w:ascii="宋体" w:hAnsi="宋体" w:eastAsia="宋体" w:cs="宋体"/>
                <w:color w:val="000000"/>
                <w:kern w:val="0"/>
                <w:szCs w:val="21"/>
              </w:rPr>
            </w:pPr>
          </w:p>
        </w:tc>
        <w:tc>
          <w:tcPr>
            <w:tcW w:w="66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对本项目技术创造性贡献</w:t>
            </w:r>
          </w:p>
        </w:tc>
        <w:tc>
          <w:tcPr>
            <w:tcW w:w="4059" w:type="pct"/>
            <w:gridSpan w:val="9"/>
            <w:shd w:val="clear" w:color="000000" w:fill="FFFFFF"/>
            <w:vAlign w:val="center"/>
          </w:tcPr>
          <w:p>
            <w:pPr>
              <w:widowControl/>
              <w:adjustRightInd w:val="0"/>
              <w:snapToGrid w:val="0"/>
              <w:ind w:firstLine="420" w:firstLineChars="200"/>
              <w:jc w:val="left"/>
              <w:rPr>
                <w:rFonts w:hint="eastAsia" w:ascii="宋体" w:hAnsi="宋体" w:eastAsia="宋体" w:cs="宋体"/>
                <w:color w:val="000000"/>
                <w:kern w:val="0"/>
                <w:szCs w:val="21"/>
              </w:rPr>
            </w:pPr>
            <w:r>
              <w:rPr>
                <w:rFonts w:hint="eastAsia" w:ascii="宋体" w:hAnsi="宋体" w:eastAsia="宋体" w:cs="宋体"/>
                <w:color w:val="000000"/>
                <w:kern w:val="0"/>
                <w:szCs w:val="21"/>
              </w:rPr>
              <w:t>参与项目前期所有招标文件的编制和审查，按照国家标准对招标文件（技术部分）严格把关，确保设备的先进性、适用性，在整个设备安装过程中，全程对项目的安全、质量、工期旁站监督并做好各项原始数据记录和质量签证，对技术存在差异部分及时提出建议并汇报项目部，以确保设备的优越性，安装完后，整理相关的资料，不断总结经验，为以后的工作打下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exact"/>
        </w:trPr>
        <w:tc>
          <w:tcPr>
            <w:tcW w:w="277" w:type="pct"/>
            <w:vMerge w:val="restar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第6完成人</w:t>
            </w:r>
          </w:p>
        </w:tc>
        <w:tc>
          <w:tcPr>
            <w:tcW w:w="66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姓  名</w:t>
            </w:r>
          </w:p>
        </w:tc>
        <w:tc>
          <w:tcPr>
            <w:tcW w:w="688" w:type="pct"/>
            <w:gridSpan w:val="2"/>
            <w:shd w:val="clear" w:color="000000" w:fill="FFFFFF"/>
            <w:vAlign w:val="center"/>
          </w:tcPr>
          <w:p>
            <w:pPr>
              <w:widowControl/>
              <w:adjustRightInd w:val="0"/>
              <w:snapToGrid w:val="0"/>
              <w:rPr>
                <w:rFonts w:hint="eastAsia" w:ascii="宋体" w:hAnsi="宋体" w:eastAsia="宋体" w:cs="宋体"/>
                <w:color w:val="000000"/>
                <w:kern w:val="0"/>
                <w:szCs w:val="21"/>
              </w:rPr>
            </w:pPr>
            <w:r>
              <w:rPr>
                <w:rFonts w:hint="eastAsia" w:ascii="宋体" w:hAnsi="宋体" w:eastAsia="宋体" w:cs="宋体"/>
                <w:color w:val="000000"/>
                <w:kern w:val="0"/>
                <w:szCs w:val="21"/>
              </w:rPr>
              <w:t>田齐</w:t>
            </w:r>
          </w:p>
        </w:tc>
        <w:tc>
          <w:tcPr>
            <w:tcW w:w="1019" w:type="pct"/>
            <w:gridSpan w:val="3"/>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行政职务</w:t>
            </w:r>
          </w:p>
        </w:tc>
        <w:tc>
          <w:tcPr>
            <w:tcW w:w="665" w:type="pct"/>
            <w:gridSpan w:val="2"/>
            <w:shd w:val="clear" w:color="000000" w:fill="FFFFFF"/>
            <w:vAlign w:val="center"/>
          </w:tcPr>
          <w:p>
            <w:pPr>
              <w:widowControl/>
              <w:adjustRightInd w:val="0"/>
              <w:snapToGrid w:val="0"/>
              <w:rPr>
                <w:rFonts w:hint="eastAsia" w:ascii="宋体" w:hAnsi="宋体" w:eastAsia="宋体" w:cs="宋体"/>
                <w:color w:val="000000"/>
                <w:kern w:val="0"/>
                <w:szCs w:val="21"/>
              </w:rPr>
            </w:pPr>
            <w:r>
              <w:rPr>
                <w:rFonts w:hint="eastAsia" w:ascii="宋体" w:hAnsi="宋体" w:eastAsia="宋体" w:cs="宋体"/>
                <w:color w:val="000000"/>
                <w:kern w:val="0"/>
                <w:szCs w:val="21"/>
              </w:rPr>
              <w:t>HSE部副主任</w:t>
            </w:r>
          </w:p>
        </w:tc>
        <w:tc>
          <w:tcPr>
            <w:tcW w:w="84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技术职称</w:t>
            </w:r>
          </w:p>
        </w:tc>
        <w:tc>
          <w:tcPr>
            <w:tcW w:w="84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exact"/>
        </w:trPr>
        <w:tc>
          <w:tcPr>
            <w:tcW w:w="277" w:type="pct"/>
            <w:vMerge w:val="continue"/>
            <w:shd w:val="clear" w:color="000000" w:fill="FFFFFF"/>
            <w:vAlign w:val="center"/>
          </w:tcPr>
          <w:p>
            <w:pPr>
              <w:widowControl/>
              <w:adjustRightInd w:val="0"/>
              <w:snapToGrid w:val="0"/>
              <w:jc w:val="center"/>
              <w:rPr>
                <w:rFonts w:hint="eastAsia" w:ascii="宋体" w:hAnsi="宋体" w:eastAsia="宋体" w:cs="宋体"/>
                <w:color w:val="000000"/>
                <w:kern w:val="0"/>
                <w:szCs w:val="21"/>
              </w:rPr>
            </w:pPr>
          </w:p>
        </w:tc>
        <w:tc>
          <w:tcPr>
            <w:tcW w:w="66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完成单位</w:t>
            </w:r>
          </w:p>
        </w:tc>
        <w:tc>
          <w:tcPr>
            <w:tcW w:w="1707" w:type="pct"/>
            <w:gridSpan w:val="5"/>
            <w:shd w:val="clear" w:color="000000" w:fill="FFFFFF"/>
            <w:vAlign w:val="center"/>
          </w:tcPr>
          <w:p>
            <w:pPr>
              <w:widowControl/>
              <w:adjustRightInd w:val="0"/>
              <w:snapToGrid w:val="0"/>
              <w:rPr>
                <w:rFonts w:hint="eastAsia" w:ascii="宋体" w:hAnsi="宋体" w:eastAsia="宋体" w:cs="宋体"/>
                <w:color w:val="000000"/>
                <w:kern w:val="0"/>
                <w:szCs w:val="21"/>
              </w:rPr>
            </w:pPr>
            <w:r>
              <w:rPr>
                <w:rFonts w:hint="eastAsia" w:ascii="宋体" w:hAnsi="宋体" w:eastAsia="宋体" w:cs="宋体"/>
                <w:kern w:val="0"/>
                <w:szCs w:val="21"/>
              </w:rPr>
              <w:t>贵州中水能源股份有限公司遵义分公司</w:t>
            </w:r>
          </w:p>
        </w:tc>
        <w:tc>
          <w:tcPr>
            <w:tcW w:w="665" w:type="pct"/>
            <w:gridSpan w:val="2"/>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工作单位</w:t>
            </w:r>
          </w:p>
        </w:tc>
        <w:tc>
          <w:tcPr>
            <w:tcW w:w="1688" w:type="pct"/>
            <w:gridSpan w:val="2"/>
            <w:shd w:val="clear" w:color="000000" w:fill="FFFFFF"/>
            <w:vAlign w:val="center"/>
          </w:tcPr>
          <w:p>
            <w:pPr>
              <w:widowControl/>
              <w:adjustRightInd w:val="0"/>
              <w:snapToGrid w:val="0"/>
              <w:rPr>
                <w:rFonts w:hint="eastAsia" w:ascii="宋体" w:hAnsi="宋体" w:eastAsia="宋体" w:cs="宋体"/>
                <w:color w:val="000000"/>
                <w:kern w:val="0"/>
                <w:szCs w:val="21"/>
              </w:rPr>
            </w:pPr>
            <w:r>
              <w:rPr>
                <w:rFonts w:hint="eastAsia" w:ascii="宋体" w:hAnsi="宋体" w:eastAsia="宋体" w:cs="宋体"/>
                <w:kern w:val="0"/>
                <w:szCs w:val="21"/>
              </w:rPr>
              <w:t>贵州中水能源股份有限公司遵义分公司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9" w:hRule="atLeast"/>
        </w:trPr>
        <w:tc>
          <w:tcPr>
            <w:tcW w:w="277" w:type="pct"/>
            <w:vMerge w:val="continue"/>
            <w:shd w:val="clear" w:color="000000" w:fill="FFFFFF"/>
            <w:vAlign w:val="center"/>
          </w:tcPr>
          <w:p>
            <w:pPr>
              <w:widowControl/>
              <w:adjustRightInd w:val="0"/>
              <w:snapToGrid w:val="0"/>
              <w:jc w:val="center"/>
              <w:rPr>
                <w:rFonts w:hint="eastAsia" w:ascii="宋体" w:hAnsi="宋体" w:eastAsia="宋体" w:cs="宋体"/>
                <w:color w:val="000000"/>
                <w:kern w:val="0"/>
                <w:szCs w:val="21"/>
              </w:rPr>
            </w:pPr>
          </w:p>
        </w:tc>
        <w:tc>
          <w:tcPr>
            <w:tcW w:w="66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对本项目技术创造性贡献</w:t>
            </w:r>
          </w:p>
        </w:tc>
        <w:tc>
          <w:tcPr>
            <w:tcW w:w="4059" w:type="pct"/>
            <w:gridSpan w:val="9"/>
            <w:shd w:val="clear" w:color="000000" w:fill="FFFFFF"/>
            <w:vAlign w:val="center"/>
          </w:tcPr>
          <w:p>
            <w:pPr>
              <w:widowControl/>
              <w:adjustRightInd w:val="0"/>
              <w:snapToGrid w:val="0"/>
              <w:jc w:val="left"/>
              <w:rPr>
                <w:rFonts w:hint="eastAsia" w:ascii="宋体" w:hAnsi="宋体" w:eastAsia="宋体" w:cs="宋体"/>
                <w:color w:val="000000"/>
                <w:kern w:val="0"/>
                <w:szCs w:val="21"/>
              </w:rPr>
            </w:pPr>
            <w:r>
              <w:rPr>
                <w:rFonts w:hint="eastAsia" w:ascii="宋体" w:hAnsi="宋体" w:eastAsia="宋体" w:cs="宋体"/>
                <w:spacing w:val="-3"/>
                <w:szCs w:val="21"/>
              </w:rPr>
              <w:t>负责科技项目申报，跟踪西华大学研究过程，组织项目上报水电部验收，完成结题报告。将项目申报到贵州省科学技术情报研究所查新，该项目入选国家电力投资集团公司</w:t>
            </w:r>
            <w:r>
              <w:rPr>
                <w:rFonts w:hint="eastAsia" w:ascii="宋体" w:hAnsi="宋体" w:eastAsia="宋体" w:cs="宋体"/>
                <w:spacing w:val="-3"/>
                <w:szCs w:val="21"/>
              </w:rPr>
              <w:t>2017</w:t>
            </w:r>
            <w:r>
              <w:rPr>
                <w:rFonts w:hint="eastAsia" w:ascii="宋体" w:hAnsi="宋体" w:eastAsia="宋体" w:cs="宋体"/>
                <w:spacing w:val="-3"/>
                <w:szCs w:val="21"/>
              </w:rPr>
              <w:t>年新技术目录，获得国家电力投资集团公司家</w:t>
            </w:r>
            <w:r>
              <w:rPr>
                <w:rFonts w:hint="eastAsia" w:ascii="宋体" w:hAnsi="宋体" w:eastAsia="宋体" w:cs="宋体"/>
                <w:spacing w:val="-3"/>
                <w:szCs w:val="21"/>
              </w:rPr>
              <w:t>2017</w:t>
            </w:r>
            <w:r>
              <w:rPr>
                <w:rFonts w:hint="eastAsia" w:ascii="宋体" w:hAnsi="宋体" w:eastAsia="宋体" w:cs="宋体"/>
                <w:spacing w:val="-3"/>
                <w:szCs w:val="21"/>
              </w:rPr>
              <w:t>年科技进步三等奖，入选</w:t>
            </w:r>
            <w:r>
              <w:rPr>
                <w:rFonts w:hint="eastAsia" w:ascii="宋体" w:hAnsi="宋体" w:eastAsia="宋体" w:cs="宋体"/>
                <w:spacing w:val="-3"/>
                <w:szCs w:val="21"/>
              </w:rPr>
              <w:t>2017</w:t>
            </w:r>
            <w:r>
              <w:rPr>
                <w:rFonts w:hint="eastAsia" w:ascii="宋体" w:hAnsi="宋体" w:eastAsia="宋体" w:cs="宋体"/>
                <w:spacing w:val="-3"/>
                <w:szCs w:val="21"/>
              </w:rPr>
              <w:t>年贵州电机工程学会十大科技事件评选。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exact"/>
        </w:trPr>
        <w:tc>
          <w:tcPr>
            <w:tcW w:w="277" w:type="pct"/>
            <w:vMerge w:val="restar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第7完成人</w:t>
            </w:r>
          </w:p>
        </w:tc>
        <w:tc>
          <w:tcPr>
            <w:tcW w:w="66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姓  名</w:t>
            </w:r>
          </w:p>
        </w:tc>
        <w:tc>
          <w:tcPr>
            <w:tcW w:w="688" w:type="pct"/>
            <w:gridSpan w:val="2"/>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刘世伟</w:t>
            </w:r>
          </w:p>
        </w:tc>
        <w:tc>
          <w:tcPr>
            <w:tcW w:w="959"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行政职务</w:t>
            </w:r>
          </w:p>
        </w:tc>
        <w:tc>
          <w:tcPr>
            <w:tcW w:w="640" w:type="pct"/>
            <w:gridSpan w:val="3"/>
            <w:shd w:val="clear" w:color="000000" w:fill="FFFFFF"/>
            <w:vAlign w:val="center"/>
          </w:tcPr>
          <w:p>
            <w:pPr>
              <w:widowControl/>
              <w:adjustRightInd w:val="0"/>
              <w:snapToGrid w:val="0"/>
              <w:jc w:val="center"/>
              <w:rPr>
                <w:rFonts w:hint="eastAsia" w:ascii="宋体" w:hAnsi="宋体" w:eastAsia="宋体" w:cs="宋体"/>
                <w:color w:val="000000"/>
                <w:kern w:val="0"/>
                <w:szCs w:val="21"/>
              </w:rPr>
            </w:pPr>
          </w:p>
        </w:tc>
        <w:tc>
          <w:tcPr>
            <w:tcW w:w="929" w:type="pct"/>
            <w:gridSpan w:val="2"/>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技术职称</w:t>
            </w:r>
          </w:p>
        </w:tc>
        <w:tc>
          <w:tcPr>
            <w:tcW w:w="84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助理工程师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exact"/>
        </w:trPr>
        <w:tc>
          <w:tcPr>
            <w:tcW w:w="277" w:type="pct"/>
            <w:vMerge w:val="continue"/>
            <w:shd w:val="clear" w:color="000000" w:fill="FFFFFF"/>
            <w:vAlign w:val="center"/>
          </w:tcPr>
          <w:p>
            <w:pPr>
              <w:widowControl/>
              <w:adjustRightInd w:val="0"/>
              <w:snapToGrid w:val="0"/>
              <w:jc w:val="center"/>
              <w:rPr>
                <w:rFonts w:hint="eastAsia" w:ascii="宋体" w:hAnsi="宋体" w:eastAsia="宋体" w:cs="宋体"/>
                <w:color w:val="000000"/>
                <w:kern w:val="0"/>
                <w:szCs w:val="21"/>
              </w:rPr>
            </w:pPr>
          </w:p>
        </w:tc>
        <w:tc>
          <w:tcPr>
            <w:tcW w:w="66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完成单位</w:t>
            </w:r>
          </w:p>
        </w:tc>
        <w:tc>
          <w:tcPr>
            <w:tcW w:w="1647" w:type="pct"/>
            <w:gridSpan w:val="3"/>
            <w:shd w:val="clear" w:color="000000" w:fill="FFFFFF"/>
            <w:vAlign w:val="center"/>
          </w:tcPr>
          <w:p>
            <w:pPr>
              <w:widowControl/>
              <w:adjustRightInd w:val="0"/>
              <w:snapToGrid w:val="0"/>
              <w:rPr>
                <w:rFonts w:hint="eastAsia" w:ascii="宋体" w:hAnsi="宋体" w:eastAsia="宋体" w:cs="宋体"/>
                <w:color w:val="000000"/>
                <w:kern w:val="0"/>
                <w:szCs w:val="21"/>
              </w:rPr>
            </w:pPr>
            <w:r>
              <w:rPr>
                <w:rFonts w:hint="eastAsia" w:ascii="宋体" w:hAnsi="宋体" w:eastAsia="宋体" w:cs="宋体"/>
                <w:kern w:val="0"/>
                <w:szCs w:val="21"/>
              </w:rPr>
              <w:t>贵州中水能源股份有限公司遵义分公司</w:t>
            </w:r>
          </w:p>
        </w:tc>
        <w:tc>
          <w:tcPr>
            <w:tcW w:w="640" w:type="pct"/>
            <w:gridSpan w:val="3"/>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工作单位</w:t>
            </w:r>
          </w:p>
        </w:tc>
        <w:tc>
          <w:tcPr>
            <w:tcW w:w="1773" w:type="pct"/>
            <w:gridSpan w:val="3"/>
            <w:shd w:val="clear" w:color="000000" w:fill="FFFFFF"/>
            <w:vAlign w:val="center"/>
          </w:tcPr>
          <w:p>
            <w:pPr>
              <w:widowControl/>
              <w:adjustRightInd w:val="0"/>
              <w:snapToGrid w:val="0"/>
              <w:rPr>
                <w:rFonts w:hint="eastAsia" w:ascii="宋体" w:hAnsi="宋体" w:eastAsia="宋体" w:cs="宋体"/>
                <w:color w:val="000000"/>
                <w:kern w:val="0"/>
                <w:szCs w:val="21"/>
              </w:rPr>
            </w:pPr>
            <w:r>
              <w:rPr>
                <w:rFonts w:hint="eastAsia" w:ascii="宋体" w:hAnsi="宋体" w:eastAsia="宋体" w:cs="宋体"/>
                <w:kern w:val="0"/>
                <w:szCs w:val="21"/>
              </w:rPr>
              <w:t>贵州中水能源股份有限公司遵义分公司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277" w:type="pct"/>
            <w:vMerge w:val="continue"/>
            <w:shd w:val="clear" w:color="000000" w:fill="FFFFFF"/>
            <w:vAlign w:val="center"/>
          </w:tcPr>
          <w:p>
            <w:pPr>
              <w:widowControl/>
              <w:adjustRightInd w:val="0"/>
              <w:snapToGrid w:val="0"/>
              <w:jc w:val="center"/>
              <w:rPr>
                <w:rFonts w:hint="eastAsia" w:ascii="宋体" w:hAnsi="宋体" w:eastAsia="宋体" w:cs="宋体"/>
                <w:color w:val="000000"/>
                <w:kern w:val="0"/>
                <w:szCs w:val="21"/>
              </w:rPr>
            </w:pPr>
          </w:p>
        </w:tc>
        <w:tc>
          <w:tcPr>
            <w:tcW w:w="664" w:type="pct"/>
            <w:shd w:val="clear" w:color="000000" w:fill="FFFFFF"/>
            <w:vAlign w:val="center"/>
          </w:tcPr>
          <w:p>
            <w:pPr>
              <w:widowControl/>
              <w:adjustRightInd w:val="0"/>
              <w:snapToGrid w:val="0"/>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对本项目技术创造性贡献</w:t>
            </w:r>
          </w:p>
        </w:tc>
        <w:tc>
          <w:tcPr>
            <w:tcW w:w="4059" w:type="pct"/>
            <w:gridSpan w:val="9"/>
            <w:shd w:val="clear" w:color="000000" w:fill="FFFFFF"/>
            <w:vAlign w:val="center"/>
          </w:tcPr>
          <w:p>
            <w:pPr>
              <w:widowControl/>
              <w:adjustRightInd w:val="0"/>
              <w:snapToGrid w:val="0"/>
              <w:jc w:val="left"/>
              <w:rPr>
                <w:rFonts w:hint="eastAsia" w:ascii="宋体" w:hAnsi="宋体" w:eastAsia="宋体" w:cs="宋体"/>
                <w:color w:val="000000"/>
                <w:kern w:val="0"/>
                <w:szCs w:val="21"/>
              </w:rPr>
            </w:pPr>
            <w:r>
              <w:rPr>
                <w:rFonts w:hint="eastAsia" w:ascii="宋体" w:hAnsi="宋体" w:eastAsia="宋体" w:cs="宋体"/>
                <w:color w:val="000000"/>
                <w:kern w:val="0"/>
                <w:szCs w:val="21"/>
              </w:rPr>
              <w:t>项目前期参与所有标段的招标文件编制及审查，对技术文件严格把关，查阅国家及行业相关标准，以确保设备的先进性；设备安装过程中，全程旁站监督，做好各项数据的记录，对技术差异部分及时提出，以保障设备安装的优越性；安装完成后，及时收集整理相关资料，总结经验，为今后类似改造工作提供了必要的技术条件。</w:t>
            </w:r>
          </w:p>
        </w:tc>
      </w:tr>
    </w:tbl>
    <w:p>
      <w:pPr>
        <w:rPr>
          <w:rFonts w:hint="eastAsia" w:ascii="宋体" w:hAnsi="宋体" w:eastAsia="宋体" w:cs="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Courier">
    <w:altName w:val="Courier New"/>
    <w:panose1 w:val="02070409020205020404"/>
    <w:charset w:val="00"/>
    <w:family w:val="modern"/>
    <w:pitch w:val="default"/>
    <w:sig w:usb0="00000000" w:usb1="00000000" w:usb2="00000000" w:usb3="00000000" w:csb0="00000001" w:csb1="00000000"/>
  </w:font>
  <w:font w:name="Courier New">
    <w:panose1 w:val="02070309020205020404"/>
    <w:charset w:val="00"/>
    <w:family w:val="auto"/>
    <w:pitch w:val="default"/>
    <w:sig w:usb0="E0002E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val="1"/>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ECD"/>
    <w:rsid w:val="0001651D"/>
    <w:rsid w:val="00043662"/>
    <w:rsid w:val="00043E75"/>
    <w:rsid w:val="000779BC"/>
    <w:rsid w:val="000C1F1D"/>
    <w:rsid w:val="00106ECD"/>
    <w:rsid w:val="0015413F"/>
    <w:rsid w:val="00172545"/>
    <w:rsid w:val="001F4565"/>
    <w:rsid w:val="00245455"/>
    <w:rsid w:val="00254837"/>
    <w:rsid w:val="00292B36"/>
    <w:rsid w:val="002A5B2E"/>
    <w:rsid w:val="002E3E8E"/>
    <w:rsid w:val="0031782F"/>
    <w:rsid w:val="0034776E"/>
    <w:rsid w:val="00363512"/>
    <w:rsid w:val="00371E68"/>
    <w:rsid w:val="003E41F1"/>
    <w:rsid w:val="00400085"/>
    <w:rsid w:val="00490B9D"/>
    <w:rsid w:val="004C40F8"/>
    <w:rsid w:val="004D42A5"/>
    <w:rsid w:val="004E7FF4"/>
    <w:rsid w:val="00501225"/>
    <w:rsid w:val="0053523F"/>
    <w:rsid w:val="00584275"/>
    <w:rsid w:val="00590715"/>
    <w:rsid w:val="005936D7"/>
    <w:rsid w:val="005C3E31"/>
    <w:rsid w:val="005C73D5"/>
    <w:rsid w:val="005D7D43"/>
    <w:rsid w:val="005F2C75"/>
    <w:rsid w:val="006359CA"/>
    <w:rsid w:val="0064070D"/>
    <w:rsid w:val="00661CF8"/>
    <w:rsid w:val="006A3BEC"/>
    <w:rsid w:val="006A757E"/>
    <w:rsid w:val="006D1472"/>
    <w:rsid w:val="006E5249"/>
    <w:rsid w:val="006E66D9"/>
    <w:rsid w:val="00707590"/>
    <w:rsid w:val="0072069D"/>
    <w:rsid w:val="00761975"/>
    <w:rsid w:val="00786A3C"/>
    <w:rsid w:val="007915F2"/>
    <w:rsid w:val="007B1D05"/>
    <w:rsid w:val="00804D35"/>
    <w:rsid w:val="00833FA7"/>
    <w:rsid w:val="00846775"/>
    <w:rsid w:val="00850986"/>
    <w:rsid w:val="00872A5B"/>
    <w:rsid w:val="008766FD"/>
    <w:rsid w:val="008B6AE7"/>
    <w:rsid w:val="008C4CD4"/>
    <w:rsid w:val="008D7A63"/>
    <w:rsid w:val="008F0BAC"/>
    <w:rsid w:val="00934707"/>
    <w:rsid w:val="00937204"/>
    <w:rsid w:val="00981051"/>
    <w:rsid w:val="0099521B"/>
    <w:rsid w:val="00A26DD1"/>
    <w:rsid w:val="00A46807"/>
    <w:rsid w:val="00A46B10"/>
    <w:rsid w:val="00A546B8"/>
    <w:rsid w:val="00A57C02"/>
    <w:rsid w:val="00A57E94"/>
    <w:rsid w:val="00A650B9"/>
    <w:rsid w:val="00A952FD"/>
    <w:rsid w:val="00AA35DC"/>
    <w:rsid w:val="00AD716C"/>
    <w:rsid w:val="00B035D8"/>
    <w:rsid w:val="00B160BC"/>
    <w:rsid w:val="00B23650"/>
    <w:rsid w:val="00B2480C"/>
    <w:rsid w:val="00B50B7E"/>
    <w:rsid w:val="00B901DA"/>
    <w:rsid w:val="00BF285D"/>
    <w:rsid w:val="00C5507B"/>
    <w:rsid w:val="00CD67E0"/>
    <w:rsid w:val="00D01D76"/>
    <w:rsid w:val="00D26423"/>
    <w:rsid w:val="00D55EFF"/>
    <w:rsid w:val="00E0618C"/>
    <w:rsid w:val="00E07DC3"/>
    <w:rsid w:val="00E6490A"/>
    <w:rsid w:val="00F024A9"/>
    <w:rsid w:val="00F1301F"/>
    <w:rsid w:val="00F20047"/>
    <w:rsid w:val="00F24FF1"/>
    <w:rsid w:val="00F70C24"/>
    <w:rsid w:val="00F93355"/>
    <w:rsid w:val="00F94A0D"/>
    <w:rsid w:val="00F973C9"/>
    <w:rsid w:val="00FB22C6"/>
    <w:rsid w:val="00FC45AC"/>
    <w:rsid w:val="00FE0E81"/>
    <w:rsid w:val="00FE60D8"/>
    <w:rsid w:val="41823C12"/>
    <w:rsid w:val="5DE13862"/>
    <w:rsid w:val="7CE56CE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nhideWhenUsed="0" w:uiPriority="0"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nhideWhenUsed="0" w:uiPriority="99" w:semiHidden="0" w:name="Table Web 3"/>
    <w:lsdException w:uiPriority="99" w:name="Balloon Text"/>
    <w:lsdException w:unhideWhenUsed="0" w:uiPriority="59" w:semiHidden="0" w:name="Table Grid"/>
    <w:lsdException w:unhideWhenUsed="0"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6"/>
    <w:uiPriority w:val="0"/>
    <w:pPr>
      <w:jc w:val="left"/>
    </w:pPr>
    <w:rPr>
      <w:rFonts w:ascii="Times New Roman" w:hAnsi="Times New Roman" w:eastAsia="宋体" w:cs="Times New Roman"/>
    </w:rPr>
  </w:style>
  <w:style w:type="paragraph" w:styleId="3">
    <w:name w:val="Body Text"/>
    <w:basedOn w:val="1"/>
    <w:link w:val="18"/>
    <w:qFormat/>
    <w:uiPriority w:val="1"/>
    <w:pPr>
      <w:autoSpaceDE w:val="0"/>
      <w:autoSpaceDN w:val="0"/>
      <w:adjustRightInd w:val="0"/>
      <w:jc w:val="left"/>
    </w:pPr>
    <w:rPr>
      <w:rFonts w:ascii="宋体" w:hAnsi="Times New Roman" w:eastAsia="宋体" w:cs="宋体"/>
      <w:kern w:val="0"/>
      <w:sz w:val="24"/>
    </w:rPr>
  </w:style>
  <w:style w:type="paragraph" w:styleId="4">
    <w:name w:val="Plain Text"/>
    <w:basedOn w:val="1"/>
    <w:link w:val="14"/>
    <w:qFormat/>
    <w:uiPriority w:val="0"/>
    <w:pPr>
      <w:spacing w:line="360" w:lineRule="auto"/>
      <w:ind w:firstLine="480" w:firstLineChars="200"/>
    </w:pPr>
    <w:rPr>
      <w:rFonts w:ascii="仿宋_GB2312"/>
      <w:sz w:val="24"/>
    </w:rPr>
  </w:style>
  <w:style w:type="paragraph" w:styleId="5">
    <w:name w:val="Balloon Text"/>
    <w:basedOn w:val="1"/>
    <w:link w:val="15"/>
    <w:semiHidden/>
    <w:unhideWhenUsed/>
    <w:uiPriority w:val="99"/>
    <w:rPr>
      <w:sz w:val="18"/>
      <w:szCs w:val="18"/>
    </w:rPr>
  </w:style>
  <w:style w:type="paragraph" w:styleId="6">
    <w:name w:val="footer"/>
    <w:basedOn w:val="1"/>
    <w:link w:val="13"/>
    <w:unhideWhenUsed/>
    <w:uiPriority w:val="99"/>
    <w:pPr>
      <w:tabs>
        <w:tab w:val="center" w:pos="4153"/>
        <w:tab w:val="right" w:pos="8306"/>
      </w:tabs>
      <w:snapToGrid w:val="0"/>
      <w:jc w:val="left"/>
    </w:pPr>
    <w:rPr>
      <w:sz w:val="18"/>
      <w:szCs w:val="18"/>
    </w:rPr>
  </w:style>
  <w:style w:type="paragraph" w:styleId="7">
    <w:name w:val="header"/>
    <w:basedOn w:val="1"/>
    <w:link w:val="12"/>
    <w:unhideWhenUsed/>
    <w:uiPriority w:val="99"/>
    <w:pPr>
      <w:pBdr>
        <w:bottom w:val="single" w:color="auto" w:sz="6" w:space="1"/>
      </w:pBdr>
      <w:tabs>
        <w:tab w:val="center" w:pos="4153"/>
        <w:tab w:val="right" w:pos="8306"/>
      </w:tabs>
      <w:snapToGrid w:val="0"/>
      <w:jc w:val="center"/>
    </w:pPr>
    <w:rPr>
      <w:sz w:val="18"/>
      <w:szCs w:val="18"/>
    </w:rPr>
  </w:style>
  <w:style w:type="character" w:styleId="10">
    <w:name w:val="Hyperlink"/>
    <w:basedOn w:val="9"/>
    <w:semiHidden/>
    <w:unhideWhenUsed/>
    <w:uiPriority w:val="99"/>
    <w:rPr>
      <w:color w:val="0563C1"/>
      <w:u w:val="single"/>
    </w:rPr>
  </w:style>
  <w:style w:type="character" w:styleId="11">
    <w:name w:val="annotation reference"/>
    <w:semiHidden/>
    <w:unhideWhenUsed/>
    <w:uiPriority w:val="99"/>
    <w:rPr>
      <w:sz w:val="21"/>
      <w:szCs w:val="21"/>
    </w:rPr>
  </w:style>
  <w:style w:type="character" w:customStyle="1" w:styleId="12">
    <w:name w:val="页眉 字符"/>
    <w:basedOn w:val="9"/>
    <w:link w:val="7"/>
    <w:uiPriority w:val="99"/>
    <w:rPr>
      <w:sz w:val="18"/>
      <w:szCs w:val="18"/>
    </w:rPr>
  </w:style>
  <w:style w:type="character" w:customStyle="1" w:styleId="13">
    <w:name w:val="页脚 字符"/>
    <w:basedOn w:val="9"/>
    <w:link w:val="6"/>
    <w:uiPriority w:val="99"/>
    <w:rPr>
      <w:sz w:val="18"/>
      <w:szCs w:val="18"/>
    </w:rPr>
  </w:style>
  <w:style w:type="character" w:customStyle="1" w:styleId="14">
    <w:name w:val="纯文本 字符"/>
    <w:basedOn w:val="9"/>
    <w:link w:val="4"/>
    <w:uiPriority w:val="0"/>
    <w:rPr>
      <w:rFonts w:ascii="仿宋_GB2312"/>
      <w:sz w:val="24"/>
      <w:szCs w:val="24"/>
    </w:rPr>
  </w:style>
  <w:style w:type="character" w:customStyle="1" w:styleId="15">
    <w:name w:val="批注框文本 字符"/>
    <w:basedOn w:val="9"/>
    <w:link w:val="5"/>
    <w:semiHidden/>
    <w:uiPriority w:val="99"/>
    <w:rPr>
      <w:sz w:val="18"/>
      <w:szCs w:val="18"/>
    </w:rPr>
  </w:style>
  <w:style w:type="character" w:customStyle="1" w:styleId="16">
    <w:name w:val="批注文字 字符"/>
    <w:basedOn w:val="9"/>
    <w:link w:val="2"/>
    <w:uiPriority w:val="0"/>
    <w:rPr>
      <w:rFonts w:ascii="Times New Roman" w:hAnsi="Times New Roman" w:eastAsia="宋体" w:cs="Times New Roman"/>
      <w:szCs w:val="24"/>
    </w:rPr>
  </w:style>
  <w:style w:type="paragraph" w:styleId="17">
    <w:name w:val="List Paragraph"/>
    <w:basedOn w:val="1"/>
    <w:qFormat/>
    <w:uiPriority w:val="34"/>
    <w:pPr>
      <w:ind w:firstLine="420" w:firstLineChars="200"/>
    </w:pPr>
  </w:style>
  <w:style w:type="character" w:customStyle="1" w:styleId="18">
    <w:name w:val="正文文本 字符"/>
    <w:basedOn w:val="9"/>
    <w:link w:val="3"/>
    <w:uiPriority w:val="1"/>
    <w:rPr>
      <w:rFonts w:ascii="宋体" w:hAnsi="Times New Roman" w:eastAsia="宋体" w:cs="宋体"/>
      <w:kern w:val="0"/>
      <w:sz w:val="24"/>
      <w:szCs w:val="24"/>
    </w:rPr>
  </w:style>
  <w:style w:type="paragraph" w:customStyle="1" w:styleId="19">
    <w:name w:val="Table Paragraph"/>
    <w:basedOn w:val="1"/>
    <w:qFormat/>
    <w:uiPriority w:val="1"/>
    <w:pPr>
      <w:autoSpaceDE w:val="0"/>
      <w:autoSpaceDN w:val="0"/>
      <w:adjustRightInd w:val="0"/>
      <w:jc w:val="left"/>
    </w:pPr>
    <w:rPr>
      <w:rFonts w:ascii="宋体" w:hAnsi="Times New Roman" w:eastAsia="宋体" w:cs="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736</Words>
  <Characters>4200</Characters>
  <Lines>35</Lines>
  <Paragraphs>9</Paragraphs>
  <TotalTime>507</TotalTime>
  <ScaleCrop>false</ScaleCrop>
  <LinksUpToDate>false</LinksUpToDate>
  <CharactersWithSpaces>4927</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2020-05-11T07:56:00Z</dcterms:created>
  <dc:creator>罗 志</dc:creator>
  <cp:lastModifiedBy>琼。。。</cp:lastModifiedBy>
  <dcterms:modified xsi:type="dcterms:W3CDTF">2020-05-15T08:37:23Z</dcterms:modified>
  <cp:revision>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