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ascii="黑体" w:hAnsi="黑体" w:eastAsia="黑体"/>
          <w:sz w:val="32"/>
          <w:szCs w:val="32"/>
        </w:rPr>
      </w:pPr>
      <w:bookmarkStart w:id="0" w:name="_GoBack"/>
      <w:bookmarkEnd w:id="0"/>
      <w:r>
        <w:rPr>
          <w:rFonts w:hint="eastAsia" w:ascii="黑体" w:hAnsi="黑体" w:eastAsia="黑体"/>
          <w:sz w:val="32"/>
          <w:szCs w:val="32"/>
        </w:rPr>
        <w:t>附件3</w:t>
      </w:r>
    </w:p>
    <w:p>
      <w:pPr>
        <w:widowControl/>
        <w:spacing w:line="560" w:lineRule="exact"/>
        <w:jc w:val="left"/>
        <w:rPr>
          <w:rFonts w:ascii="黑体" w:hAnsi="黑体" w:eastAsia="黑体"/>
          <w:sz w:val="32"/>
          <w:szCs w:val="32"/>
        </w:rPr>
      </w:pPr>
    </w:p>
    <w:p>
      <w:pPr>
        <w:spacing w:line="560" w:lineRule="exact"/>
        <w:jc w:val="center"/>
        <w:rPr>
          <w:rFonts w:ascii="宋体" w:hAnsi="宋体"/>
          <w:b/>
          <w:sz w:val="44"/>
          <w:szCs w:val="44"/>
        </w:rPr>
      </w:pPr>
      <w:r>
        <w:rPr>
          <w:rFonts w:hint="eastAsia" w:ascii="宋体" w:hAnsi="宋体"/>
          <w:b/>
          <w:sz w:val="44"/>
          <w:szCs w:val="44"/>
        </w:rPr>
        <w:t>国家电投集团贵州金元股份有限公司</w:t>
      </w:r>
    </w:p>
    <w:p>
      <w:pPr>
        <w:spacing w:line="560" w:lineRule="exact"/>
        <w:jc w:val="center"/>
        <w:rPr>
          <w:rFonts w:ascii="宋体" w:hAnsi="宋体"/>
          <w:b/>
          <w:sz w:val="44"/>
          <w:szCs w:val="44"/>
        </w:rPr>
      </w:pPr>
      <w:r>
        <w:rPr>
          <w:rFonts w:hint="eastAsia" w:ascii="宋体" w:hAnsi="宋体"/>
          <w:b/>
          <w:sz w:val="44"/>
          <w:szCs w:val="44"/>
        </w:rPr>
        <w:t>2020年第一</w:t>
      </w:r>
      <w:r>
        <w:rPr>
          <w:rFonts w:ascii="宋体" w:hAnsi="宋体"/>
          <w:b/>
          <w:sz w:val="44"/>
          <w:szCs w:val="44"/>
        </w:rPr>
        <w:t>次</w:t>
      </w:r>
      <w:r>
        <w:rPr>
          <w:rFonts w:hint="eastAsia" w:ascii="宋体" w:hAnsi="宋体"/>
          <w:b/>
          <w:sz w:val="44"/>
          <w:szCs w:val="44"/>
        </w:rPr>
        <w:t>临时股东大会决议</w:t>
      </w:r>
    </w:p>
    <w:p>
      <w:pPr>
        <w:spacing w:line="560" w:lineRule="exact"/>
        <w:ind w:firstLine="624" w:firstLineChars="200"/>
        <w:rPr>
          <w:rFonts w:ascii="仿宋" w:hAnsi="仿宋" w:eastAsia="仿宋"/>
          <w:sz w:val="32"/>
          <w:szCs w:val="32"/>
        </w:rPr>
      </w:pPr>
    </w:p>
    <w:p>
      <w:pPr>
        <w:spacing w:line="560" w:lineRule="exact"/>
        <w:ind w:firstLine="624" w:firstLineChars="200"/>
        <w:rPr>
          <w:rFonts w:ascii="仿宋_GB2312" w:hAnsi="仿宋" w:eastAsia="仿宋_GB2312"/>
          <w:sz w:val="32"/>
          <w:szCs w:val="32"/>
        </w:rPr>
      </w:pPr>
      <w:r>
        <w:rPr>
          <w:rFonts w:hint="eastAsia" w:ascii="仿宋_GB2312" w:hAnsi="仿宋" w:eastAsia="仿宋_GB2312"/>
          <w:sz w:val="32"/>
          <w:szCs w:val="32"/>
        </w:rPr>
        <w:t>2020年9月18日，国家电投集团贵州金元股份有限公司（简称贵州金元</w:t>
      </w:r>
      <w:r>
        <w:rPr>
          <w:rFonts w:ascii="仿宋_GB2312" w:hAnsi="仿宋" w:eastAsia="仿宋_GB2312"/>
          <w:sz w:val="32"/>
          <w:szCs w:val="32"/>
        </w:rPr>
        <w:t>）</w:t>
      </w:r>
      <w:r>
        <w:rPr>
          <w:rFonts w:hint="eastAsia" w:ascii="仿宋_GB2312" w:hAnsi="仿宋" w:eastAsia="仿宋_GB2312"/>
          <w:sz w:val="32"/>
          <w:szCs w:val="32"/>
        </w:rPr>
        <w:t>以通讯方式召开2020年第一次临时股东大会。</w:t>
      </w:r>
      <w:r>
        <w:rPr>
          <w:rFonts w:hint="eastAsia" w:ascii="仿宋_GB2312" w:eastAsia="仿宋_GB2312"/>
          <w:snapToGrid w:val="0"/>
          <w:kern w:val="0"/>
          <w:sz w:val="32"/>
          <w:szCs w:val="32"/>
        </w:rPr>
        <w:t>贵州金元董事会将《贵州金元关于召开2020年第一次临时股东大会的通知》于2020年9月4日在贵州金元网站上进行了公告。</w:t>
      </w:r>
      <w:r>
        <w:rPr>
          <w:rFonts w:hint="eastAsia" w:ascii="仿宋_GB2312" w:hAnsi="仿宋" w:eastAsia="仿宋_GB2312"/>
          <w:sz w:val="32"/>
          <w:szCs w:val="32"/>
        </w:rPr>
        <w:t>本次会议</w:t>
      </w:r>
      <w:r>
        <w:rPr>
          <w:rFonts w:hint="eastAsia" w:ascii="仿宋_GB2312" w:eastAsia="仿宋_GB2312"/>
          <w:snapToGrid w:val="0"/>
          <w:kern w:val="0"/>
          <w:sz w:val="32"/>
          <w:szCs w:val="32"/>
        </w:rPr>
        <w:t>表决股份437622.74万股，</w:t>
      </w:r>
      <w:r>
        <w:rPr>
          <w:rFonts w:hint="eastAsia" w:ascii="仿宋_GB2312" w:eastAsia="仿宋_GB2312"/>
          <w:sz w:val="32"/>
          <w:szCs w:val="32"/>
        </w:rPr>
        <w:t>占贵州金元总股本的</w:t>
      </w:r>
      <w:r>
        <w:rPr>
          <w:rFonts w:ascii="仿宋_GB2312" w:eastAsia="仿宋_GB2312"/>
          <w:sz w:val="32"/>
          <w:szCs w:val="32"/>
        </w:rPr>
        <w:t>93.26</w:t>
      </w:r>
      <w:r>
        <w:rPr>
          <w:rFonts w:hint="eastAsia" w:ascii="仿宋_GB2312" w:eastAsia="仿宋_GB2312"/>
          <w:sz w:val="32"/>
          <w:szCs w:val="32"/>
        </w:rPr>
        <w:t>%。</w:t>
      </w:r>
      <w:r>
        <w:rPr>
          <w:rFonts w:hint="eastAsia" w:ascii="仿宋_GB2312" w:hAnsi="仿宋" w:eastAsia="仿宋_GB2312"/>
          <w:sz w:val="32"/>
          <w:szCs w:val="32"/>
        </w:rPr>
        <w:t>。本次会议的召开和表决符合《中华人民共和国公司法》及《国家电投集团贵州金元股份有限公司章程》的规定。会议决议如下：</w:t>
      </w:r>
    </w:p>
    <w:p>
      <w:pPr>
        <w:spacing w:line="560" w:lineRule="exact"/>
        <w:ind w:firstLine="624" w:firstLineChars="200"/>
        <w:rPr>
          <w:rFonts w:ascii="仿宋_GB2312" w:eastAsia="仿宋_GB2312"/>
          <w:sz w:val="32"/>
          <w:szCs w:val="32"/>
        </w:rPr>
      </w:pPr>
      <w:r>
        <w:rPr>
          <w:rFonts w:hint="eastAsia" w:ascii="仿宋_GB2312" w:eastAsia="仿宋_GB2312"/>
          <w:sz w:val="32"/>
          <w:szCs w:val="32"/>
        </w:rPr>
        <w:t>一、审议通过《</w:t>
      </w:r>
      <w:r>
        <w:rPr>
          <w:rFonts w:hint="eastAsia" w:ascii="仿宋_GB2312" w:hAnsi="仿宋" w:eastAsia="仿宋_GB2312"/>
          <w:sz w:val="32"/>
        </w:rPr>
        <w:t>贵州金元关于为威宁能源公司股权融资提供差额补足及回购义务的议案</w:t>
      </w:r>
      <w:r>
        <w:rPr>
          <w:rFonts w:hint="eastAsia" w:ascii="仿宋_GB2312" w:eastAsia="仿宋_GB2312"/>
          <w:sz w:val="32"/>
          <w:szCs w:val="32"/>
        </w:rPr>
        <w:t>》。同意国家电投集团贵州金元威宁能源股份有限公司(简称威宁能源公司)引入北京诚通工银股权投资基金（有限合伙）（简称北京诚通工银）参与威宁能源公司股本次定向增发融资事宜，以及贵州金元为北京诚通工银投资威宁能源公司提供投资收益差额补足及到期回购义务，并与北京诚通工银及相关各方签署《股权转让协议》、《补充协议》、《账户监管协议》等相关合同及法律文件，配合完成威宁能源公司本次定向增发股权融资后续相关工作。</w:t>
      </w:r>
    </w:p>
    <w:p>
      <w:pPr>
        <w:spacing w:line="560" w:lineRule="exact"/>
        <w:ind w:firstLine="624" w:firstLineChars="200"/>
        <w:rPr>
          <w:rFonts w:ascii="仿宋_GB2312" w:eastAsia="仿宋_GB2312"/>
          <w:sz w:val="32"/>
          <w:szCs w:val="32"/>
        </w:rPr>
      </w:pPr>
      <w:r>
        <w:rPr>
          <w:rFonts w:hint="eastAsia" w:ascii="仿宋_GB2312" w:eastAsia="仿宋_GB2312"/>
          <w:sz w:val="32"/>
          <w:szCs w:val="32"/>
        </w:rPr>
        <w:t>二、审议通过《关于吴润华辞去贵州金元第四届董事会董事的议案》。同意吴润华辞去贵州金元第四届董事会董事。</w:t>
      </w:r>
    </w:p>
    <w:p>
      <w:pPr>
        <w:spacing w:line="700" w:lineRule="exact"/>
        <w:rPr>
          <w:rFonts w:ascii="黑体" w:hAnsi="黑体" w:eastAsia="黑体"/>
          <w:sz w:val="30"/>
          <w:szCs w:val="30"/>
        </w:rPr>
      </w:pPr>
      <w:r>
        <w:rPr>
          <w:rFonts w:hint="eastAsia" w:ascii="黑体" w:hAnsi="黑体" w:eastAsia="黑体"/>
          <w:sz w:val="30"/>
          <w:szCs w:val="30"/>
        </w:rPr>
        <w:t>（股东签字、盖章页附后）</w:t>
      </w:r>
    </w:p>
    <w:p>
      <w:pPr>
        <w:widowControl/>
        <w:spacing w:line="700" w:lineRule="exact"/>
        <w:jc w:val="left"/>
        <w:rPr>
          <w:rFonts w:ascii="黑体" w:hAnsi="黑体" w:eastAsia="黑体"/>
          <w:sz w:val="32"/>
        </w:rPr>
      </w:pPr>
      <w:r>
        <w:rPr>
          <w:rFonts w:ascii="仿宋" w:hAnsi="仿宋" w:eastAsia="仿宋"/>
          <w:sz w:val="32"/>
          <w:szCs w:val="32"/>
        </w:rPr>
        <w:br w:type="page"/>
      </w:r>
      <w:r>
        <w:rPr>
          <w:rFonts w:hint="eastAsia" w:ascii="黑体" w:hAnsi="黑体" w:eastAsia="黑体"/>
          <w:sz w:val="32"/>
        </w:rPr>
        <w:t>（此页为贵州金元2020年第一次临时股东大会决议签字、盖章页）</w:t>
      </w:r>
    </w:p>
    <w:p>
      <w:pPr>
        <w:ind w:firstLine="624" w:firstLineChars="200"/>
        <w:rPr>
          <w:rFonts w:ascii="黑体" w:hAnsi="黑体" w:eastAsia="黑体"/>
          <w:sz w:val="32"/>
          <w:szCs w:val="32"/>
        </w:rPr>
      </w:pPr>
    </w:p>
    <w:p>
      <w:pPr>
        <w:ind w:firstLine="624" w:firstLineChars="200"/>
        <w:rPr>
          <w:rFonts w:ascii="黑体" w:hAnsi="黑体" w:eastAsia="黑体"/>
          <w:sz w:val="32"/>
          <w:szCs w:val="32"/>
        </w:rPr>
      </w:pPr>
    </w:p>
    <w:p>
      <w:pPr>
        <w:ind w:firstLine="624" w:firstLineChars="200"/>
        <w:rPr>
          <w:sz w:val="32"/>
          <w:szCs w:val="32"/>
        </w:rPr>
      </w:pPr>
      <w:r>
        <w:rPr>
          <w:rFonts w:hint="eastAsia" w:ascii="仿宋_GB2312" w:hAnsi="宋体" w:eastAsia="仿宋_GB2312" w:cs="宋体"/>
          <w:kern w:val="0"/>
          <w:sz w:val="32"/>
          <w:szCs w:val="32"/>
        </w:rPr>
        <w:t>国家电力投资集团有限公司：</w:t>
      </w:r>
    </w:p>
    <w:p/>
    <w:p/>
    <w:p>
      <w:pPr>
        <w:rPr>
          <w:u w:val="single"/>
        </w:rPr>
      </w:pPr>
      <w:r>
        <w:rPr>
          <w:rFonts w:hint="eastAsia"/>
        </w:rPr>
        <w:t xml:space="preserve">                                                </w:t>
      </w:r>
      <w:r>
        <w:rPr>
          <w:rFonts w:hint="eastAsia"/>
          <w:u w:val="single"/>
        </w:rPr>
        <w:t xml:space="preserve">                                </w:t>
      </w:r>
    </w:p>
    <w:p>
      <w:pPr>
        <w:rPr>
          <w:u w:val="single"/>
        </w:rPr>
      </w:pPr>
    </w:p>
    <w:p/>
    <w:p/>
    <w:p/>
    <w:p/>
    <w:p/>
    <w:p>
      <w:pPr>
        <w:ind w:firstLine="624" w:firstLineChars="200"/>
        <w:rPr>
          <w:rFonts w:ascii="仿宋_GB2312" w:eastAsia="仿宋_GB2312"/>
          <w:sz w:val="32"/>
          <w:szCs w:val="32"/>
        </w:rPr>
      </w:pPr>
      <w:r>
        <w:rPr>
          <w:rFonts w:hint="eastAsia" w:ascii="仿宋_GB2312" w:hAnsi="宋体" w:eastAsia="仿宋_GB2312" w:cs="宋体"/>
          <w:kern w:val="0"/>
          <w:sz w:val="32"/>
          <w:szCs w:val="32"/>
        </w:rPr>
        <w:t>贵州盘江煤电集团有限责任公司：</w:t>
      </w:r>
    </w:p>
    <w:p>
      <w:pPr>
        <w:rPr>
          <w:rFonts w:ascii="仿宋_GB2312" w:eastAsia="仿宋_GB2312"/>
          <w:sz w:val="30"/>
          <w:szCs w:val="30"/>
        </w:rPr>
      </w:pPr>
    </w:p>
    <w:p>
      <w:pPr>
        <w:rPr>
          <w:rFonts w:ascii="仿宋_GB2312" w:eastAsia="仿宋_GB2312"/>
          <w:sz w:val="30"/>
          <w:szCs w:val="30"/>
          <w:u w:val="single"/>
        </w:rPr>
      </w:pPr>
      <w:r>
        <w:rPr>
          <w:rFonts w:hint="eastAsia" w:ascii="仿宋_GB2312" w:eastAsia="仿宋_GB2312"/>
          <w:sz w:val="30"/>
          <w:szCs w:val="30"/>
        </w:rPr>
        <w:t xml:space="preserve">                                 </w:t>
      </w:r>
      <w:r>
        <w:rPr>
          <w:rFonts w:hint="eastAsia" w:ascii="仿宋_GB2312" w:eastAsia="仿宋_GB2312"/>
          <w:sz w:val="30"/>
          <w:szCs w:val="30"/>
          <w:u w:val="single"/>
        </w:rPr>
        <w:t xml:space="preserve">                        </w:t>
      </w:r>
    </w:p>
    <w:p>
      <w:pPr>
        <w:ind w:firstLine="624" w:firstLineChars="200"/>
        <w:rPr>
          <w:rFonts w:ascii="仿宋_GB2312" w:eastAsia="仿宋_GB2312"/>
          <w:color w:val="FF0000"/>
          <w:sz w:val="32"/>
        </w:rPr>
      </w:pPr>
    </w:p>
    <w:p>
      <w:pPr>
        <w:ind w:firstLine="624" w:firstLineChars="200"/>
        <w:rPr>
          <w:rFonts w:ascii="仿宋_GB2312" w:eastAsia="仿宋_GB2312"/>
          <w:color w:val="FF0000"/>
          <w:sz w:val="32"/>
        </w:rPr>
      </w:pPr>
    </w:p>
    <w:p>
      <w:pPr>
        <w:jc w:val="center"/>
        <w:rPr>
          <w:rFonts w:ascii="仿宋_GB2312" w:eastAsia="仿宋_GB2312"/>
          <w:sz w:val="32"/>
          <w:szCs w:val="32"/>
        </w:rPr>
      </w:pPr>
      <w:r>
        <w:rPr>
          <w:rFonts w:hint="eastAsia" w:ascii="仿宋_GB2312" w:eastAsia="仿宋_GB2312"/>
          <w:sz w:val="32"/>
          <w:szCs w:val="32"/>
        </w:rPr>
        <w:t xml:space="preserve">                                 2020年9月18日</w:t>
      </w:r>
    </w:p>
    <w:p>
      <w:pPr>
        <w:spacing w:line="560" w:lineRule="exact"/>
        <w:ind w:firstLine="624" w:firstLineChars="200"/>
        <w:rPr>
          <w:rFonts w:ascii="仿宋_GB2312" w:hAnsi="仿宋" w:eastAsia="仿宋_GB2312"/>
          <w:sz w:val="32"/>
          <w:szCs w:val="32"/>
        </w:rPr>
      </w:pPr>
    </w:p>
    <w:p/>
    <w:sectPr>
      <w:footerReference r:id="rId3" w:type="default"/>
      <w:footerReference r:id="rId4" w:type="even"/>
      <w:pgSz w:w="11906" w:h="16838"/>
      <w:pgMar w:top="1588" w:right="1418" w:bottom="1588" w:left="1418" w:header="851" w:footer="992" w:gutter="0"/>
      <w:cols w:space="425" w:num="1"/>
      <w:docGrid w:type="linesAndChars" w:linePitch="312"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92514"/>
    <w:rsid w:val="66E92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2020-09-11T04:16:00Z</dcterms:created>
  <dc:creator>黄金档</dc:creator>
  <cp:lastModifiedBy>黄金档</cp:lastModifiedBy>
  <dcterms:modified xsi:type="dcterms:W3CDTF">2020-09-11T04:19:57Z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