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i w:val="0"/>
          <w:caps w:val="0"/>
          <w:color w:val="333333"/>
          <w:spacing w:val="0"/>
          <w:sz w:val="44"/>
          <w:szCs w:val="44"/>
          <w:bdr w:val="none" w:color="auto" w:sz="0" w:space="0"/>
          <w:shd w:val="clear" w:fill="FFFFFF"/>
        </w:rPr>
      </w:pPr>
      <w:r>
        <w:rPr>
          <w:rFonts w:hint="eastAsia" w:ascii="Arial" w:hAnsi="Arial" w:eastAsia="宋体" w:cs="Arial"/>
          <w:i w:val="0"/>
          <w:caps w:val="0"/>
          <w:color w:val="333333"/>
          <w:spacing w:val="0"/>
          <w:sz w:val="44"/>
          <w:szCs w:val="44"/>
          <w:shd w:val="clear" w:fill="FFFFFF"/>
        </w:rPr>
        <w:t>中华人民共和国可再生能源法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r>
        <w:rPr>
          <w:i w:val="0"/>
          <w:caps w:val="0"/>
          <w:color w:val="333333"/>
          <w:spacing w:val="0"/>
          <w:sz w:val="32"/>
          <w:szCs w:val="32"/>
          <w:bdr w:val="none" w:color="auto" w:sz="0" w:space="0"/>
          <w:shd w:val="clear" w:fill="FFFFFF"/>
        </w:rPr>
        <w:t>第一章 总则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eastAsia"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为了促进可再生能源的开发利用，增加能源供应，改善能源结构，保障能源安全，保护环境，实现经济社会的可持续发展，制定本法。</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eastAsia" w:ascii="Arial" w:hAnsi="Arial" w:eastAsia="宋体" w:cs="Arial"/>
          <w:i w:val="0"/>
          <w:caps w:val="0"/>
          <w:color w:val="333333"/>
          <w:spacing w:val="0"/>
          <w:kern w:val="0"/>
          <w:sz w:val="32"/>
          <w:szCs w:val="32"/>
          <w:shd w:val="clear" w:fill="FFFFFF"/>
          <w:lang w:val="en-US" w:eastAsia="zh-CN" w:bidi="ar"/>
        </w:rPr>
        <w:t xml:space="preserve">    </w:t>
      </w:r>
      <w:r>
        <w:rPr>
          <w:rFonts w:hint="default" w:ascii="Arial" w:hAnsi="Arial" w:eastAsia="宋体" w:cs="Arial"/>
          <w:b/>
          <w:i w:val="0"/>
          <w:caps w:val="0"/>
          <w:color w:val="333333"/>
          <w:spacing w:val="0"/>
          <w:kern w:val="0"/>
          <w:sz w:val="32"/>
          <w:szCs w:val="32"/>
          <w:shd w:val="clear" w:fill="FFFFFF"/>
          <w:lang w:val="en-US" w:eastAsia="zh-CN" w:bidi="ar"/>
        </w:rPr>
        <w:t>第二条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本法所称可再生能源，是指风能、太阳能、水能、生物质能、地热能、海洋能等非化石能源。</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水力发电对本法的适用，由国务院能源主管部门规定，报国务院批准。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通过低效率炉灶直接燃烧方式利用秸秆、薪柴、粪便等，不适用本法。</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本法适用于中华人民共和国领域和管辖的其他海域。</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国家将可再生能源的开发利用列为能源发展的优先领域，通过制定可再生能源开发利用总量目标和采取相应措施，推动可再生能源市场的建立和发展。</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国家鼓励各种所有制经济主体参与可再生能源的开发利用，依法保护可再生能源开发利用者的合法权益。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国务院能源主管部门对全国可再生能源的开发利用实施统一管理。国务院有关部门在各自的职责范围内负责有关的可再生能源开发利用管理工作。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县级以上地方人民政府管理能源工作的部门负责本行政区域内可再生能源开发利用的管理工作。县级以上地方人民政府有关部门在各自的职责范围内负责有关的可再生能源开发利用管理工作。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0" w:name="2_2"/>
      <w:bookmarkEnd w:id="0"/>
      <w:bookmarkStart w:id="1" w:name="sub72046_2_2"/>
      <w:bookmarkEnd w:id="1"/>
      <w:bookmarkStart w:id="2" w:name="第二章 资源调查与发展规划"/>
      <w:bookmarkEnd w:id="2"/>
      <w:bookmarkStart w:id="3" w:name="2-2"/>
      <w:bookmarkEnd w:id="3"/>
      <w:r>
        <w:rPr>
          <w:i w:val="0"/>
          <w:caps w:val="0"/>
          <w:color w:val="333333"/>
          <w:spacing w:val="0"/>
          <w:sz w:val="32"/>
          <w:szCs w:val="32"/>
          <w:bdr w:val="none" w:color="auto" w:sz="0" w:space="0"/>
          <w:shd w:val="clear" w:fill="FFFFFF"/>
        </w:rPr>
        <w:t>第二章 资源调查与发展规划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国务院能源主管部门负责组织和协调全国可再生能源资源的调查，并会同国务院有关部门组织制定资源调查的技术规范。</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国务院有关部门在各自的职责范围内负责相关可再生能源资源的调查，调查结果报国务院能源主管部门汇总。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可再生能源资源的调查结果应当公布；但是，国家规定需要保密的内容除外。</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国务院能源主管部门根据全国能源需求与可再生能源资源实际状况，制定全国可再生能源开发利用中长期总量目标，报国务院批准后执行，并予公布。</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国务院能源主管部门根据前款规定的总量目标和省、自治区、直辖市经济发展与可再生能源资源实际状况，会同省、自治区、直辖市人民政府确定各行政区域可再生能源开发利用中长期目标，并予公布。</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国务院能源主管部门根据全国可再生能源开发利用中长期总量目标，会同国务院有关部门，编制全国可再生能源开发利用规划，报国务院批准后实施。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省、自治区、直辖市人民政府管理能源工作的部门根据本行政区域可再生能源开发利用中长期目标，会同本级人民政府有关部门编制本行政区域可再生能源开发利用规划，报本级人民政府批准后实施。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经批准的规划应当公布；但是，国家规定需要保密的内容除外。</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经批准的规划需要修改的，须经原批准机关批准。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编制可再生能源开发利用规划，应当征求有关单位、专家和公众的意见，进行科学论证。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4" w:name="2_3"/>
      <w:bookmarkEnd w:id="4"/>
      <w:bookmarkStart w:id="5" w:name="sub72046_2_3"/>
      <w:bookmarkEnd w:id="5"/>
      <w:bookmarkStart w:id="6" w:name="第三章 产业指导与技术支持"/>
      <w:bookmarkEnd w:id="6"/>
      <w:bookmarkStart w:id="7" w:name="2-3"/>
      <w:bookmarkEnd w:id="7"/>
      <w:r>
        <w:rPr>
          <w:i w:val="0"/>
          <w:caps w:val="0"/>
          <w:color w:val="333333"/>
          <w:spacing w:val="0"/>
          <w:sz w:val="32"/>
          <w:szCs w:val="32"/>
          <w:bdr w:val="none" w:color="auto" w:sz="0" w:space="0"/>
          <w:shd w:val="clear" w:fill="FFFFFF"/>
        </w:rPr>
        <w:t>第三章 产业指导与技术支持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国务院能源主管部门根据全国可再生能源开发利用规划，制定、公布可再生能源产业发展指导目录。</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国务院标准化行政主管部门应当制定、公布国家可再生能源电力的并网技术标准和其他需要在全国范围内统一技术要求的有关可再生能源技术和产品的国家标准。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对前款规定的国家标准中未作规定的技术要求，国务院有关部门可以制定相关的行业标准，并报国务院标准化行政主管部门备案。</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将可再生能源开发利用的科学技术研究和产业化发展列为科技发展与高技术产业发展的优先领域，纳入国家科技发展规划和高技术产业发展规划，并安排资金支持可再生能源开发利用的科学技术研究、应用示范和产业化发展，促进可再生能源开发利用的技术进步，降低可再生能源产品的生产成本，提高产品质量。</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国务院教育行政部门应当将可再生能源知识和技术纳入普通教育、职业教育课程。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8" w:name="2_4"/>
      <w:bookmarkEnd w:id="8"/>
      <w:bookmarkStart w:id="9" w:name="sub72046_2_4"/>
      <w:bookmarkEnd w:id="9"/>
      <w:bookmarkStart w:id="10" w:name="第四章 推广与应用"/>
      <w:bookmarkEnd w:id="10"/>
      <w:bookmarkStart w:id="11" w:name="2-4"/>
      <w:bookmarkEnd w:id="11"/>
      <w:r>
        <w:rPr>
          <w:i w:val="0"/>
          <w:caps w:val="0"/>
          <w:color w:val="333333"/>
          <w:spacing w:val="0"/>
          <w:sz w:val="32"/>
          <w:szCs w:val="32"/>
          <w:bdr w:val="none" w:color="auto" w:sz="0" w:space="0"/>
          <w:shd w:val="clear" w:fill="FFFFFF"/>
        </w:rPr>
        <w:t>第四章 推广与应用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国家鼓励和支持可再生能源并网发电。</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建设可再生能源并网发电项目，应当依照法律和国务院的规定取得行政许可或者报送备案。</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建设应当取得行政许可的可再生能源并网发电项目，有多人申请同一项目许可的，应当依法通过招标确定被许可人。</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电网企业应当与依法取得行政许可或者报送备案的可再生能源发电企业签订并网协议，全额收购其电网覆盖范围内可再生能源并网发电项目的上网电量，并为可再生能源发电提供上网服务。</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国家扶持在电网未覆盖的地区建设可再生能源独立电力系统，为当地生产和生活提供电力服务。</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国家鼓励清洁、高效地开发利用生物质燃料，鼓励发展能源作物。</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利用生物质资源生产的燃气和热力，符合城市燃气管网、热力管网的入网技术标准的，经营燃气管网、热力管网的企业应当接收其入网。</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国家鼓励生产和利用生物液体燃料。石油销售企业应当按照国务院能源主管部门或者省级人民政府的规定，将符合国家标准的生物液体燃料纳入其燃料销售体系。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国家鼓励单位和个人安装和使用太阳能热水系统、太阳能供热采暖和制冷系统、太阳能光伏发电系统等太阳能利用系统。</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国务院建设行政主管部门会同国务院有关部门制定太阳能利用系统与建筑结合的技术经济政策和技术规范。</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房地产开发企业应当根据前款规定的技术规范，在建筑物的设计和施工中，为太阳能利用提供必备条件。</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对已建成的建筑物，住户可以在不影响其质量与安全的前提下安装符合技术规范和产品标准的太阳能利用系统；但是，当事人另有约定的除外。</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国家鼓励和支持农村地区的可再生能源开发利用。</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管理能源工作的部门会同有关部门，根据当地经济社会发展、生态保护和卫生综合治理需要等实际情况，制定农村地区可再生能源发展规划，因地制宜地推广应用沼气等生物质资源转化、户用太阳能、小型风能、小型水能等技术。</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县级以上人民政府应当对农村地区的可再生能源利用项目提供财政支持。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12" w:name="2_5"/>
      <w:bookmarkEnd w:id="12"/>
      <w:bookmarkStart w:id="13" w:name="sub72046_2_5"/>
      <w:bookmarkEnd w:id="13"/>
      <w:bookmarkStart w:id="14" w:name="第五章 价格管理与费用分摊"/>
      <w:bookmarkEnd w:id="14"/>
      <w:bookmarkStart w:id="15" w:name="2-5"/>
      <w:bookmarkEnd w:id="15"/>
      <w:r>
        <w:rPr>
          <w:i w:val="0"/>
          <w:caps w:val="0"/>
          <w:color w:val="333333"/>
          <w:spacing w:val="0"/>
          <w:sz w:val="32"/>
          <w:szCs w:val="32"/>
          <w:bdr w:val="none" w:color="auto" w:sz="0" w:space="0"/>
          <w:shd w:val="clear" w:fill="FFFFFF"/>
        </w:rPr>
        <w:t>第五章 价格管理与费用分摊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42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可再生能源发电项目的上网电价，由国务院价格主管部门根据不同类型可再生能源发电的特点和不同地区的情况，按照有利于促进可再生能源开发利用和经济合理的原则确定，并根据可再生能源开发利用技术的发展适时调整。上网电价应当公布。</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依照本法第十三条第三款规定实行招标的可再生能源发电项目的上网电价，按照中标确定的价格执行；但是，不得高于依照前款规定确定的同类可再生能源发电项目的上网电价水平。</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网企业依照本法第十九条规定确定的上网电价收购可再生能源电量所发生的费用，高于按照常规能源发电平均上网电价计算所发生费用之间的差额，附加在销售电价中分摊。具体办法由国务院价格主管部门制定。</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电网企业为收购可再生能源电量而支付的合理的接网费用以及其他合理的相关费用，可以计入电网企业输电成本，并从销售电价中回收。</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国家投资或者补贴建设的公共可再生能源独立电力系统的销售电价，执行同一地区分类销售电价，其合理的运行和管理费用超出销售电价的部分，依照本法第二十条规定的办法分摊。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进入城市管网的可再生能源热力和燃气的价格，按照有利于促进可再生能源开发利用和经济合理的原则，根据价格管理权限确定。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16" w:name="2_6"/>
      <w:bookmarkEnd w:id="16"/>
      <w:bookmarkStart w:id="17" w:name="sub72046_2_6"/>
      <w:bookmarkEnd w:id="17"/>
      <w:bookmarkStart w:id="18" w:name="第六章 经济激励与监督措施"/>
      <w:bookmarkEnd w:id="18"/>
      <w:bookmarkStart w:id="19" w:name="2-6"/>
      <w:bookmarkEnd w:id="19"/>
      <w:r>
        <w:rPr>
          <w:i w:val="0"/>
          <w:caps w:val="0"/>
          <w:color w:val="333333"/>
          <w:spacing w:val="0"/>
          <w:sz w:val="32"/>
          <w:szCs w:val="32"/>
          <w:bdr w:val="none" w:color="auto" w:sz="0" w:space="0"/>
          <w:shd w:val="clear" w:fill="FFFFFF"/>
        </w:rPr>
        <w:t>第六章 经济激励与监督措施</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42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国家财政设立可再生能源发展专项资金，用于支持以下活动：</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（一）可再生能源开发利用的科学技术研究、标准制定和示范工程；</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（二）农村、牧区生活用能的可再生能源利用项目；</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（三）偏远地区和海岛可再生能源独立电力系统建设；</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（四）可再生能源的资源勘查、评价和相关信息系统建设；</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（五）促进可再生能源开发利用设备的本地化生产。</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对列入国家可再生能源产业发展指导目录、符合信贷条件的可再生能源开发利用项目，金融机构可以提供有财政贴息的优惠贷款。</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国家对列入可再生能源产业发展指导目录的项目给予税收优惠。具体办法由国务院规定。</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电力企业应当真实、完整地记载和保存可再生能源发电的有关资料，并接受电力监管机构的检查和监督。</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电力监管机构进行检查时，应当依照规定的程序进行，并为被检查单位保守商业秘密和其他秘密。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20" w:name="2_7"/>
      <w:bookmarkEnd w:id="20"/>
      <w:bookmarkStart w:id="21" w:name="sub72046_2_7"/>
      <w:bookmarkEnd w:id="21"/>
      <w:bookmarkStart w:id="22" w:name="第七章 法律责任"/>
      <w:bookmarkEnd w:id="22"/>
      <w:bookmarkStart w:id="23" w:name="2-7"/>
      <w:bookmarkEnd w:id="23"/>
      <w:r>
        <w:rPr>
          <w:i w:val="0"/>
          <w:caps w:val="0"/>
          <w:color w:val="333333"/>
          <w:spacing w:val="0"/>
          <w:sz w:val="32"/>
          <w:szCs w:val="32"/>
          <w:bdr w:val="none" w:color="auto" w:sz="0" w:space="0"/>
          <w:shd w:val="clear" w:fill="FFFFFF"/>
        </w:rPr>
        <w:t>第七章 法律责任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42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能源主管部门和县级以上地方人民政府管理能源工作的部门和其他有关部门在可再生能源开发利用监督管理工作中，违反本法规定，有下列行为之一的，由本级人民政府或者上级人民政府有关部门责令改正，对负有责任的主管人员和其他直接责任人员依法给予行政处分；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（一）不依法作出行政许可决定的；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（二）发现违法行为不予查处的；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（三）有不依法履行监督管理职责的其他行为的。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十四条规定，电网企业未全额收购可再生能源电量，造成可再生能源发电企业经济损失的，应当承担赔偿责任，并由国家电力监管机构责令限期改正；拒不改正的，处以可再生能源发电企业经济损失额一倍以下的罚款。</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十六条第二款规定，经营燃气管网、热力管网的企业不准许符合入网技术标准的燃气、热力入网，造成燃气、热力生产企业经济损失的，应当承担赔偿责任，并由省级人民政府管理能源工作的部门责令限期改正；拒不改正的，处以燃气、热力生产企业经济损失额一倍以下的罚款。</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违反本法第十六条第三款规定，石油销售企业未按照规定将符合国家标准的生物液体燃料纳入其燃料销售体系，造成生物液体燃料生产企业经济损失的，应当承担赔偿责任，并由国务院能源主管部门或者省级人民政府管理能源工作的部门责令限期改正；拒不改正的，处以生物液体燃料生产企业经济损失额一倍以下的罚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300" w:beforeAutospacing="0" w:after="180" w:afterAutospacing="0" w:line="600" w:lineRule="exact"/>
        <w:ind w:left="0" w:right="0"/>
        <w:jc w:val="center"/>
        <w:textAlignment w:val="auto"/>
        <w:rPr>
          <w:color w:val="333333"/>
          <w:sz w:val="32"/>
          <w:szCs w:val="32"/>
        </w:rPr>
      </w:pPr>
      <w:bookmarkStart w:id="24" w:name="2_8"/>
      <w:bookmarkEnd w:id="24"/>
      <w:bookmarkStart w:id="25" w:name="sub72046_2_8"/>
      <w:bookmarkEnd w:id="25"/>
      <w:bookmarkStart w:id="26" w:name="第八章 附则"/>
      <w:bookmarkEnd w:id="26"/>
      <w:bookmarkStart w:id="27" w:name="2-8"/>
      <w:bookmarkEnd w:id="27"/>
      <w:r>
        <w:rPr>
          <w:i w:val="0"/>
          <w:caps w:val="0"/>
          <w:color w:val="333333"/>
          <w:spacing w:val="0"/>
          <w:sz w:val="32"/>
          <w:szCs w:val="32"/>
          <w:bdr w:val="none" w:color="auto" w:sz="0" w:space="0"/>
          <w:shd w:val="clear" w:fill="FFFFFF"/>
        </w:rPr>
        <w:t>第八章 附则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42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本法中下列用语的含义：</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（一）生物质能，是指利用自然界的植物、粪便以及城乡有机废物转化成的能源。</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（二）可再生能源独立电力系统，是指不与电网连接的单独运行的可再生能源电力系统。</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（三）能源作物，是指经专门种植，用以提供能源原料的草本和木本植物。</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（四）生物液体燃料，是指利用生物质资源生产的甲醇、乙醇和生物柴油等液体燃料。</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本法自2006年1月1日起施行。</w:t>
      </w:r>
      <w:bookmarkStart w:id="28" w:name="_GoBack"/>
      <w:bookmarkEnd w:id="28"/>
    </w:p>
    <w:p>
      <w:pPr>
        <w:keepNext w:val="0"/>
        <w:keepLines w:val="0"/>
        <w:pageBreakBefore w:val="0"/>
        <w:kinsoku/>
        <w:wordWrap/>
        <w:overflowPunct/>
        <w:topLinePunct w:val="0"/>
        <w:autoSpaceDE/>
        <w:autoSpaceDN/>
        <w:bidi w:val="0"/>
        <w:adjustRightInd w:val="0"/>
        <w:snapToGrid w:val="0"/>
        <w:spacing w:line="600" w:lineRule="exact"/>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6E5F41"/>
    <w:rsid w:val="056E5F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2020-06-09T07:21:00Z</dcterms:created>
  <dc:creator>小草的绿叶子</dc:creator>
  <cp:lastModifiedBy>小草的绿叶子</cp:lastModifiedBy>
  <dcterms:modified xsi:type="dcterms:W3CDTF">2020-06-09T07:24:28Z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